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106045</wp:posOffset>
            </wp:positionV>
            <wp:extent cx="1431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2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48" w:lineRule="exact"/>
        <w:rPr>
          <w:sz w:val="24"/>
          <w:szCs w:val="24"/>
          <w:color w:val="auto"/>
        </w:rPr>
      </w:pPr>
    </w:p>
    <w:p>
      <w:pPr>
        <w:ind w:left="7"/>
        <w:spacing w:after="0"/>
        <w:rPr>
          <w:sz w:val="20"/>
          <w:szCs w:val="20"/>
          <w:color w:val="auto"/>
        </w:rPr>
      </w:pPr>
      <w:r>
        <w:rPr>
          <w:rFonts w:ascii="Times New Roman" w:cs="Times New Roman" w:eastAsia="Times New Roman" w:hAnsi="Times New Roman"/>
          <w:sz w:val="14"/>
          <w:szCs w:val="14"/>
          <w:color w:val="auto"/>
        </w:rPr>
        <w:t>(Mark One):</w:t>
      </w:r>
    </w:p>
    <w:p>
      <w:pPr>
        <w:spacing w:after="0" w:line="40" w:lineRule="exact"/>
        <w:rPr>
          <w:sz w:val="24"/>
          <w:szCs w:val="24"/>
          <w:color w:val="auto"/>
        </w:rPr>
      </w:pPr>
    </w:p>
    <w:p>
      <w:pPr>
        <w:ind w:left="347" w:right="3860" w:hanging="347"/>
        <w:spacing w:after="0" w:line="328" w:lineRule="auto"/>
        <w:tabs>
          <w:tab w:leader="none" w:pos="347"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1" w:lineRule="exact"/>
        <w:rPr>
          <w:sz w:val="24"/>
          <w:szCs w:val="24"/>
          <w:color w:val="auto"/>
        </w:rPr>
      </w:pPr>
    </w:p>
    <w:p>
      <w:pPr>
        <w:ind w:left="347" w:right="3560" w:hanging="347"/>
        <w:spacing w:after="0" w:line="322" w:lineRule="auto"/>
        <w:tabs>
          <w:tab w:leader="none" w:pos="347"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 to __________</w:t>
      </w:r>
    </w:p>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5772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tbl>
      <w:tblPr>
        <w:tblLayout w:type="fixed"/>
        <w:tblInd w:w="7" w:type="dxa"/>
        <w:tblCellMar>
          <w:top w:w="0" w:type="dxa"/>
          <w:left w:w="0" w:type="dxa"/>
          <w:bottom w:w="0" w:type="dxa"/>
          <w:right w:w="0" w:type="dxa"/>
        </w:tblCellMar>
      </w:tblPr>
      <w:tr>
        <w:trPr>
          <w:trHeight w:val="256"/>
        </w:trPr>
        <w:tc>
          <w:tcPr>
            <w:tcW w:w="3820" w:type="dxa"/>
            <w:vAlign w:val="bottom"/>
          </w:tcPr>
          <w:p>
            <w:pPr>
              <w:spacing w:after="0"/>
              <w:rPr>
                <w:sz w:val="22"/>
                <w:szCs w:val="22"/>
                <w:color w:val="auto"/>
              </w:rPr>
            </w:pPr>
          </w:p>
        </w:tc>
        <w:tc>
          <w:tcPr>
            <w:tcW w:w="2600" w:type="dxa"/>
            <w:vAlign w:val="bottom"/>
          </w:tcPr>
          <w:p>
            <w:pPr>
              <w:ind w:left="1340"/>
              <w:spacing w:after="0"/>
              <w:rPr>
                <w:sz w:val="20"/>
                <w:szCs w:val="20"/>
                <w:color w:val="auto"/>
              </w:rPr>
            </w:pPr>
            <w:r>
              <w:rPr>
                <w:rFonts w:ascii="Times New Roman" w:cs="Times New Roman" w:eastAsia="Times New Roman" w:hAnsi="Times New Roman"/>
                <w:sz w:val="22"/>
                <w:szCs w:val="22"/>
                <w:b w:val="1"/>
                <w:bCs w:val="1"/>
                <w:color w:val="auto"/>
              </w:rPr>
              <w:t>Gogo Inc.</w:t>
            </w:r>
          </w:p>
        </w:tc>
        <w:tc>
          <w:tcPr>
            <w:tcW w:w="560" w:type="dxa"/>
            <w:vAlign w:val="bottom"/>
          </w:tcPr>
          <w:p>
            <w:pPr>
              <w:spacing w:after="0"/>
              <w:rPr>
                <w:sz w:val="22"/>
                <w:szCs w:val="22"/>
                <w:color w:val="auto"/>
              </w:rPr>
            </w:pPr>
          </w:p>
        </w:tc>
        <w:tc>
          <w:tcPr>
            <w:tcW w:w="4280" w:type="dxa"/>
            <w:vAlign w:val="bottom"/>
          </w:tcPr>
          <w:p>
            <w:pPr>
              <w:spacing w:after="0"/>
              <w:rPr>
                <w:sz w:val="22"/>
                <w:szCs w:val="22"/>
                <w:color w:val="auto"/>
              </w:rPr>
            </w:pPr>
          </w:p>
        </w:tc>
      </w:tr>
      <w:tr>
        <w:trPr>
          <w:trHeight w:val="164"/>
        </w:trPr>
        <w:tc>
          <w:tcPr>
            <w:tcW w:w="3820" w:type="dxa"/>
            <w:vAlign w:val="bottom"/>
          </w:tcPr>
          <w:p>
            <w:pPr>
              <w:spacing w:after="0"/>
              <w:rPr>
                <w:sz w:val="14"/>
                <w:szCs w:val="14"/>
                <w:color w:val="auto"/>
              </w:rPr>
            </w:pPr>
          </w:p>
        </w:tc>
        <w:tc>
          <w:tcPr>
            <w:tcW w:w="3160" w:type="dxa"/>
            <w:vAlign w:val="bottom"/>
            <w:gridSpan w:val="2"/>
          </w:tcPr>
          <w:p>
            <w:pPr>
              <w:jc w:val="center"/>
              <w:ind w:left="368"/>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4280" w:type="dxa"/>
            <w:vAlign w:val="bottom"/>
          </w:tcPr>
          <w:p>
            <w:pPr>
              <w:spacing w:after="0"/>
              <w:rPr>
                <w:sz w:val="14"/>
                <w:szCs w:val="14"/>
                <w:color w:val="auto"/>
              </w:rPr>
            </w:pPr>
          </w:p>
        </w:tc>
      </w:tr>
      <w:tr>
        <w:trPr>
          <w:trHeight w:val="224"/>
        </w:trPr>
        <w:tc>
          <w:tcPr>
            <w:tcW w:w="3820" w:type="dxa"/>
            <w:vAlign w:val="bottom"/>
          </w:tcPr>
          <w:p>
            <w:pPr>
              <w:jc w:val="center"/>
              <w:ind w:left="161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8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27-1650905</w:t>
            </w:r>
          </w:p>
        </w:tc>
      </w:tr>
      <w:tr>
        <w:trPr>
          <w:trHeight w:val="135"/>
        </w:trPr>
        <w:tc>
          <w:tcPr>
            <w:tcW w:w="3820" w:type="dxa"/>
            <w:vAlign w:val="bottom"/>
          </w:tcPr>
          <w:p>
            <w:pPr>
              <w:jc w:val="center"/>
              <w:ind w:left="1634"/>
              <w:spacing w:after="0" w:line="135" w:lineRule="exact"/>
              <w:rPr>
                <w:sz w:val="20"/>
                <w:szCs w:val="20"/>
                <w:color w:val="auto"/>
              </w:rPr>
            </w:pPr>
            <w:r>
              <w:rPr>
                <w:rFonts w:ascii="Times New Roman" w:cs="Times New Roman" w:eastAsia="Times New Roman" w:hAnsi="Times New Roman"/>
                <w:sz w:val="12"/>
                <w:szCs w:val="12"/>
                <w:color w:val="auto"/>
                <w:w w:val="97"/>
              </w:rPr>
              <w:t>(State or other jurisdiction of</w:t>
            </w:r>
          </w:p>
        </w:tc>
        <w:tc>
          <w:tcPr>
            <w:tcW w:w="2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80" w:type="dxa"/>
            <w:vAlign w:val="bottom"/>
          </w:tcPr>
          <w:p>
            <w:pPr>
              <w:jc w:val="center"/>
              <w:ind w:right="1174"/>
              <w:spacing w:after="0" w:line="135" w:lineRule="exact"/>
              <w:rPr>
                <w:sz w:val="20"/>
                <w:szCs w:val="20"/>
                <w:color w:val="auto"/>
              </w:rPr>
            </w:pPr>
            <w:r>
              <w:rPr>
                <w:rFonts w:ascii="Times New Roman" w:cs="Times New Roman" w:eastAsia="Times New Roman" w:hAnsi="Times New Roman"/>
                <w:sz w:val="12"/>
                <w:szCs w:val="12"/>
                <w:color w:val="auto"/>
                <w:w w:val="97"/>
              </w:rPr>
              <w:t>(I.R.S. Employer</w:t>
            </w:r>
          </w:p>
        </w:tc>
      </w:tr>
      <w:tr>
        <w:trPr>
          <w:trHeight w:val="150"/>
        </w:trPr>
        <w:tc>
          <w:tcPr>
            <w:tcW w:w="3820" w:type="dxa"/>
            <w:vAlign w:val="bottom"/>
          </w:tcPr>
          <w:p>
            <w:pPr>
              <w:jc w:val="center"/>
              <w:ind w:left="1634"/>
              <w:spacing w:after="0"/>
              <w:rPr>
                <w:sz w:val="20"/>
                <w:szCs w:val="20"/>
                <w:color w:val="auto"/>
              </w:rPr>
            </w:pPr>
            <w:r>
              <w:rPr>
                <w:rFonts w:ascii="Times New Roman" w:cs="Times New Roman" w:eastAsia="Times New Roman" w:hAnsi="Times New Roman"/>
                <w:sz w:val="12"/>
                <w:szCs w:val="12"/>
                <w:color w:val="auto"/>
                <w:w w:val="97"/>
              </w:rPr>
              <w:t>Incorporation or Organization)</w:t>
            </w:r>
          </w:p>
        </w:tc>
        <w:tc>
          <w:tcPr>
            <w:tcW w:w="2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80" w:type="dxa"/>
            <w:vAlign w:val="bottom"/>
          </w:tcPr>
          <w:p>
            <w:pPr>
              <w:jc w:val="center"/>
              <w:ind w:right="1174"/>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09"/>
        </w:trPr>
        <w:tc>
          <w:tcPr>
            <w:tcW w:w="38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r>
      <w:tr>
        <w:trPr>
          <w:trHeight w:val="239"/>
        </w:trPr>
        <w:tc>
          <w:tcPr>
            <w:tcW w:w="3820" w:type="dxa"/>
            <w:vAlign w:val="bottom"/>
          </w:tcPr>
          <w:p>
            <w:pPr>
              <w:spacing w:after="0"/>
              <w:rPr>
                <w:sz w:val="20"/>
                <w:szCs w:val="20"/>
                <w:color w:val="auto"/>
              </w:rPr>
            </w:pPr>
          </w:p>
        </w:tc>
        <w:tc>
          <w:tcPr>
            <w:tcW w:w="316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105 Edgeview Dr., Suite 300</w:t>
            </w:r>
          </w:p>
        </w:tc>
        <w:tc>
          <w:tcPr>
            <w:tcW w:w="4280" w:type="dxa"/>
            <w:vAlign w:val="bottom"/>
          </w:tcPr>
          <w:p>
            <w:pPr>
              <w:spacing w:after="0"/>
              <w:rPr>
                <w:sz w:val="20"/>
                <w:szCs w:val="20"/>
                <w:color w:val="auto"/>
              </w:rPr>
            </w:pPr>
          </w:p>
        </w:tc>
      </w:tr>
      <w:tr>
        <w:trPr>
          <w:trHeight w:val="155"/>
        </w:trPr>
        <w:tc>
          <w:tcPr>
            <w:tcW w:w="3820" w:type="dxa"/>
            <w:vAlign w:val="bottom"/>
          </w:tcPr>
          <w:p>
            <w:pPr>
              <w:spacing w:after="0"/>
              <w:rPr>
                <w:sz w:val="13"/>
                <w:szCs w:val="13"/>
                <w:color w:val="auto"/>
              </w:rPr>
            </w:pPr>
          </w:p>
        </w:tc>
        <w:tc>
          <w:tcPr>
            <w:tcW w:w="2600" w:type="dxa"/>
            <w:vAlign w:val="bottom"/>
          </w:tcPr>
          <w:p>
            <w:pPr>
              <w:jc w:val="center"/>
              <w:ind w:left="948"/>
              <w:spacing w:after="0" w:line="155" w:lineRule="exact"/>
              <w:rPr>
                <w:sz w:val="20"/>
                <w:szCs w:val="20"/>
                <w:color w:val="auto"/>
              </w:rPr>
            </w:pPr>
            <w:r>
              <w:rPr>
                <w:rFonts w:ascii="Times New Roman" w:cs="Times New Roman" w:eastAsia="Times New Roman" w:hAnsi="Times New Roman"/>
                <w:sz w:val="14"/>
                <w:szCs w:val="14"/>
                <w:b w:val="1"/>
                <w:bCs w:val="1"/>
                <w:color w:val="auto"/>
              </w:rPr>
              <w:t>Broomfield, CO 80021</w:t>
            </w:r>
          </w:p>
        </w:tc>
        <w:tc>
          <w:tcPr>
            <w:tcW w:w="56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64"/>
        </w:trPr>
        <w:tc>
          <w:tcPr>
            <w:tcW w:w="3820" w:type="dxa"/>
            <w:vAlign w:val="bottom"/>
          </w:tcPr>
          <w:p>
            <w:pPr>
              <w:spacing w:after="0"/>
              <w:rPr>
                <w:sz w:val="14"/>
                <w:szCs w:val="14"/>
                <w:color w:val="auto"/>
              </w:rPr>
            </w:pPr>
          </w:p>
        </w:tc>
        <w:tc>
          <w:tcPr>
            <w:tcW w:w="3160" w:type="dxa"/>
            <w:vAlign w:val="bottom"/>
            <w:gridSpan w:val="2"/>
          </w:tcPr>
          <w:p>
            <w:pPr>
              <w:jc w:val="center"/>
              <w:ind w:left="408"/>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4280" w:type="dxa"/>
            <w:vAlign w:val="bottom"/>
          </w:tcPr>
          <w:p>
            <w:pPr>
              <w:spacing w:after="0"/>
              <w:rPr>
                <w:sz w:val="14"/>
                <w:szCs w:val="14"/>
                <w:color w:val="auto"/>
              </w:rPr>
            </w:pPr>
          </w:p>
        </w:tc>
      </w:tr>
      <w:tr>
        <w:trPr>
          <w:trHeight w:val="187"/>
        </w:trPr>
        <w:tc>
          <w:tcPr>
            <w:tcW w:w="3820" w:type="dxa"/>
            <w:vAlign w:val="bottom"/>
          </w:tcPr>
          <w:p>
            <w:pPr>
              <w:spacing w:after="0"/>
              <w:rPr>
                <w:sz w:val="16"/>
                <w:szCs w:val="16"/>
                <w:color w:val="auto"/>
              </w:rPr>
            </w:pPr>
          </w:p>
        </w:tc>
        <w:tc>
          <w:tcPr>
            <w:tcW w:w="316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Telephone Number (303) 301-3271</w:t>
            </w:r>
          </w:p>
        </w:tc>
        <w:tc>
          <w:tcPr>
            <w:tcW w:w="4280" w:type="dxa"/>
            <w:vAlign w:val="bottom"/>
          </w:tcPr>
          <w:p>
            <w:pPr>
              <w:spacing w:after="0"/>
              <w:rPr>
                <w:sz w:val="16"/>
                <w:szCs w:val="16"/>
                <w:color w:val="auto"/>
              </w:rPr>
            </w:pPr>
          </w:p>
        </w:tc>
      </w:tr>
      <w:tr>
        <w:trPr>
          <w:trHeight w:val="164"/>
        </w:trPr>
        <w:tc>
          <w:tcPr>
            <w:tcW w:w="3820" w:type="dxa"/>
            <w:vAlign w:val="bottom"/>
          </w:tcPr>
          <w:p>
            <w:pPr>
              <w:spacing w:after="0"/>
              <w:rPr>
                <w:sz w:val="14"/>
                <w:szCs w:val="14"/>
                <w:color w:val="auto"/>
              </w:rPr>
            </w:pPr>
          </w:p>
        </w:tc>
        <w:tc>
          <w:tcPr>
            <w:tcW w:w="3160" w:type="dxa"/>
            <w:vAlign w:val="bottom"/>
            <w:gridSpan w:val="2"/>
          </w:tcPr>
          <w:p>
            <w:pPr>
              <w:jc w:val="center"/>
              <w:ind w:left="368"/>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4280" w:type="dxa"/>
            <w:vAlign w:val="bottom"/>
          </w:tcPr>
          <w:p>
            <w:pPr>
              <w:spacing w:after="0"/>
              <w:rPr>
                <w:sz w:val="14"/>
                <w:szCs w:val="14"/>
                <w:color w:val="auto"/>
              </w:rPr>
            </w:pPr>
          </w:p>
        </w:tc>
      </w:tr>
      <w:tr>
        <w:trPr>
          <w:trHeight w:val="57"/>
        </w:trPr>
        <w:tc>
          <w:tcPr>
            <w:tcW w:w="3820" w:type="dxa"/>
            <w:vAlign w:val="bottom"/>
            <w:tcBorders>
              <w:bottom w:val="single" w:sz="8" w:color="auto"/>
            </w:tcBorders>
          </w:tcPr>
          <w:p>
            <w:pPr>
              <w:spacing w:after="0"/>
              <w:rPr>
                <w:sz w:val="4"/>
                <w:szCs w:val="4"/>
                <w:color w:val="auto"/>
              </w:rPr>
            </w:pPr>
          </w:p>
        </w:tc>
        <w:tc>
          <w:tcPr>
            <w:tcW w:w="7440" w:type="dxa"/>
            <w:vAlign w:val="bottom"/>
            <w:tcBorders>
              <w:bottom w:val="single" w:sz="8" w:color="auto"/>
            </w:tcBorders>
            <w:gridSpan w:val="3"/>
          </w:tcPr>
          <w:p>
            <w:pPr>
              <w:spacing w:after="0"/>
              <w:rPr>
                <w:sz w:val="4"/>
                <w:szCs w:val="4"/>
                <w:color w:val="auto"/>
              </w:rPr>
            </w:pPr>
          </w:p>
        </w:tc>
      </w:tr>
      <w:tr>
        <w:trPr>
          <w:trHeight w:val="207"/>
        </w:trPr>
        <w:tc>
          <w:tcPr>
            <w:tcW w:w="3820" w:type="dxa"/>
            <w:vAlign w:val="bottom"/>
          </w:tcPr>
          <w:p>
            <w:pPr>
              <w:spacing w:after="0"/>
              <w:rPr>
                <w:sz w:val="18"/>
                <w:szCs w:val="18"/>
                <w:color w:val="auto"/>
              </w:rPr>
            </w:pPr>
          </w:p>
        </w:tc>
        <w:tc>
          <w:tcPr>
            <w:tcW w:w="7440" w:type="dxa"/>
            <w:vAlign w:val="bottom"/>
            <w:gridSpan w:val="3"/>
          </w:tcPr>
          <w:p>
            <w:pPr>
              <w:jc w:val="center"/>
              <w:ind w:right="3754"/>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r>
      <w:tr>
        <w:trPr>
          <w:trHeight w:val="84"/>
        </w:trPr>
        <w:tc>
          <w:tcPr>
            <w:tcW w:w="38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80" w:type="dxa"/>
            <w:vAlign w:val="bottom"/>
          </w:tcPr>
          <w:p>
            <w:pPr>
              <w:spacing w:after="0"/>
              <w:rPr>
                <w:sz w:val="7"/>
                <w:szCs w:val="7"/>
                <w:color w:val="auto"/>
              </w:rPr>
            </w:pPr>
          </w:p>
        </w:tc>
      </w:tr>
      <w:tr>
        <w:trPr>
          <w:trHeight w:val="126"/>
        </w:trPr>
        <w:tc>
          <w:tcPr>
            <w:tcW w:w="3820" w:type="dxa"/>
            <w:vAlign w:val="bottom"/>
            <w:shd w:val="clear" w:color="auto" w:fill="FFFFFE"/>
          </w:tcPr>
          <w:p>
            <w:pPr>
              <w:jc w:val="center"/>
              <w:ind w:left="354"/>
              <w:spacing w:after="0" w:line="126" w:lineRule="exact"/>
              <w:rPr>
                <w:sz w:val="20"/>
                <w:szCs w:val="20"/>
                <w:color w:val="auto"/>
              </w:rPr>
            </w:pPr>
            <w:r>
              <w:rPr>
                <w:rFonts w:ascii="Times New Roman" w:cs="Times New Roman" w:eastAsia="Times New Roman" w:hAnsi="Times New Roman"/>
                <w:sz w:val="14"/>
                <w:szCs w:val="14"/>
                <w:color w:val="auto"/>
              </w:rPr>
              <w:t>Title of Class</w:t>
            </w:r>
          </w:p>
        </w:tc>
        <w:tc>
          <w:tcPr>
            <w:tcW w:w="2600" w:type="dxa"/>
            <w:vAlign w:val="bottom"/>
            <w:shd w:val="clear" w:color="auto" w:fill="FFFFFE"/>
          </w:tcPr>
          <w:p>
            <w:pPr>
              <w:jc w:val="center"/>
              <w:ind w:left="868"/>
              <w:spacing w:after="0" w:line="126" w:lineRule="exact"/>
              <w:rPr>
                <w:sz w:val="20"/>
                <w:szCs w:val="20"/>
                <w:color w:val="auto"/>
              </w:rPr>
            </w:pPr>
            <w:r>
              <w:rPr>
                <w:rFonts w:ascii="Times New Roman" w:cs="Times New Roman" w:eastAsia="Times New Roman" w:hAnsi="Times New Roman"/>
                <w:sz w:val="14"/>
                <w:szCs w:val="14"/>
                <w:color w:val="auto"/>
              </w:rPr>
              <w:t>Trading Symbol</w:t>
            </w:r>
          </w:p>
        </w:tc>
        <w:tc>
          <w:tcPr>
            <w:tcW w:w="560" w:type="dxa"/>
            <w:vAlign w:val="bottom"/>
            <w:shd w:val="clear" w:color="auto" w:fill="FFFFFE"/>
          </w:tcPr>
          <w:p>
            <w:pPr>
              <w:spacing w:after="0"/>
              <w:rPr>
                <w:sz w:val="10"/>
                <w:szCs w:val="10"/>
                <w:color w:val="auto"/>
              </w:rPr>
            </w:pPr>
          </w:p>
        </w:tc>
        <w:tc>
          <w:tcPr>
            <w:tcW w:w="4280" w:type="dxa"/>
            <w:vAlign w:val="bottom"/>
            <w:shd w:val="clear" w:color="auto" w:fill="FFFFFE"/>
          </w:tcPr>
          <w:p>
            <w:pPr>
              <w:ind w:left="780"/>
              <w:spacing w:after="0" w:line="126"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48"/>
        </w:trPr>
        <w:tc>
          <w:tcPr>
            <w:tcW w:w="3820" w:type="dxa"/>
            <w:vAlign w:val="bottom"/>
            <w:shd w:val="clear" w:color="auto" w:fill="FFFFFE"/>
          </w:tcPr>
          <w:p>
            <w:pPr>
              <w:jc w:val="center"/>
              <w:ind w:left="334"/>
              <w:spacing w:after="0" w:line="149" w:lineRule="exact"/>
              <w:rPr>
                <w:sz w:val="20"/>
                <w:szCs w:val="20"/>
                <w:color w:val="auto"/>
              </w:rPr>
            </w:pPr>
            <w:r>
              <w:rPr>
                <w:rFonts w:ascii="Times New Roman" w:cs="Times New Roman" w:eastAsia="Times New Roman" w:hAnsi="Times New Roman"/>
                <w:sz w:val="14"/>
                <w:szCs w:val="14"/>
                <w:color w:val="auto"/>
              </w:rPr>
              <w:t>Common stock, par value $0.0001 per share</w:t>
            </w:r>
          </w:p>
        </w:tc>
        <w:tc>
          <w:tcPr>
            <w:tcW w:w="2600" w:type="dxa"/>
            <w:vAlign w:val="bottom"/>
            <w:shd w:val="clear" w:color="auto" w:fill="FFFFFE"/>
          </w:tcPr>
          <w:p>
            <w:pPr>
              <w:jc w:val="center"/>
              <w:ind w:left="848"/>
              <w:spacing w:after="0" w:line="149" w:lineRule="exact"/>
              <w:rPr>
                <w:sz w:val="20"/>
                <w:szCs w:val="20"/>
                <w:color w:val="auto"/>
              </w:rPr>
            </w:pPr>
            <w:r>
              <w:rPr>
                <w:rFonts w:ascii="Times New Roman" w:cs="Times New Roman" w:eastAsia="Times New Roman" w:hAnsi="Times New Roman"/>
                <w:sz w:val="14"/>
                <w:szCs w:val="14"/>
                <w:color w:val="auto"/>
                <w:w w:val="98"/>
              </w:rPr>
              <w:t>GOGO</w:t>
            </w:r>
          </w:p>
        </w:tc>
        <w:tc>
          <w:tcPr>
            <w:tcW w:w="560" w:type="dxa"/>
            <w:vAlign w:val="bottom"/>
            <w:shd w:val="clear" w:color="auto" w:fill="FFFFFE"/>
          </w:tcPr>
          <w:p>
            <w:pPr>
              <w:spacing w:after="0"/>
              <w:rPr>
                <w:sz w:val="12"/>
                <w:szCs w:val="12"/>
                <w:color w:val="auto"/>
              </w:rPr>
            </w:pPr>
          </w:p>
        </w:tc>
        <w:tc>
          <w:tcPr>
            <w:tcW w:w="4280" w:type="dxa"/>
            <w:vAlign w:val="bottom"/>
            <w:shd w:val="clear" w:color="auto" w:fill="FFFFFE"/>
          </w:tcPr>
          <w:p>
            <w:pPr>
              <w:ind w:left="1180"/>
              <w:spacing w:after="0" w:line="149" w:lineRule="exact"/>
              <w:rPr>
                <w:sz w:val="20"/>
                <w:szCs w:val="20"/>
                <w:color w:val="auto"/>
              </w:rPr>
            </w:pPr>
            <w:r>
              <w:rPr>
                <w:rFonts w:ascii="Times New Roman" w:cs="Times New Roman" w:eastAsia="Times New Roman" w:hAnsi="Times New Roman"/>
                <w:sz w:val="14"/>
                <w:szCs w:val="14"/>
                <w:color w:val="auto"/>
              </w:rPr>
              <w:t>NASDAQ Global Select Market</w:t>
            </w:r>
          </w:p>
        </w:tc>
      </w:tr>
      <w:tr>
        <w:trPr>
          <w:trHeight w:val="171"/>
        </w:trPr>
        <w:tc>
          <w:tcPr>
            <w:tcW w:w="3820" w:type="dxa"/>
            <w:vAlign w:val="bottom"/>
            <w:shd w:val="clear" w:color="auto" w:fill="FFFFFE"/>
          </w:tcPr>
          <w:p>
            <w:pPr>
              <w:jc w:val="center"/>
              <w:ind w:left="354"/>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2600" w:type="dxa"/>
            <w:vAlign w:val="bottom"/>
            <w:shd w:val="clear" w:color="auto" w:fill="FFFFFE"/>
          </w:tcPr>
          <w:p>
            <w:pPr>
              <w:jc w:val="center"/>
              <w:ind w:left="888"/>
              <w:spacing w:after="0"/>
              <w:rPr>
                <w:sz w:val="20"/>
                <w:szCs w:val="20"/>
                <w:color w:val="auto"/>
              </w:rPr>
            </w:pPr>
            <w:r>
              <w:rPr>
                <w:rFonts w:ascii="Times New Roman" w:cs="Times New Roman" w:eastAsia="Times New Roman" w:hAnsi="Times New Roman"/>
                <w:sz w:val="14"/>
                <w:szCs w:val="14"/>
                <w:color w:val="auto"/>
                <w:w w:val="98"/>
              </w:rPr>
              <w:t>GOGO</w:t>
            </w:r>
          </w:p>
        </w:tc>
        <w:tc>
          <w:tcPr>
            <w:tcW w:w="560" w:type="dxa"/>
            <w:vAlign w:val="bottom"/>
            <w:shd w:val="clear" w:color="auto" w:fill="FFFFFE"/>
          </w:tcPr>
          <w:p>
            <w:pPr>
              <w:spacing w:after="0"/>
              <w:rPr>
                <w:sz w:val="14"/>
                <w:szCs w:val="14"/>
                <w:color w:val="auto"/>
              </w:rPr>
            </w:pPr>
          </w:p>
        </w:tc>
        <w:tc>
          <w:tcPr>
            <w:tcW w:w="4280" w:type="dxa"/>
            <w:vAlign w:val="bottom"/>
            <w:shd w:val="clear" w:color="auto" w:fill="FFFFFE"/>
          </w:tcPr>
          <w:p>
            <w:pPr>
              <w:ind w:left="1200"/>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223"/>
        </w:trPr>
        <w:tc>
          <w:tcPr>
            <w:tcW w:w="64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w w:val="98"/>
              </w:rPr>
              <w:t>Indicate by check mark if the registrant is a well-known seasoned issuer, as defined in Rule 405 of the Securities Act.</w:t>
            </w:r>
          </w:p>
        </w:tc>
        <w:tc>
          <w:tcPr>
            <w:tcW w:w="56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28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13"/>
        </w:trPr>
        <w:tc>
          <w:tcPr>
            <w:tcW w:w="64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w w:val="97"/>
              </w:rPr>
              <w:t>Indicate by check mark if the registrant is not required to file reports pursuant to Section 13 or Section 15(d) of the Act.</w:t>
            </w:r>
          </w:p>
        </w:tc>
        <w:tc>
          <w:tcPr>
            <w:tcW w:w="560" w:type="dxa"/>
            <w:vAlign w:val="bottom"/>
          </w:tcPr>
          <w:p>
            <w:pPr>
              <w:ind w:left="14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280" w:type="dxa"/>
            <w:vAlign w:val="bottom"/>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5" w:lineRule="exact"/>
        <w:rPr>
          <w:sz w:val="24"/>
          <w:szCs w:val="24"/>
          <w:color w:val="auto"/>
        </w:rPr>
      </w:pPr>
    </w:p>
    <w:p>
      <w:pPr>
        <w:ind w:left="7" w:right="20" w:firstLine="37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7" w:right="60" w:firstLine="37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7" w:right="60" w:firstLine="376"/>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7" w:type="dxa"/>
        <w:tblCellMar>
          <w:top w:w="0" w:type="dxa"/>
          <w:left w:w="0" w:type="dxa"/>
          <w:bottom w:w="0" w:type="dxa"/>
          <w:right w:w="0" w:type="dxa"/>
        </w:tblCellMar>
      </w:tblPr>
      <w:tr>
        <w:trPr>
          <w:trHeight w:val="155"/>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4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160" w:type="dxa"/>
            <w:vAlign w:val="bottom"/>
          </w:tcPr>
          <w:p>
            <w:pPr>
              <w:ind w:left="3440"/>
              <w:spacing w:after="0"/>
              <w:rPr>
                <w:sz w:val="20"/>
                <w:szCs w:val="20"/>
                <w:color w:val="auto"/>
              </w:rPr>
            </w:pPr>
            <w:r>
              <w:rPr>
                <w:rFonts w:ascii="Times New Roman" w:cs="Times New Roman" w:eastAsia="Times New Roman" w:hAnsi="Times New Roman"/>
                <w:sz w:val="13"/>
                <w:szCs w:val="13"/>
                <w:color w:val="auto"/>
              </w:rPr>
              <w:t>Emerging growth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bl>
    <w:p>
      <w:pPr>
        <w:ind w:left="7" w:right="100" w:firstLine="376"/>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 w:lineRule="exact"/>
        <w:rPr>
          <w:sz w:val="24"/>
          <w:szCs w:val="24"/>
          <w:color w:val="auto"/>
        </w:rPr>
      </w:pPr>
    </w:p>
    <w:p>
      <w:pPr>
        <w:ind w:left="7" w:right="400" w:firstLine="37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7" w:right="260" w:firstLine="376"/>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ind w:left="7" w:right="340" w:firstLine="37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367"/>
        <w:spacing w:after="0" w:line="150" w:lineRule="exact"/>
        <w:tabs>
          <w:tab w:leader="none" w:pos="6227" w:val="left"/>
          <w:tab w:leader="none" w:pos="6767"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ind w:left="7" w:right="180" w:firstLine="376"/>
        <w:spacing w:after="0"/>
        <w:rPr>
          <w:sz w:val="20"/>
          <w:szCs w:val="20"/>
          <w:color w:val="auto"/>
        </w:rPr>
      </w:pPr>
      <w:r>
        <w:rPr>
          <w:rFonts w:ascii="Times New Roman" w:cs="Times New Roman" w:eastAsia="Times New Roman" w:hAnsi="Times New Roman"/>
          <w:sz w:val="13"/>
          <w:szCs w:val="13"/>
          <w:color w:val="auto"/>
        </w:rPr>
        <w:t>The aggregate market value of the voting and non-voting stock held by non-affiliates of the registrant as of June 30, 2025, the last business day of the registrant's most recently completed second fiscal quarter, was $1,142,289,746 based upon the closing price reported for such date on the NASDAQ Global Select Market.</w:t>
      </w:r>
    </w:p>
    <w:p>
      <w:pPr>
        <w:spacing w:after="0" w:line="25"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13"/>
          <w:szCs w:val="13"/>
          <w:color w:val="auto"/>
        </w:rPr>
        <w:t>As of February 20, 2026, 134,681,898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975360</wp:posOffset>
            </wp:positionV>
            <wp:extent cx="71831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62230</wp:posOffset>
            </wp:positionV>
            <wp:extent cx="71577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7"/>
          </w:cols>
          <w:pgMar w:left="333" w:top="1084" w:right="318"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2" w:lineRule="exact"/>
        <w:rPr>
          <w:sz w:val="20"/>
          <w:szCs w:val="20"/>
          <w:color w:val="auto"/>
        </w:rPr>
      </w:pPr>
    </w:p>
    <w:p>
      <w:pPr>
        <w:ind w:firstLine="376"/>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its 2026 Annual Meeting of Stockholders are incorporated by reference into Part III of this Form 10-K. Such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597535</wp:posOffset>
            </wp:positionV>
            <wp:extent cx="71831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32" w:right="338"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3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8"/>
              </w:rPr>
              <w:t>Gogo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40" w:type="dxa"/>
            <w:vAlign w:val="bottom"/>
            <w:gridSpan w:val="7"/>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1"/>
        </w:trPr>
        <w:tc>
          <w:tcPr>
            <w:tcW w:w="9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760" w:type="dxa"/>
            <w:vAlign w:val="bottom"/>
            <w:gridSpan w:val="20"/>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8500" w:type="dxa"/>
            <w:vAlign w:val="bottom"/>
            <w:gridSpan w:val="18"/>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Cybersecurity</w:t>
            </w:r>
          </w:p>
        </w:tc>
        <w:tc>
          <w:tcPr>
            <w:tcW w:w="7360" w:type="dxa"/>
            <w:vAlign w:val="bottom"/>
            <w:gridSpan w:val="12"/>
          </w:tcPr>
          <w:p>
            <w:pPr>
              <w:spacing w:after="0"/>
              <w:rPr>
                <w:sz w:val="17"/>
                <w:szCs w:val="17"/>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400" w:type="dxa"/>
            <w:vAlign w:val="bottom"/>
            <w:gridSpan w:val="1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3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4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290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4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4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17"/>
                <w:szCs w:val="17"/>
                <w:color w:val="auto"/>
              </w:rPr>
            </w:pPr>
          </w:p>
        </w:tc>
        <w:tc>
          <w:tcPr>
            <w:tcW w:w="532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1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96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500" w:type="dxa"/>
            <w:vAlign w:val="bottom"/>
            <w:gridSpan w:val="10"/>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669"/>
        </w:trPr>
        <w:tc>
          <w:tcPr>
            <w:tcW w:w="940" w:type="dxa"/>
            <w:vAlign w:val="bottom"/>
          </w:tcPr>
          <w:p>
            <w:pPr>
              <w:spacing w:after="0"/>
              <w:rPr>
                <w:sz w:val="24"/>
                <w:szCs w:val="24"/>
                <w:color w:val="auto"/>
              </w:rPr>
            </w:pPr>
          </w:p>
        </w:tc>
        <w:tc>
          <w:tcPr>
            <w:tcW w:w="1540" w:type="dxa"/>
            <w:vAlign w:val="bottom"/>
            <w:tcBorders>
              <w:top w:val="single" w:sz="8" w:color="0000FF"/>
            </w:tcBorders>
            <w:gridSpan w:val="6"/>
          </w:tcPr>
          <w:p>
            <w:pPr>
              <w:spacing w:after="0"/>
              <w:rPr>
                <w:sz w:val="24"/>
                <w:szCs w:val="24"/>
                <w:color w:val="auto"/>
              </w:rPr>
            </w:pPr>
          </w:p>
        </w:tc>
        <w:tc>
          <w:tcPr>
            <w:tcW w:w="3360" w:type="dxa"/>
            <w:vAlign w:val="bottom"/>
            <w:gridSpan w:val="9"/>
          </w:tcPr>
          <w:p>
            <w:pPr>
              <w:jc w:val="center"/>
              <w:ind w:left="285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19"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or requires, as used in this Annual Report on Form 10-K for the fiscal year ended December 31, 2025, references to: (i) “we,” “us,” “our,” “Gogo,” or the “Company” refer to Gogo Inc. and its directly and indirectly owned subsidiaries as a combined entity, except where otherwise stated or where it is clear that the term means only Gogo Inc. exclusive of its subsidiaries; and (ii) “fiscal,” when used in reference to any twelve-month period ended December 31, refers to our fiscal year ended December 31. Unless otherwise indicated, information contained in this Annual Report on Form 10-K is as of December 31, 2025. We have made rounding adjustments to reach some of the figures included in this Annual Report on Form 10-K and, unless otherwise indicated, percentages presented in this Annual Report on Form 10-K are approximate.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Risk Factor Summary</w:t>
      </w:r>
    </w:p>
    <w:p>
      <w:pPr>
        <w:spacing w:after="0" w:line="121" w:lineRule="exact"/>
        <w:rPr>
          <w:sz w:val="20"/>
          <w:szCs w:val="20"/>
          <w:color w:val="auto"/>
        </w:rPr>
      </w:pPr>
    </w:p>
    <w:p>
      <w:pPr>
        <w:ind w:right="140" w:firstLine="511"/>
        <w:spacing w:after="0" w:line="255" w:lineRule="auto"/>
        <w:rPr>
          <w:sz w:val="20"/>
          <w:szCs w:val="20"/>
          <w:color w:val="auto"/>
        </w:rPr>
      </w:pPr>
      <w:r>
        <w:rPr>
          <w:rFonts w:ascii="Times New Roman" w:cs="Times New Roman" w:eastAsia="Times New Roman" w:hAnsi="Times New Roman"/>
          <w:sz w:val="18"/>
          <w:szCs w:val="18"/>
          <w:color w:val="auto"/>
        </w:rPr>
        <w:t>Certain statements in this Annual Report on Form 10-K may constitute “forward-looking” statements within the meaning of the Private Securities Litigation Reform Act of 1995. These forward-looking statements include, without limitation, statements regarding our industry, business strategy, acquisitions,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Annual Report on Form 10-K.</w:t>
      </w:r>
    </w:p>
    <w:p>
      <w:pPr>
        <w:spacing w:after="0" w:line="8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Factors that could cause actual events, results or outcomes to differ from those anticipated by these and other forward-looking statements include, among others, the items in the following list, which also summarizes some of our more principal risks: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119" w:lineRule="exact"/>
        <w:rPr>
          <w:sz w:val="20"/>
          <w:szCs w:val="20"/>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revenue from the provision of our connectivity and other service offerings;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single-source, third party satellite network providers;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components and services;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high-quality customer support;</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and fixed-price contracts;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U.S. government contracts;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non-U.S. government contracts;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finite useful life of satellites;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supply chain and logistics issues, tariffs and inflationary trends;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expansion of our business outside of the United States;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expansion geographically and otherwise on our corporate culture;</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 and the loss of any key personnel;</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outbreaks of contagious diseases, and the measures implemented to combat them;</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 and geopolitical instability;</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tax assets;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 and other sustainability-related matters; and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976" w:right="378" w:bottom="1440" w:gutter="0" w:footer="0" w:header="0"/>
        </w:sectPr>
      </w:pPr>
    </w:p>
    <w:bookmarkStart w:id="4" w:name="page5"/>
    <w:bookmarkEnd w:id="4"/>
    <w:p>
      <w:pPr>
        <w:ind w:left="520" w:hanging="517"/>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or pursue strategic opportunities.</w:t>
      </w:r>
    </w:p>
    <w:p>
      <w:pPr>
        <w:spacing w:after="0" w:line="200" w:lineRule="exact"/>
        <w:rPr>
          <w:sz w:val="20"/>
          <w:szCs w:val="20"/>
          <w:color w:val="auto"/>
        </w:rPr>
      </w:pPr>
    </w:p>
    <w:p>
      <w:pPr>
        <w:spacing w:after="0" w:line="241" w:lineRule="exact"/>
        <w:rPr>
          <w:sz w:val="20"/>
          <w:szCs w:val="20"/>
          <w:color w:val="auto"/>
        </w:rPr>
      </w:pPr>
    </w:p>
    <w:p>
      <w:pPr>
        <w:ind w:left="520" w:hanging="517"/>
        <w:spacing w:after="0"/>
        <w:tabs>
          <w:tab w:leader="none" w:pos="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recently-deployed Gogo 5G and Gogo Galileo services may not compete well in the market or face problems relating to implementation;</w:t>
      </w:r>
    </w:p>
    <w:p>
      <w:pPr>
        <w:spacing w:after="0" w:line="128" w:lineRule="exact"/>
        <w:rPr>
          <w:rFonts w:ascii="Times New Roman" w:cs="Times New Roman" w:eastAsia="Times New Roman" w:hAnsi="Times New Roman"/>
          <w:sz w:val="17"/>
          <w:szCs w:val="17"/>
          <w:color w:val="auto"/>
        </w:rPr>
      </w:pPr>
    </w:p>
    <w:p>
      <w:pPr>
        <w:ind w:left="520" w:right="20" w:hanging="517"/>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next-generation technologies and provide products and services useful to our customers and passengers without delay in developing or deploying such technologies, products and services;</w:t>
      </w:r>
    </w:p>
    <w:p>
      <w:pPr>
        <w:spacing w:after="0" w:line="53" w:lineRule="exact"/>
        <w:rPr>
          <w:rFonts w:ascii="Times New Roman" w:cs="Times New Roman" w:eastAsia="Times New Roman" w:hAnsi="Times New Roman"/>
          <w:sz w:val="18"/>
          <w:szCs w:val="18"/>
          <w:color w:val="auto"/>
        </w:rPr>
      </w:pPr>
    </w:p>
    <w:p>
      <w:pPr>
        <w:ind w:left="520" w:right="60" w:hanging="517"/>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4MHz of ATG spectrum in the United States and obtain rights to additional spectrum if needed;</w:t>
      </w:r>
    </w:p>
    <w:p>
      <w:pPr>
        <w:spacing w:after="0" w:line="53" w:lineRule="exact"/>
        <w:rPr>
          <w:rFonts w:ascii="Times New Roman" w:cs="Times New Roman" w:eastAsia="Times New Roman" w:hAnsi="Times New Roman"/>
          <w:sz w:val="18"/>
          <w:szCs w:val="18"/>
          <w:color w:val="auto"/>
        </w:rPr>
      </w:pPr>
    </w:p>
    <w:p>
      <w:pPr>
        <w:ind w:left="520" w:right="500" w:hanging="517"/>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interruptions or delays, cybersecurity incidents, technology failures, equipment damage or system disruptions or failures;</w:t>
      </w:r>
    </w:p>
    <w:p>
      <w:pPr>
        <w:spacing w:after="0" w:line="53"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 in our products and services;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open-source software; and</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 or material defects or errors in our software.</w:t>
      </w:r>
    </w:p>
    <w:p>
      <w:pPr>
        <w:spacing w:after="0" w:line="200" w:lineRule="exact"/>
        <w:rPr>
          <w:sz w:val="20"/>
          <w:szCs w:val="20"/>
          <w:color w:val="auto"/>
        </w:rPr>
      </w:pPr>
    </w:p>
    <w:p>
      <w:pPr>
        <w:spacing w:after="0" w:line="241" w:lineRule="exact"/>
        <w:rPr>
          <w:sz w:val="20"/>
          <w:szCs w:val="20"/>
          <w:color w:val="auto"/>
        </w:rPr>
      </w:pPr>
    </w:p>
    <w:p>
      <w:pPr>
        <w:ind w:left="520" w:hanging="51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foreign ownership limitations;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regulation of communication networks, and the internet;</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participation in the Federal Communications Commission’s (“FCC”) Supply Chain Reimbursement Program;</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anti-corruption, anti-money laundering and export control laws;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17" w:lineRule="exact"/>
        <w:rPr>
          <w:rFonts w:ascii="Times New Roman" w:cs="Times New Roman" w:eastAsia="Times New Roman" w:hAnsi="Times New Roman"/>
          <w:sz w:val="18"/>
          <w:szCs w:val="18"/>
          <w:color w:val="auto"/>
        </w:rPr>
      </w:pPr>
    </w:p>
    <w:p>
      <w:pPr>
        <w:ind w:left="520" w:right="120" w:hanging="517"/>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distribution of income among various jurisdictions in which we operate as well as changes in tax law or regulation on our U.S. and non-U.S. tax liabilities; and</w:t>
      </w:r>
    </w:p>
    <w:p>
      <w:pPr>
        <w:spacing w:after="0" w:line="53"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laws and regulations on U.S. government contractors.</w:t>
      </w:r>
    </w:p>
    <w:p>
      <w:pPr>
        <w:spacing w:after="0" w:line="200" w:lineRule="exact"/>
        <w:rPr>
          <w:sz w:val="20"/>
          <w:szCs w:val="20"/>
          <w:color w:val="auto"/>
        </w:rPr>
      </w:pPr>
    </w:p>
    <w:p>
      <w:pPr>
        <w:spacing w:after="0" w:line="241" w:lineRule="exact"/>
        <w:rPr>
          <w:sz w:val="20"/>
          <w:szCs w:val="20"/>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substantial indebtedness;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to refinance or repay our existing indebtedness;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restrictions and limitations in the agreements and instruments governing our debt;</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increases in interest rates;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substantial portion of our indebtedness being secured by substantially all of our assets; and</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downgrade, suspension or withdrawal of the rating assigned by a rating agency.</w:t>
      </w:r>
    </w:p>
    <w:p>
      <w:pPr>
        <w:spacing w:after="0" w:line="200" w:lineRule="exact"/>
        <w:rPr>
          <w:sz w:val="20"/>
          <w:szCs w:val="20"/>
          <w:color w:val="auto"/>
        </w:rPr>
      </w:pPr>
    </w:p>
    <w:p>
      <w:pPr>
        <w:spacing w:after="0" w:line="241" w:lineRule="exact"/>
        <w:rPr>
          <w:sz w:val="20"/>
          <w:szCs w:val="20"/>
          <w:color w:val="auto"/>
        </w:rPr>
      </w:pPr>
    </w:p>
    <w:p>
      <w:pPr>
        <w:ind w:left="520" w:hanging="51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our tax losses;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impact of future stock issuances;</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stockholder concentration and of our Executive Chair of the Board being a significant stockholder;</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fulfill our obligations associated with being a public company;</w:t>
      </w:r>
    </w:p>
    <w:p>
      <w:pPr>
        <w:spacing w:after="0" w:line="117" w:lineRule="exact"/>
        <w:rPr>
          <w:rFonts w:ascii="Times New Roman" w:cs="Times New Roman" w:eastAsia="Times New Roman" w:hAnsi="Times New Roman"/>
          <w:sz w:val="18"/>
          <w:szCs w:val="18"/>
          <w:color w:val="auto"/>
        </w:rPr>
      </w:pPr>
    </w:p>
    <w:p>
      <w:pPr>
        <w:ind w:left="520" w:hanging="51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identified material weakness in our internal control over financial reporting; and</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484505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640"/>
          </w:cols>
          <w:pgMar w:left="840" w:top="1088" w:right="438" w:bottom="1440" w:gutter="0" w:footer="0" w:header="0"/>
        </w:sectPr>
      </w:pPr>
    </w:p>
    <w:bookmarkStart w:id="5" w:name="page6"/>
    <w:bookmarkEnd w:id="5"/>
    <w:p>
      <w:pPr>
        <w:ind w:left="1020" w:right="180" w:hanging="517"/>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anti-takeover provisions, ownership provisions and certain other provisions in our charter, our bylaws, Delaware law, and our existing and any future credit facilities.</w:t>
      </w:r>
    </w:p>
    <w:p>
      <w:pPr>
        <w:spacing w:after="0" w:line="54"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8"/>
          <w:szCs w:val="18"/>
          <w:color w:val="auto"/>
        </w:rPr>
        <w:t>Any one of these factors or a combination of these factors could materially affect our financial condition or future results of operations and could influence whether any forward-looking statements contained in this Annual Report on Form 10-K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spacing w:after="0" w:line="116"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Gogo Inc. (“Gogo”, the “Company”, “we” or “us”) is the only multi-orbit, multi-band in-flight connectivity provider offering connectivity technology purpose-built for business and military/government aviation. We have a holistic approach of providing broadband connectivity services to our customers from small to large aircraft and heavy jets through our air-to-ground (“ATG”) technology and integrated low earth orbit (“LEO”) and geostationary earth orbit (“GEO”) satellite solutions provided by multiple satellite constellations owned by our satellite network partners. We aim to deliver to our customers consistent, global tip-to-tail connectivity with a suite of software, hardware, and advanced infrastructure supported by a 24/7/365 in-person customer support team to fit their every need.</w:t>
      </w:r>
    </w:p>
    <w:p>
      <w:pPr>
        <w:spacing w:after="0" w:line="79"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8"/>
          <w:szCs w:val="18"/>
          <w:color w:val="auto"/>
        </w:rPr>
        <w:t>By leveraging our multi-orbit, multi-band in-flight connectivity solutions, our global footprint, including a mature sales force and technical support, we can provide our customers with essential market access, speed, bandwidth, greater reliability, redundancy, and responsiveness that they need around the world. Our connectivity solutions are used by business and military/government aviation customers in over 100 countries, many of which view our products and services as critical to their daily operations and integral to their communications and business infrastructure. We also serve our growing military/government customer base by providing cost-effective, turnkey in-flight connectivity that integrates innovative, commercially proven technologies and software to deliver mission-tailored capabilities.</w:t>
      </w:r>
    </w:p>
    <w:p>
      <w:pPr>
        <w:spacing w:after="0" w:line="79"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8"/>
          <w:szCs w:val="18"/>
          <w:color w:val="auto"/>
        </w:rPr>
        <w:t>We believe that, with our innovative solutions and tailored customer service, we are well-positioned to compete in the evolving in-flight connectivity market, which is undergoing significant change driven by several catalysts. The most significant technological advancement that is driving change in our industry today is the introduction of LEO satellite technology, which provides, among other things, a global service offering, higher capacity, and lower latency than currently available alternatives. Further, we believe that demand for in-flight connectivity will continue to increase because of changes in the demographics of our customer base, the proliferation of social applications, and lifestyle changes that remain in a post-COVID world, such as videoconferencing and live streaming.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Satcom Direct, LLC (the “Transaction”)</w:t>
      </w:r>
    </w:p>
    <w:p>
      <w:pPr>
        <w:spacing w:after="0" w:line="121" w:lineRule="exact"/>
        <w:rPr>
          <w:sz w:val="20"/>
          <w:szCs w:val="20"/>
          <w:color w:val="auto"/>
        </w:rPr>
      </w:pPr>
    </w:p>
    <w:p>
      <w:pPr>
        <w:ind w:right="100" w:firstLine="511"/>
        <w:spacing w:after="0" w:line="256" w:lineRule="auto"/>
        <w:rPr>
          <w:sz w:val="20"/>
          <w:szCs w:val="20"/>
          <w:color w:val="auto"/>
        </w:rPr>
      </w:pPr>
      <w:r>
        <w:rPr>
          <w:rFonts w:ascii="Times New Roman" w:cs="Times New Roman" w:eastAsia="Times New Roman" w:hAnsi="Times New Roman"/>
          <w:sz w:val="18"/>
          <w:szCs w:val="18"/>
          <w:color w:val="auto"/>
        </w:rPr>
        <w:t>On December 3, 2024 (the “Closing”), we purchased all of the issued and outstanding equity interests of Satcom Direct, LLC, a Delaware limited liability company (f/k/a Satcom Direct, Inc., a Florida corporation) and certain of its affiliates and subsidiaries (collectively, “Satcom Direct”), in exchange for (i) an aggregate cash purchase price of approximately $375,000,000, subject to customary post-closing adjustments, (ii) 5,000,000 restricted shares of the Company’s common stock, par value $0.0001 per share (the “Common Stock”) (valued at approximately $40,500,000 based on the Company’s closing stock price of $8.10 on December 2, 2024), and (iii) up to an additional $225,000,000 in potential earnout payments of cash and/or Common Stock tied to realizing certain financial performance milestones over four years following the Closing.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and our Solutions</w:t>
      </w:r>
    </w:p>
    <w:p>
      <w:pPr>
        <w:spacing w:after="0" w:line="121" w:lineRule="exact"/>
        <w:rPr>
          <w:sz w:val="20"/>
          <w:szCs w:val="20"/>
          <w:color w:val="auto"/>
        </w:rPr>
      </w:pPr>
    </w:p>
    <w:p>
      <w:pPr>
        <w:ind w:right="220" w:firstLine="511"/>
        <w:spacing w:after="0" w:line="261" w:lineRule="auto"/>
        <w:rPr>
          <w:sz w:val="20"/>
          <w:szCs w:val="20"/>
          <w:color w:val="auto"/>
        </w:rPr>
      </w:pPr>
      <w:r>
        <w:rPr>
          <w:rFonts w:ascii="Times New Roman" w:cs="Times New Roman" w:eastAsia="Times New Roman" w:hAnsi="Times New Roman"/>
          <w:sz w:val="18"/>
          <w:szCs w:val="18"/>
          <w:color w:val="auto"/>
        </w:rPr>
        <w:t>Our business strategy is to be a global satellite network integrator and facilitator by developing innovative technological and business solutions addressing the specific needs of our business and military/government customers – making connectivity accessible, available, and secure worldwide. Our technological expertise and deep understanding of the in-flight connectivity market, built over decades of leadership in our industry, places us in a prime position for continued growth over the coming decade.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the primary solutions that enable us to pursue our strategy:</w:t>
      </w:r>
    </w:p>
    <w:p>
      <w:pPr>
        <w:spacing w:after="0" w:line="113" w:lineRule="exact"/>
        <w:rPr>
          <w:sz w:val="20"/>
          <w:szCs w:val="20"/>
          <w:color w:val="auto"/>
        </w:rPr>
      </w:pPr>
    </w:p>
    <w:p>
      <w:pPr>
        <w:ind w:left="1020" w:right="180" w:hanging="517"/>
        <w:spacing w:after="0" w:line="25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Gogo Galileo</w:t>
      </w:r>
      <w:r>
        <w:rPr>
          <w:rFonts w:ascii="Times New Roman" w:cs="Times New Roman" w:eastAsia="Times New Roman" w:hAnsi="Times New Roman"/>
          <w:sz w:val="18"/>
          <w:szCs w:val="18"/>
          <w:color w:val="auto"/>
        </w:rPr>
        <w:t>: We commercially launched the first global LEO broadband satellite service purpose-built for business aviation (“Gogo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Galileo”) in the first quarter of 2025. Gogo Galileo uses an electronically steered antenna (“ESA”), specifically designed with Hughes Network Systems, LLC (“Hughes”) to address a broad range of business aviation and military/government aircraft, operating on a LEO satellite network operated by Network Access Associates, Ltd. (“Eutelsat OneWeb”). We believe that Gogo Galileo, in combination with or as an alternative to our ATG and GEO services, will allow us to penetrate the North American market and provide an upgrade path and an additional product for our existing ATG and GEO customer base. In addition, we believe that Gogo Galileo will allow us to penetrate the business aviation and military/government markets outside of North America, where there has been a lower adoption rate of in-flight connectivity. The launch of Gogo Galileo augments our combined product and service offerings for ATG broadband, GEO broadband, and narrowband satellite services, as described below.</w:t>
      </w:r>
    </w:p>
    <w:p>
      <w:pPr>
        <w:spacing w:after="0" w:line="80" w:lineRule="exact"/>
        <w:rPr>
          <w:rFonts w:ascii="Times New Roman" w:cs="Times New Roman" w:eastAsia="Times New Roman" w:hAnsi="Times New Roman"/>
          <w:sz w:val="18"/>
          <w:szCs w:val="18"/>
          <w:color w:val="auto"/>
        </w:rPr>
      </w:pPr>
    </w:p>
    <w:p>
      <w:pPr>
        <w:ind w:left="1020" w:right="180" w:hanging="517"/>
        <w:spacing w:after="0" w:line="25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ATG Broadband Service</w:t>
      </w:r>
      <w:r>
        <w:rPr>
          <w:rFonts w:ascii="Times New Roman" w:cs="Times New Roman" w:eastAsia="Times New Roman" w:hAnsi="Times New Roman"/>
          <w:sz w:val="18"/>
          <w:szCs w:val="18"/>
          <w:color w:val="auto"/>
        </w:rPr>
        <w:t>: Gogo is the leading provider of in-flight connectivity in the ATG broadband market in North America. Gogo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started in analogue ATG technology in the late 1990s, then, as analogue cellular backhaul disappeared, migrated to narrowband satellite connectivity in the early 2000s, and then back to ATG with our digital broadband networks beginning in 2010. We continue to augment our ATG broadband connectivity services through the addition of our fourth ATG broadband network (Gogo 5G), which we launched in the fourth quarter of 2025. We are also actively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7" w:name="page8"/>
    <w:bookmarkEnd w:id="7"/>
    <w:p>
      <w:pPr>
        <w:ind w:left="1020"/>
        <w:spacing w:after="0" w:line="261" w:lineRule="auto"/>
        <w:rPr>
          <w:sz w:val="20"/>
          <w:szCs w:val="20"/>
          <w:color w:val="auto"/>
        </w:rPr>
      </w:pPr>
      <w:r>
        <w:rPr>
          <w:rFonts w:ascii="Times New Roman" w:cs="Times New Roman" w:eastAsia="Times New Roman" w:hAnsi="Times New Roman"/>
          <w:sz w:val="18"/>
          <w:szCs w:val="18"/>
          <w:color w:val="auto"/>
        </w:rPr>
        <w:t>working with a subset of our customers utilizing our AVANCE products and legacy Gogo Biz ATG airborne system to transition to an AVANCE system compatible with a new LTE network. We anticipate this subset of customers will see improved performance because of this network transition, which is expected to occur in 2026. The cost for the transition to the new LTE network is offset by our participation in the FCC Secure and Trusted Communications Networks Reimbursement Program (the “FCC Reimbursement Program”).</w:t>
      </w:r>
    </w:p>
    <w:p>
      <w:pPr>
        <w:spacing w:after="0" w:line="68" w:lineRule="exact"/>
        <w:rPr>
          <w:sz w:val="20"/>
          <w:szCs w:val="20"/>
          <w:color w:val="auto"/>
        </w:rPr>
      </w:pPr>
    </w:p>
    <w:p>
      <w:pPr>
        <w:ind w:left="1020" w:right="360" w:hanging="517"/>
        <w:spacing w:after="0" w:line="26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 Broadband Service</w:t>
      </w:r>
      <w:r>
        <w:rPr>
          <w:rFonts w:ascii="Times New Roman" w:cs="Times New Roman" w:eastAsia="Times New Roman" w:hAnsi="Times New Roman"/>
          <w:sz w:val="18"/>
          <w:szCs w:val="18"/>
          <w:color w:val="auto"/>
        </w:rPr>
        <w:t>: We partner with industry satellite network operators to deliver GEO Ku- and Ka-band services. Our combined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offerings allow us to integrate and offer network agnostic solutions, providing customers with GEO satellite services utilizing networks provided by operators, including, among others, SES S.A. (“SES”) and Viasat, Inc. (“Viasat”).</w:t>
      </w:r>
    </w:p>
    <w:p>
      <w:pPr>
        <w:spacing w:after="0" w:line="62" w:lineRule="exact"/>
        <w:rPr>
          <w:rFonts w:ascii="Times New Roman" w:cs="Times New Roman" w:eastAsia="Times New Roman" w:hAnsi="Times New Roman"/>
          <w:sz w:val="18"/>
          <w:szCs w:val="18"/>
          <w:color w:val="auto"/>
        </w:rPr>
      </w:pPr>
    </w:p>
    <w:p>
      <w:pPr>
        <w:ind w:left="1020" w:right="220" w:hanging="517"/>
        <w:spacing w:after="0" w:line="26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Narrowband Satellite Services</w:t>
      </w:r>
      <w:r>
        <w:rPr>
          <w:rFonts w:ascii="Times New Roman" w:cs="Times New Roman" w:eastAsia="Times New Roman" w:hAnsi="Times New Roman"/>
          <w:sz w:val="18"/>
          <w:szCs w:val="18"/>
          <w:color w:val="auto"/>
        </w:rPr>
        <w:t>: Since our initial migration to narrowband satellite connectivity in the early 2000s, we continue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narrowband satellite services to customers in North America and internationally. We now provide this narrowband satellite service through reseller agreements with satellite providers, including Iridium Satellite LLC (“Iridium”) and Viasat.</w:t>
      </w:r>
    </w:p>
    <w:p>
      <w:pPr>
        <w:spacing w:after="0" w:line="67" w:lineRule="exact"/>
        <w:rPr>
          <w:sz w:val="20"/>
          <w:szCs w:val="20"/>
          <w:color w:val="auto"/>
        </w:rPr>
      </w:pPr>
    </w:p>
    <w:p>
      <w:pPr>
        <w:ind w:right="120" w:firstLine="751"/>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1,321 activated GEO broadband business aviation customer aircraft and 6,402 line-replaceable units (“LRUs”) for our ATG broadband services, of which approximately 4,956 were equipped with AVANCE.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Services and Customer Support</w:t>
      </w:r>
    </w:p>
    <w:p>
      <w:pPr>
        <w:spacing w:after="0" w:line="121" w:lineRule="exact"/>
        <w:rPr>
          <w:sz w:val="20"/>
          <w:szCs w:val="20"/>
          <w:color w:val="auto"/>
        </w:rPr>
      </w:pPr>
    </w:p>
    <w:p>
      <w:pPr>
        <w:ind w:right="320" w:firstLine="511"/>
        <w:spacing w:after="0" w:line="261" w:lineRule="auto"/>
        <w:rPr>
          <w:sz w:val="20"/>
          <w:szCs w:val="20"/>
          <w:color w:val="auto"/>
        </w:rPr>
      </w:pPr>
      <w:r>
        <w:rPr>
          <w:rFonts w:ascii="Times New Roman" w:cs="Times New Roman" w:eastAsia="Times New Roman" w:hAnsi="Times New Roman"/>
          <w:sz w:val="18"/>
          <w:szCs w:val="18"/>
          <w:color w:val="auto"/>
        </w:rPr>
        <w:t>We accomplish our mission as the world’s only multi-orbit, multi-band in-flight connectivity provider, by delivering secure and reliable in-flight connectivity solutions for business and military/government aviation customers, and by offering a comprehensive portfolio of products and services consisting of our in-flight systems, in-flight services, aviation partner support, engineering, design and development services, and production operations functions.</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In-Flight Systems</w:t>
      </w:r>
      <w:r>
        <w:rPr>
          <w:rFonts w:ascii="Times New Roman" w:cs="Times New Roman" w:eastAsia="Times New Roman" w:hAnsi="Times New Roman"/>
          <w:sz w:val="18"/>
          <w:szCs w:val="18"/>
          <w:color w:val="auto"/>
        </w:rPr>
        <w:t>. Across both our business aviation and military/government customer bases, our customers have a broad range of equipment choices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in-flight systems, which allows us to provide a solution based on geography, mission, size of aircraft and passenger preference. Customers can select a variety of different products such as our AVANCE platforms, Gogo Galileo, Plane Simple®, Satcom Direct Router (“SDR”), SD PRO®, FlightDeck Freedom, and other products to fit their needs.</w:t>
      </w:r>
    </w:p>
    <w:p>
      <w:pPr>
        <w:spacing w:after="0" w:line="68"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In-Flight Services (Service Plans)</w:t>
      </w:r>
      <w:r>
        <w:rPr>
          <w:rFonts w:ascii="Times New Roman" w:cs="Times New Roman" w:eastAsia="Times New Roman" w:hAnsi="Times New Roman"/>
          <w:sz w:val="18"/>
          <w:szCs w:val="18"/>
          <w:color w:val="auto"/>
        </w:rPr>
        <w:t>. Across both our business aviation and military/government customer bases, we provide a wide range of in-flight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passengers, flight and cabin crews and our aviation partners. We offer a variety of connectivity services tailored to our various networks and technologies that are generally priced on a per-aircraft per-month basis. We offer service plans ranging from unlimited data usage to an hourly monthly consumption plan, and offer alongside these data plans voice rates, inflight entertainment options, and other service features.</w:t>
      </w:r>
    </w:p>
    <w:p>
      <w:pPr>
        <w:spacing w:after="0" w:line="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Infrastructure</w:t>
      </w:r>
      <w:r>
        <w:rPr>
          <w:rFonts w:ascii="Times New Roman" w:cs="Times New Roman" w:eastAsia="Times New Roman" w:hAnsi="Times New Roman"/>
          <w:sz w:val="18"/>
          <w:szCs w:val="18"/>
          <w:color w:val="auto"/>
        </w:rPr>
        <w:t>. The infrastructure supporting our in-flight connectivity services consists of our networks, towers, cybersecurity software, and data centers.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currently operate a terrestrial network using 3 MHz of licensed spectrum in the 800 MHz band and approximately 260 terrestrial cell sites in the lower 48 states and parts of Alaska and Canada. We have 170 cell sites that comprise our 5G terrestrial network in the lower 48 states to support Gogo 5G. We also manage a network operating center and data center in Melbourne, Florida along with licensed data sites strategically placed around the world to support our global customer base.</w:t>
      </w:r>
    </w:p>
    <w:p>
      <w:pPr>
        <w:spacing w:after="0" w:line="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Customer Support</w:t>
      </w:r>
      <w:r>
        <w:rPr>
          <w:rFonts w:ascii="Times New Roman" w:cs="Times New Roman" w:eastAsia="Times New Roman" w:hAnsi="Times New Roman"/>
          <w:sz w:val="18"/>
          <w:szCs w:val="18"/>
          <w:color w:val="auto"/>
        </w:rPr>
        <w:t>. We strive to deliver a premium customer experience throughout our business. Our support and service organization leads these efforts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provides operational assistance and comprehensive analytics to our customers 24/7/365. The organization assists with installations, troubleshooting, system activations, and data analysis to evaluate our system and operational performance.</w:t>
      </w:r>
    </w:p>
    <w:p>
      <w:pPr>
        <w:spacing w:after="0" w:line="6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Product Development</w:t>
      </w:r>
      <w:r>
        <w:rPr>
          <w:rFonts w:ascii="Times New Roman" w:cs="Times New Roman" w:eastAsia="Times New Roman" w:hAnsi="Times New Roman"/>
          <w:sz w:val="18"/>
          <w:szCs w:val="18"/>
          <w:color w:val="auto"/>
        </w:rPr>
        <w:t>. Our engineering, design, and development (“ED&amp;D”) operations augment our service and support teams. The in-house ED&amp;D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translates business requirements into products that comply with rigorous avionics certification requirements. Specialized capabilities within our ED&amp;D operation include, among others, radiofrequency engineering, airborne platform development, network engineering, systems engineering, and application development and business systems.</w:t>
      </w:r>
    </w:p>
    <w:p>
      <w:pPr>
        <w:spacing w:after="0" w:line="72" w:lineRule="exact"/>
        <w:rPr>
          <w:sz w:val="20"/>
          <w:szCs w:val="20"/>
          <w:color w:val="auto"/>
        </w:rPr>
      </w:pPr>
    </w:p>
    <w:p>
      <w:pPr>
        <w:ind w:right="40" w:firstLine="511"/>
        <w:spacing w:after="0" w:line="281" w:lineRule="auto"/>
        <w:rPr>
          <w:sz w:val="20"/>
          <w:szCs w:val="20"/>
          <w:color w:val="auto"/>
        </w:rPr>
      </w:pPr>
      <w:r>
        <w:rPr>
          <w:rFonts w:ascii="Times New Roman" w:cs="Times New Roman" w:eastAsia="Times New Roman" w:hAnsi="Times New Roman"/>
          <w:sz w:val="17"/>
          <w:szCs w:val="17"/>
          <w:color w:val="auto"/>
        </w:rPr>
        <w:t>Given our highly specialized technology and required production levels, we design, assemble and test our airborne LRUs, SDRs and Plane Simple® terminals in-house, while relying on third parties to manufacture specific components based on our design specifications. We also rely on third parties to manufacture our antennas and generally share antenna design responsibilities and intellectual property with these vendors. Our manufacturing and repair facilities located in the U.S. and in Canada are respectively certified by the Federal Aviation Administration (“FAA”) and Transport Canada Civil Aviation.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and Distribution Partners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Aviation Customers</w:t>
      </w:r>
    </w:p>
    <w:p>
      <w:pPr>
        <w:spacing w:after="0" w:line="121" w:lineRule="exact"/>
        <w:rPr>
          <w:sz w:val="20"/>
          <w:szCs w:val="20"/>
          <w:color w:val="auto"/>
        </w:rPr>
      </w:pPr>
    </w:p>
    <w:p>
      <w:pPr>
        <w:ind w:right="140" w:firstLine="511"/>
        <w:spacing w:after="0" w:line="282" w:lineRule="auto"/>
        <w:rPr>
          <w:sz w:val="20"/>
          <w:szCs w:val="20"/>
          <w:color w:val="auto"/>
        </w:rPr>
      </w:pPr>
      <w:r>
        <w:rPr>
          <w:rFonts w:ascii="Times New Roman" w:cs="Times New Roman" w:eastAsia="Times New Roman" w:hAnsi="Times New Roman"/>
          <w:sz w:val="18"/>
          <w:szCs w:val="18"/>
          <w:color w:val="auto"/>
        </w:rPr>
        <w:t>We provide in-flight connectivity services to a variety of customers needing connectivity, but our end-users are primarily aircraft owners/operators. As of December 31, 2025, our market was comprised of approximately 27,000 business aircraft in North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8" w:name="page9"/>
    <w:bookmarkEnd w:id="8"/>
    <w:p>
      <w:pPr>
        <w:ind w:right="60"/>
        <w:spacing w:after="0" w:line="261" w:lineRule="auto"/>
        <w:rPr>
          <w:sz w:val="20"/>
          <w:szCs w:val="20"/>
          <w:color w:val="auto"/>
        </w:rPr>
      </w:pPr>
      <w:r>
        <w:rPr>
          <w:rFonts w:ascii="Times New Roman" w:cs="Times New Roman" w:eastAsia="Times New Roman" w:hAnsi="Times New Roman"/>
          <w:sz w:val="18"/>
          <w:szCs w:val="18"/>
          <w:color w:val="auto"/>
        </w:rPr>
        <w:t>America, of which approximately 30% have broadband connectivity, and approximately 15,000 business aircraft in the rest of the world, of which approximately 7% have broadband connectivity. As of December 31, 2025, we had approximately 8,050 customers. Our top ten customers accounted for approximately 29% of our 2025 service revenue (excluding service revenue earned under a network sharing agreement with Intelsat Jackson Holdings S.A. (acquired by SES), and no customer accounted for more than 10% of our revenue in 2025.</w:t>
      </w:r>
    </w:p>
    <w:p>
      <w:pPr>
        <w:spacing w:after="0" w:line="72"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We also sell directly to every OEM of business aviation aircraft, including Bombardier, Dassault Falcon, Embraer, Gulfstream, Pilatus, and Textron Aviation. In the aftermarket, we sell through a global distribution network of approximately 140 independent dealers with approximately 220 locations who are certified by the FAA and EASA as Maintenance and Repair Organizations. Our independent dealers market, resell, and obtain FAA, EASA-required supplemental type certificates (“STC”) for our equipment. Our customers also include fractional jet operators such as Avcon Jet, Lux Aviation, NetJets, and VistaJet, charter operators, corporate flight departments, and individuals owning aircraft.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Military and Civilian Government Customers</w:t>
      </w:r>
    </w:p>
    <w:p>
      <w:pPr>
        <w:spacing w:after="0" w:line="121"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Similar to our provision of services for our business aviation customers, we offer a full range of satellite connectivity options for voice, data, and video applications on land, at sea, and in the air for our global military/government customers. Our military/government team services both U.S. and international customers with products and services that have defense, civil, and commercial applications, with our principal customers being agencies of the U.S. federal government, other members of the North American Treaty Organization, and foreign heads of state.</w:t>
      </w:r>
    </w:p>
    <w:p>
      <w:pPr>
        <w:spacing w:after="0" w:line="72" w:lineRule="exact"/>
        <w:rPr>
          <w:sz w:val="20"/>
          <w:szCs w:val="20"/>
          <w:color w:val="auto"/>
        </w:rPr>
      </w:pPr>
    </w:p>
    <w:p>
      <w:pPr>
        <w:ind w:right="260" w:firstLine="511"/>
        <w:spacing w:after="0" w:line="258" w:lineRule="auto"/>
        <w:rPr>
          <w:sz w:val="20"/>
          <w:szCs w:val="20"/>
          <w:color w:val="auto"/>
        </w:rPr>
      </w:pPr>
      <w:r>
        <w:rPr>
          <w:rFonts w:ascii="Times New Roman" w:cs="Times New Roman" w:eastAsia="Times New Roman" w:hAnsi="Times New Roman"/>
          <w:sz w:val="18"/>
          <w:szCs w:val="18"/>
          <w:color w:val="auto"/>
        </w:rPr>
        <w:t>Many of our military/government contracts are subject to a competitive bid process and are awarded based on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Our military/government contracts usually require performance over a period of several months to multiple years. Our long-term contracts may be impacted based on when government appropriated funds are available and to what level, which may result in a delay, reduction or termination of these contracts.</w:t>
      </w:r>
    </w:p>
    <w:p>
      <w:pPr>
        <w:spacing w:after="0" w:line="75" w:lineRule="exact"/>
        <w:rPr>
          <w:sz w:val="20"/>
          <w:szCs w:val="20"/>
          <w:color w:val="auto"/>
        </w:rPr>
      </w:pPr>
    </w:p>
    <w:p>
      <w:pPr>
        <w:ind w:right="540" w:firstLine="511"/>
        <w:spacing w:after="0" w:line="282" w:lineRule="auto"/>
        <w:rPr>
          <w:sz w:val="20"/>
          <w:szCs w:val="20"/>
          <w:color w:val="auto"/>
        </w:rPr>
      </w:pPr>
      <w:r>
        <w:rPr>
          <w:rFonts w:ascii="Times New Roman" w:cs="Times New Roman" w:eastAsia="Times New Roman" w:hAnsi="Times New Roman"/>
          <w:sz w:val="18"/>
          <w:szCs w:val="18"/>
          <w:color w:val="auto"/>
        </w:rPr>
        <w:t>Our eligibility to perform under our military/government contracts requires us to maintain adequate security measures. We have implemented security procedures that we believe adequately satisfy the requirements of our federal government contracts.</w:t>
      </w:r>
    </w:p>
    <w:p>
      <w:pPr>
        <w:spacing w:after="0" w:line="54" w:lineRule="exact"/>
        <w:rPr>
          <w:sz w:val="20"/>
          <w:szCs w:val="20"/>
          <w:color w:val="auto"/>
        </w:rPr>
      </w:pPr>
    </w:p>
    <w:p>
      <w:pPr>
        <w:ind w:right="100" w:firstLine="511"/>
        <w:spacing w:after="0" w:line="266" w:lineRule="auto"/>
        <w:rPr>
          <w:sz w:val="20"/>
          <w:szCs w:val="20"/>
          <w:color w:val="auto"/>
        </w:rPr>
      </w:pPr>
      <w:r>
        <w:rPr>
          <w:rFonts w:ascii="Times New Roman" w:cs="Times New Roman" w:eastAsia="Times New Roman" w:hAnsi="Times New Roman"/>
          <w:sz w:val="18"/>
          <w:szCs w:val="18"/>
          <w:color w:val="auto"/>
        </w:rPr>
        <w:t>We believe that growth in our military/government customer base will be driven in the coming years by increasing reliance on satellite connectivity for military operations, continued increases in demand for resilient and redundant communications, and growing demand for digitization of military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Differentiators</w:t>
      </w:r>
    </w:p>
    <w:p>
      <w:pPr>
        <w:spacing w:after="0" w:line="121" w:lineRule="exact"/>
        <w:rPr>
          <w:sz w:val="20"/>
          <w:szCs w:val="20"/>
          <w:color w:val="auto"/>
        </w:rPr>
      </w:pPr>
    </w:p>
    <w:p>
      <w:pPr>
        <w:ind w:right="220" w:firstLine="511"/>
        <w:spacing w:after="0" w:line="282" w:lineRule="auto"/>
        <w:rPr>
          <w:sz w:val="20"/>
          <w:szCs w:val="20"/>
          <w:color w:val="auto"/>
        </w:rPr>
      </w:pPr>
      <w:r>
        <w:rPr>
          <w:rFonts w:ascii="Times New Roman" w:cs="Times New Roman" w:eastAsia="Times New Roman" w:hAnsi="Times New Roman"/>
          <w:sz w:val="18"/>
          <w:szCs w:val="18"/>
          <w:color w:val="auto"/>
        </w:rPr>
        <w:t>We believe Gogo is uniquely positioned to action on our business aviation and military/government customers’ needs for fast, resilient, redundant and global connectivity, due in part to the competitive differentiators described below:</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Our Product Platform</w:t>
      </w:r>
      <w:r>
        <w:rPr>
          <w:rFonts w:ascii="Times New Roman" w:cs="Times New Roman" w:eastAsia="Times New Roman" w:hAnsi="Times New Roman"/>
          <w:sz w:val="18"/>
          <w:szCs w:val="18"/>
          <w:color w:val="auto"/>
        </w:rPr>
        <w:t>. Our product platform includes three components: networks, antennas, and airborne equipment and software.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comprehensiveness and flexibility in our product platform allow us to align our value proposition with our customers’ priorities and identify solutions based on geography, mission, size of aircraft and passenger preference. For example, our AVANCE and SDR platforms are software-centric and designed to be fungible because both platforms include hardware built with common components that operate on a single operating system across multiple devices.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Our Distribution Relationships</w:t>
      </w:r>
      <w:r>
        <w:rPr>
          <w:rFonts w:ascii="Times New Roman" w:cs="Times New Roman" w:eastAsia="Times New Roman" w:hAnsi="Times New Roman"/>
          <w:sz w:val="18"/>
          <w:szCs w:val="18"/>
          <w:color w:val="auto"/>
        </w:rPr>
        <w:t>. We believe that our distribution network, which sells our products and services to business aviation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military/government customers, is unmatched in our industry. Our distribution partners include every OEM of business aviation aircraft and a global aftermarket network of approximately 150 dealers with approximately 240 locations, many of whom we have worked with for decades. Of these distributors, approximately six sell primarily to global military/government customers. We provide our distributors with support services, including assistance with coordinating end user sales and marketing, strategic planning and training, and second-tier customer support, as well as helping them market our products and services and respond to new business opportunities. As a result, we have trusted relationships with our distribution partners and a proven track record of generating revenues and profits for them, and they have trust and confidence in our ability to continue to do so. This facilitates our sales and our speed to market as our distribution partners are willing to invest in marketing and certification efforts for our equipment.</w:t>
      </w:r>
    </w:p>
    <w:p>
      <w:pPr>
        <w:spacing w:after="0" w:line="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Purpose-Built for Aviation</w:t>
      </w:r>
      <w:r>
        <w:rPr>
          <w:rFonts w:ascii="Times New Roman" w:cs="Times New Roman" w:eastAsia="Times New Roman" w:hAnsi="Times New Roman"/>
          <w:sz w:val="18"/>
          <w:szCs w:val="18"/>
          <w:color w:val="auto"/>
        </w:rPr>
        <w:t>. Our products are specifically designed to meet the unique demands of the business aviation industry, distinguishing them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off-the-shelf commercial alternatives. Unlike standardized solutions, our products are engineered with aviation-grade reliability, safety, and performance in mind, ensuring seamless integration with complex aircraft systems. This industry-specific focus allows us to provide customized, high-performance solutions that align with the operational and regulatory requirements of business aviation. In addition, we leverage our nimble business aviation products and services to meet the demands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9" w:name="page10"/>
    <w:bookmarkEnd w:id="9"/>
    <w:p>
      <w:pPr>
        <w:ind w:right="1320"/>
        <w:spacing w:after="0" w:line="282" w:lineRule="auto"/>
        <w:rPr>
          <w:sz w:val="20"/>
          <w:szCs w:val="20"/>
          <w:color w:val="auto"/>
        </w:rPr>
      </w:pPr>
      <w:r>
        <w:rPr>
          <w:rFonts w:ascii="Times New Roman" w:cs="Times New Roman" w:eastAsia="Times New Roman" w:hAnsi="Times New Roman"/>
          <w:sz w:val="18"/>
          <w:szCs w:val="18"/>
          <w:color w:val="auto"/>
        </w:rPr>
        <w:t>and requirements of many of our military/government customers’ needs without expending additional resources and time creating specific military/government solutions.</w:t>
      </w:r>
    </w:p>
    <w:p>
      <w:pPr>
        <w:spacing w:after="0" w:line="54" w:lineRule="exact"/>
        <w:rPr>
          <w:sz w:val="20"/>
          <w:szCs w:val="20"/>
          <w:color w:val="auto"/>
        </w:rPr>
      </w:pPr>
    </w:p>
    <w:p>
      <w:pPr>
        <w:jc w:val="both"/>
        <w:ind w:right="180" w:firstLine="511"/>
        <w:spacing w:after="0" w:line="266" w:lineRule="auto"/>
        <w:rPr>
          <w:sz w:val="20"/>
          <w:szCs w:val="20"/>
          <w:color w:val="auto"/>
        </w:rPr>
      </w:pPr>
      <w:r>
        <w:rPr>
          <w:rFonts w:ascii="Times New Roman" w:cs="Times New Roman" w:eastAsia="Times New Roman" w:hAnsi="Times New Roman"/>
          <w:sz w:val="18"/>
          <w:szCs w:val="18"/>
          <w:color w:val="auto"/>
        </w:rPr>
        <w:t>To support our specialized product offerings for all of our customers, we maintain a global sales force with deep expertise in the aviation industry. By combining purpose-built products with a knowledgeable and dedicated sales team, we differentiate ourselves in the market, ensuring that our solutions are well-suited to the precise needs of the business aviation and military/government industries.</w:t>
      </w:r>
    </w:p>
    <w:p>
      <w:pPr>
        <w:spacing w:after="0" w:line="6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Our Innovative Culture</w:t>
      </w:r>
      <w:r>
        <w:rPr>
          <w:rFonts w:ascii="Times New Roman" w:cs="Times New Roman" w:eastAsia="Times New Roman" w:hAnsi="Times New Roman"/>
          <w:sz w:val="17"/>
          <w:szCs w:val="17"/>
          <w:color w:val="auto"/>
        </w:rPr>
        <w:t>. We continuously innovate and have a strong track record of innovation in our equipment and service offerings. As of February 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2026, we held approximately 587 U.S. and international patents, most of which relate to network technology. We pioneered and have led innovation in our industry for nearly 30 years, as evidenced by the advancements in our ATG network, AVANCE platform, SDR platform, Plane Simple® GEO broadband antennas, Galileo ESA Ku-broadband antennas, and ancillary software service offerings such as FlightDeck Freedom and SDPro®. We also have created a one-of-a-kind end to end secure connectivity system for our military/government customers through our owned data center, user devices, and terminals.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With respect to the provisioning of our services to the business aviation and military/government markets, we compete against both equipment-providers and GEO- and LEO-satellite based telecommunications service providers, as well as resellers of the above, including but not limited to Honeywell Aerospace, Collins Aerospace, SES, SpaceX, and ViaSat. We also compete with government communications service providers and manufacturers of defense electronics products, systems, or subsystems, including but not limited to BAE Systems, General Dynamics, Telesat, L3Harris, Echostar (Hughes Network Systems), Northrop Grumman, and similar companies for certain contracts tendered to military/government customers.</w:t>
      </w:r>
    </w:p>
    <w:p>
      <w:pPr>
        <w:spacing w:after="0" w:line="75" w:lineRule="exact"/>
        <w:rPr>
          <w:sz w:val="20"/>
          <w:szCs w:val="20"/>
          <w:color w:val="auto"/>
        </w:rPr>
      </w:pPr>
    </w:p>
    <w:p>
      <w:pPr>
        <w:ind w:right="80" w:firstLine="511"/>
        <w:spacing w:after="0" w:line="266" w:lineRule="auto"/>
        <w:rPr>
          <w:sz w:val="20"/>
          <w:szCs w:val="20"/>
          <w:color w:val="auto"/>
        </w:rPr>
      </w:pPr>
      <w:r>
        <w:rPr>
          <w:rFonts w:ascii="Times New Roman" w:cs="Times New Roman" w:eastAsia="Times New Roman" w:hAnsi="Times New Roman"/>
          <w:sz w:val="18"/>
          <w:szCs w:val="18"/>
          <w:color w:val="auto"/>
        </w:rPr>
        <w:t>The markets in which we compete are dynamic and rapidly changing. Technologies are continuing to evolve to solutions offering higher capacity, speed, and other superior advantages. As a result, we maintain strategic relationships with our competitors, who are also our customers or partners, in some cases, to remain nimble and responsive to changing technology and market conditions.</w:t>
      </w:r>
    </w:p>
    <w:p>
      <w:pPr>
        <w:spacing w:after="0" w:line="68" w:lineRule="exact"/>
        <w:rPr>
          <w:sz w:val="20"/>
          <w:szCs w:val="20"/>
          <w:color w:val="auto"/>
        </w:rPr>
      </w:pPr>
    </w:p>
    <w:p>
      <w:pPr>
        <w:ind w:right="80" w:firstLine="511"/>
        <w:spacing w:after="0" w:line="258" w:lineRule="auto"/>
        <w:rPr>
          <w:sz w:val="20"/>
          <w:szCs w:val="20"/>
          <w:color w:val="auto"/>
        </w:rPr>
      </w:pPr>
      <w:r>
        <w:rPr>
          <w:rFonts w:ascii="Times New Roman" w:cs="Times New Roman" w:eastAsia="Times New Roman" w:hAnsi="Times New Roman"/>
          <w:sz w:val="18"/>
          <w:szCs w:val="18"/>
          <w:color w:val="auto"/>
        </w:rPr>
        <w:t>We expect to face competition from other new and existing operators of LEO and/or GEO or other non-GEO satellite networks in the future. We differentiate ourselves in this highly competitive market through the following factors: technological capabilities, redundancy and reliability resulting from our multi-orbit and multi-band solutions, experienced network integration management, price, geographic coverage, customer service, ancillary service offerings for safety and cybersecurity services, product development, conformity to customer specifications, regulatory compliance, quality of support after the sale, and timeliness of delivery and installation.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9" w:lineRule="exact"/>
        <w:rPr>
          <w:sz w:val="20"/>
          <w:szCs w:val="20"/>
          <w:color w:val="auto"/>
        </w:rPr>
      </w:pPr>
    </w:p>
    <w:p>
      <w:pPr>
        <w:ind w:right="140" w:firstLine="511"/>
        <w:spacing w:after="0" w:line="266" w:lineRule="auto"/>
        <w:rPr>
          <w:sz w:val="20"/>
          <w:szCs w:val="20"/>
          <w:color w:val="auto"/>
        </w:rPr>
      </w:pPr>
      <w:r>
        <w:rPr>
          <w:rFonts w:ascii="Times New Roman" w:cs="Times New Roman" w:eastAsia="Times New Roman" w:hAnsi="Times New Roman"/>
          <w:sz w:val="18"/>
          <w:szCs w:val="18"/>
          <w:color w:val="auto"/>
        </w:rPr>
        <w:t>Our business is heavily regulated. Our global operations are subject to significant regulations and international treaties and conventions. We are required to comply with the laws and regulations of, and often obtain approvals from, national and local authorities in connection with the services that we provide. Further, we are subject to the laws and regulations of the jurisdictions where we sell equipment.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Federal Aviation Administration</w:t>
      </w:r>
    </w:p>
    <w:p>
      <w:pPr>
        <w:spacing w:after="0" w:line="12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The FAA prescribes standards and certification requirements for the manufacturing of aircraft and aircraft components, and certifies repair stations to perform aircraft maintenance, preventive maintenance and alterations, including the installation and maintenance of aircraft components. Each type of aircraft operated in the United States under an FAA-issued standard airworthiness certificate must possess an FAA Type Certificate, which constitutes approval of the design of the aircraft type based on applicable airworthiness standards. When a party other than the holder of the Type Certificate develops a major modification to an aircraft already type-certificated, that party must obtain an FAA-issued Supplemental Type Certificate (“STC”) approving the design of the modified aircraft type. The dealers and Original Equipment Manufacturers (“OEMs”) to which we sell our equipment are generally responsible for obtaining STCs for each aircraft type on which our equipment will be installed, and we support them in those efforts. Separate STCs typically are required for different configurations of the same aircraft type, such as when they are configured differently for different owners and operators.</w:t>
      </w:r>
    </w:p>
    <w:p>
      <w:pPr>
        <w:spacing w:after="0" w:line="84"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After an STC is obtained, a manufacturer desiring to manufacture components to be used in the modification covered by the STC must apply to the FAA for a Parts Manufacturing Approval (“PMA”), which permits the holder to manufacture and sell components manufactured in conformity with the PMA and its approved design and data package. In general, each initial PMA is an approval of a manufacturing or modification facility’s production quality control system. PMA supplements are obtained to authorize the manufacture of a particular part in accordance with the requirements of the pertinent PMA, including its production quality control system. We routinely apply for and receive such PMAs and supplements.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10" w:name="page11"/>
    <w:bookmarkEnd w:id="10"/>
    <w:p>
      <w:pPr>
        <w:jc w:val="both"/>
        <w:ind w:left="7" w:right="20" w:firstLine="511"/>
        <w:spacing w:after="0" w:line="266" w:lineRule="auto"/>
        <w:rPr>
          <w:sz w:val="20"/>
          <w:szCs w:val="20"/>
          <w:color w:val="auto"/>
        </w:rPr>
      </w:pPr>
      <w:r>
        <w:rPr>
          <w:rFonts w:ascii="Times New Roman" w:cs="Times New Roman" w:eastAsia="Times New Roman" w:hAnsi="Times New Roman"/>
          <w:sz w:val="18"/>
          <w:szCs w:val="18"/>
          <w:color w:val="auto"/>
        </w:rPr>
        <w:t>Certain of our FCC licenses are conditioned upon our ability to obtain from the FAA a “No Hazard Determination” for our cell sites, which indicates that a proposed structure will not, if built as specified, create a hazard to air navigation. When building or altering certain cell sites, we may first be required to obtain such a determination.</w:t>
      </w:r>
    </w:p>
    <w:p>
      <w:pPr>
        <w:spacing w:after="0" w:line="68" w:lineRule="exact"/>
        <w:rPr>
          <w:sz w:val="20"/>
          <w:szCs w:val="20"/>
          <w:color w:val="auto"/>
        </w:rPr>
      </w:pPr>
    </w:p>
    <w:p>
      <w:pPr>
        <w:jc w:val="both"/>
        <w:ind w:left="7" w:right="20" w:firstLine="511"/>
        <w:spacing w:after="0" w:line="282" w:lineRule="auto"/>
        <w:rPr>
          <w:sz w:val="20"/>
          <w:szCs w:val="20"/>
          <w:color w:val="auto"/>
        </w:rPr>
      </w:pPr>
      <w:r>
        <w:rPr>
          <w:rFonts w:ascii="Times New Roman" w:cs="Times New Roman" w:eastAsia="Times New Roman" w:hAnsi="Times New Roman"/>
          <w:sz w:val="18"/>
          <w:szCs w:val="18"/>
          <w:color w:val="auto"/>
        </w:rPr>
        <w:t>Our business depends on our continuing access to, or use of, these FAA certifications, authorizations and other approvals, and our employment of, or access to, FAA-certified engineering and other professionals.</w:t>
      </w:r>
    </w:p>
    <w:p>
      <w:pPr>
        <w:spacing w:after="0" w:line="54" w:lineRule="exact"/>
        <w:rPr>
          <w:sz w:val="20"/>
          <w:szCs w:val="20"/>
          <w:color w:val="auto"/>
        </w:rPr>
      </w:pPr>
    </w:p>
    <w:p>
      <w:pPr>
        <w:ind w:left="7" w:firstLine="511"/>
        <w:spacing w:after="0" w:line="256" w:lineRule="auto"/>
        <w:rPr>
          <w:sz w:val="20"/>
          <w:szCs w:val="20"/>
          <w:color w:val="auto"/>
        </w:rPr>
      </w:pPr>
      <w:r>
        <w:rPr>
          <w:rFonts w:ascii="Times New Roman" w:cs="Times New Roman" w:eastAsia="Times New Roman" w:hAnsi="Times New Roman"/>
          <w:sz w:val="18"/>
          <w:szCs w:val="18"/>
          <w:color w:val="auto"/>
        </w:rPr>
        <w:t>In accordance with these certifications, authorizations and other approvals, the FAA requires that we maintain, review and document our quality assurance processes. The FAA may visit our facilities at any time as part of our agreement for certification as a manufacturing facility and repair station to ensure that our facilities, procedures and quality control systems continue to meet FAA requirements. In addition, we are responsible for informing the FAA of significant changes to our organization and operations, product failures or defects, and any changes to our operational facilities or FAA-approved quality control systems. Other FAA requirements include training procedures and drug and alcohol screening for safety-sensitive employees working at our facilities or on aircraft.</w:t>
      </w:r>
    </w:p>
    <w:p>
      <w:pPr>
        <w:spacing w:after="0" w:line="75"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b w:val="1"/>
          <w:bCs w:val="1"/>
          <w:i w:val="1"/>
          <w:iCs w:val="1"/>
          <w:color w:val="auto"/>
        </w:rPr>
        <w:t>Foreign Aviation Regulation</w:t>
      </w:r>
    </w:p>
    <w:p>
      <w:pPr>
        <w:spacing w:after="0" w:line="121" w:lineRule="exact"/>
        <w:rPr>
          <w:sz w:val="20"/>
          <w:szCs w:val="20"/>
          <w:color w:val="auto"/>
        </w:rPr>
      </w:pPr>
    </w:p>
    <w:p>
      <w:pPr>
        <w:ind w:left="7" w:right="20" w:firstLine="511"/>
        <w:spacing w:after="0" w:line="256" w:lineRule="auto"/>
        <w:rPr>
          <w:sz w:val="20"/>
          <w:szCs w:val="20"/>
          <w:color w:val="auto"/>
        </w:rPr>
      </w:pPr>
      <w:r>
        <w:rPr>
          <w:rFonts w:ascii="Times New Roman" w:cs="Times New Roman" w:eastAsia="Times New Roman" w:hAnsi="Times New Roman"/>
          <w:sz w:val="18"/>
          <w:szCs w:val="18"/>
          <w:color w:val="auto"/>
        </w:rPr>
        <w:t>According to the Convention on International Civil Aviation, the airworthiness of U.S.-registered and FAA type-certificated aircraft on which FAA-certified Gogo equipment is installed is recognized by civil aviation authorities (“CAAs”) worldwide that are signatories to that Convention. As a result, Gogo does not expect to require further airworthiness certification formalities in countries outside of the United States for U.S.-registered aircraft that already have an STC issued by the FAA covering Gogo equipment. For aircraft registered with a CAA of a country other than the United States, the installation of Gogo equipment requires airworthiness certification from an airworthiness certification body. Typically, the CAA of the country in which the aircraft is registered is responsible for ensuring the airworthiness of any aircraft modifications under its authority.</w:t>
      </w:r>
    </w:p>
    <w:p>
      <w:pPr>
        <w:spacing w:after="0" w:line="79" w:lineRule="exact"/>
        <w:rPr>
          <w:sz w:val="20"/>
          <w:szCs w:val="20"/>
          <w:color w:val="auto"/>
        </w:rPr>
      </w:pPr>
    </w:p>
    <w:p>
      <w:pPr>
        <w:ind w:left="7" w:firstLine="511"/>
        <w:spacing w:after="0" w:line="253" w:lineRule="auto"/>
        <w:rPr>
          <w:sz w:val="20"/>
          <w:szCs w:val="20"/>
          <w:color w:val="auto"/>
        </w:rPr>
      </w:pPr>
      <w:r>
        <w:rPr>
          <w:rFonts w:ascii="Times New Roman" w:cs="Times New Roman" w:eastAsia="Times New Roman" w:hAnsi="Times New Roman"/>
          <w:sz w:val="18"/>
          <w:szCs w:val="18"/>
          <w:color w:val="auto"/>
        </w:rPr>
        <w:t>The FAA holds bilateral agreements with certification authorities around the globe. Bilateral agreements facilitate the reciprocal airworthiness certification of civil aeronautical products that are imported/exported between two signatory countries. A Bilateral Airworthiness Agreement (“BAA”) or Bilateral Aviation Safety Agreement (“BASA”) with Implementation Procedures for Airworthiness provides for airworthiness technical cooperation between the FAA and its counterpart CAA. Under a BAA or BASA, the CAA of the aircraft’s country of registration generally validates STCs issued by the FAA and then issues a Validation Supplemental Type Certificate. For countries with which the FAA does not have a BAA or BASA, Gogo must apply for certification approval with the CAA of the country in which the aircraft is registered. In order to obtain the necessary certification, Gogo will be required to comply with the airworthiness regulations of the country in which the aircraft is registered. Failure to address all foreign airworthiness and aviation regulatory requirements at the commencement of each aircraft operator’s service in any country in which it registers aircraft when there are no applicable bilateral agreements may lead to significant additional costs related to certification and could impact the timing of our ability to provide our service on such aircraft.</w:t>
      </w:r>
    </w:p>
    <w:p>
      <w:pPr>
        <w:spacing w:after="0" w:line="82"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b w:val="1"/>
          <w:bCs w:val="1"/>
          <w:i w:val="1"/>
          <w:iCs w:val="1"/>
          <w:color w:val="auto"/>
        </w:rPr>
        <w:t>U.S. Department of Transportation</w:t>
      </w:r>
    </w:p>
    <w:p>
      <w:pPr>
        <w:spacing w:after="0" w:line="121" w:lineRule="exact"/>
        <w:rPr>
          <w:sz w:val="20"/>
          <w:szCs w:val="20"/>
          <w:color w:val="auto"/>
        </w:rPr>
      </w:pPr>
    </w:p>
    <w:p>
      <w:pPr>
        <w:ind w:left="7" w:right="140" w:firstLine="511"/>
        <w:spacing w:after="0" w:line="258" w:lineRule="auto"/>
        <w:rPr>
          <w:sz w:val="20"/>
          <w:szCs w:val="20"/>
          <w:color w:val="auto"/>
        </w:rPr>
      </w:pPr>
      <w:r>
        <w:rPr>
          <w:rFonts w:ascii="Times New Roman" w:cs="Times New Roman" w:eastAsia="Times New Roman" w:hAnsi="Times New Roman"/>
          <w:sz w:val="18"/>
          <w:szCs w:val="18"/>
          <w:color w:val="auto"/>
        </w:rPr>
        <w:t>The U.S. Department of Transportation (“DOT”) established an Advisory Committee on Accessible Air Transportation to negotiate and develop a proposed rule concerning accommodations for passengers with disabilities in three basic areas, including in-flight entertainment (“IFE”) and closed captioning of IFE. The Committee issued a resolution in late 2016 that included its recommendations to the DOT for a rule on IFE. However, since a final rule on IFE has not yet been issued, it is unclear how, if at all, it may impact Gogo. According to the Agency Rule List – Spring 2025 posted by the Office of Information and Regulatory Affairs, Office of Management and Budget, the rulemaking about accessible IFE is a long-term action.</w:t>
      </w:r>
    </w:p>
    <w:p>
      <w:pPr>
        <w:spacing w:after="0" w:line="71"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b w:val="1"/>
          <w:bCs w:val="1"/>
          <w:i w:val="1"/>
          <w:iCs w:val="1"/>
          <w:color w:val="auto"/>
        </w:rPr>
        <w:t>Federal Communications Commission</w:t>
      </w:r>
    </w:p>
    <w:p>
      <w:pPr>
        <w:spacing w:after="0" w:line="121" w:lineRule="exact"/>
        <w:rPr>
          <w:sz w:val="20"/>
          <w:szCs w:val="20"/>
          <w:color w:val="auto"/>
        </w:rPr>
      </w:pPr>
    </w:p>
    <w:p>
      <w:pPr>
        <w:ind w:left="7" w:right="120" w:firstLine="511"/>
        <w:spacing w:after="0" w:line="261" w:lineRule="auto"/>
        <w:rPr>
          <w:sz w:val="20"/>
          <w:szCs w:val="20"/>
          <w:color w:val="auto"/>
        </w:rPr>
      </w:pPr>
      <w:r>
        <w:rPr>
          <w:rFonts w:ascii="Times New Roman" w:cs="Times New Roman" w:eastAsia="Times New Roman" w:hAnsi="Times New Roman"/>
          <w:sz w:val="18"/>
          <w:szCs w:val="18"/>
          <w:color w:val="auto"/>
        </w:rPr>
        <w:t>Under the Communications Act of 1934, as amended (the “Communications Act”), the FCC licenses the spectrum that we use and regulates the construction, operation, acquisition and sale of our wireless services. The Communications Act and FCC rules also require the FCC’s prior approval of the assignment or transfer of control of an FCC license, or the acquisition, directly or indirectly, of more than 25% of the equity or voting control of Gogo by non-U.S. individuals or entities.</w:t>
      </w:r>
    </w:p>
    <w:p>
      <w:pPr>
        <w:spacing w:after="0" w:line="72" w:lineRule="exact"/>
        <w:rPr>
          <w:sz w:val="20"/>
          <w:szCs w:val="20"/>
          <w:color w:val="auto"/>
        </w:rPr>
      </w:pPr>
    </w:p>
    <w:p>
      <w:pPr>
        <w:ind w:left="7" w:right="20" w:firstLine="511"/>
        <w:spacing w:after="0" w:line="276" w:lineRule="auto"/>
        <w:rPr>
          <w:sz w:val="20"/>
          <w:szCs w:val="20"/>
          <w:color w:val="auto"/>
        </w:rPr>
      </w:pPr>
      <w:r>
        <w:rPr>
          <w:rFonts w:ascii="Times New Roman" w:cs="Times New Roman" w:eastAsia="Times New Roman" w:hAnsi="Times New Roman"/>
          <w:sz w:val="17"/>
          <w:szCs w:val="17"/>
          <w:color w:val="auto"/>
        </w:rPr>
        <w:t>Our various services are regulated differently by the FCC. For example, we provide some of our voice and data services (not including ATG) by reselling the services of satellite operators. Where we offer telecommunications services on a common carrier basis, we are subject to the provisions of Title</w:t>
      </w:r>
    </w:p>
    <w:p>
      <w:pPr>
        <w:spacing w:after="0" w:line="1" w:lineRule="exact"/>
        <w:rPr>
          <w:sz w:val="20"/>
          <w:szCs w:val="20"/>
          <w:color w:val="auto"/>
        </w:rPr>
      </w:pPr>
    </w:p>
    <w:p>
      <w:pPr>
        <w:ind w:left="7" w:right="320" w:hanging="7"/>
        <w:spacing w:after="0" w:line="255" w:lineRule="auto"/>
        <w:tabs>
          <w:tab w:leader="none" w:pos="1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Communications Act, which require, among other things, that the charges and practices of common carriers be just, reasonable and non-discriminatory. In addition, where we provide an interconnected voice over Internet protocol (“VoIP”) service, the FCC applies many, but not all, of the same regulatory requirements to interconnected VoIP services as it does to common carrier telecommunications services.</w:t>
      </w:r>
    </w:p>
    <w:p>
      <w:pPr>
        <w:spacing w:after="0" w:line="78" w:lineRule="exact"/>
        <w:rPr>
          <w:sz w:val="20"/>
          <w:szCs w:val="20"/>
          <w:color w:val="auto"/>
        </w:rPr>
      </w:pPr>
    </w:p>
    <w:p>
      <w:pPr>
        <w:ind w:left="7" w:firstLine="511"/>
        <w:spacing w:after="0" w:line="261" w:lineRule="auto"/>
        <w:rPr>
          <w:sz w:val="20"/>
          <w:szCs w:val="20"/>
          <w:color w:val="auto"/>
        </w:rPr>
      </w:pPr>
      <w:r>
        <w:rPr>
          <w:rFonts w:ascii="Times New Roman" w:cs="Times New Roman" w:eastAsia="Times New Roman" w:hAnsi="Times New Roman"/>
          <w:sz w:val="18"/>
          <w:szCs w:val="18"/>
          <w:color w:val="auto"/>
        </w:rPr>
        <w:t>We offer connectivity service in the United States to business aviation aircraft and, pursuant to an ATG network sharing agreement with Intelsat, to certain commercial aircraft operated by Intelsat’s airline customers, through our own facilities, using our ATG License, a nationwide commercial air-ground radiotelephone license in the 800 MHz band. We obtained and paid for this spectrum through an auction conducted by the FCC. See “—</w:t>
      </w:r>
      <w:r>
        <w:rPr>
          <w:rFonts w:ascii="Times New Roman" w:cs="Times New Roman" w:eastAsia="Times New Roman" w:hAnsi="Times New Roman"/>
          <w:sz w:val="18"/>
          <w:szCs w:val="18"/>
          <w:i w:val="1"/>
          <w:iCs w:val="1"/>
          <w:color w:val="auto"/>
        </w:rPr>
        <w:t>ATG License Terms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Conditions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8" w:right="318" w:bottom="1440" w:gutter="0" w:footer="0" w:header="0"/>
        </w:sectPr>
      </w:pPr>
    </w:p>
    <w:bookmarkStart w:id="11" w:name="page12"/>
    <w:bookmarkEnd w:id="11"/>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In 2023, the FCC adopted regulations, including broadband labeling and digital discrimination rules, that apply to broadband Internet access service. Although those rules remain in effect, in November 2025, the FCC issued a notice of proposed rulemaking seeking comment on eliminating and revising its broadband labeling requirements. In May 2024, the FCC classified broadband Internet access service as a common carrier “telecommunications service” and imposed network neutrality restrictions on blocking access to lawful content, applications, services or non-harmful devices; impairing or degrading lawful Internet traffic on the basis of content, applications, services or non-harmful devices; favoring some lawful Internet traffic over other lawful traffic in exchange for consideration of any kind; or prioritizing the content and services of broadband providers’ affiliates. In January 2025, the U.S. Court of Appeals for the Sixth Circuit found that broadband Internet access service is a non-common carrier “information service” under the Communications Act, thereby overturning the FCC’s network neutrality rules. To the extent future legislation by Congress or state legislatures, further litigation in federal or state courts, or new regulations by the FCC further restrict reasonable network management, impose network neutrality rules, or determine that any of our services qualify as broadband Internet access service, our business may be affected.</w:t>
      </w:r>
    </w:p>
    <w:p>
      <w:pPr>
        <w:spacing w:after="0" w:line="86"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Our Internet connectivity service is also subject to the FCC’s data roaming rules, which require commercial mobile data service (“CMDS”) providers like Gogo to negotiate roaming arrangements with any requesting facilities-based, technologically compatible providers of CMDS. The rules do not give other providers the right to install equipment on Gogo-equipped aircraft and do not require the Gogo service to be provided on a discounted basis, although the arrangement must be “commercially reasonable.” The rules allow us to take reasonable measures to safeguard the quality of our service against network congestion that may result from roaming traffic.</w:t>
      </w:r>
    </w:p>
    <w:p>
      <w:pPr>
        <w:spacing w:after="0" w:line="75" w:lineRule="exact"/>
        <w:rPr>
          <w:sz w:val="20"/>
          <w:szCs w:val="20"/>
          <w:color w:val="auto"/>
        </w:rPr>
      </w:pPr>
    </w:p>
    <w:p>
      <w:pPr>
        <w:ind w:right="100" w:firstLine="511"/>
        <w:spacing w:after="0" w:line="282" w:lineRule="auto"/>
        <w:rPr>
          <w:sz w:val="20"/>
          <w:szCs w:val="20"/>
          <w:color w:val="auto"/>
        </w:rPr>
      </w:pPr>
      <w:r>
        <w:rPr>
          <w:rFonts w:ascii="Times New Roman" w:cs="Times New Roman" w:eastAsia="Times New Roman" w:hAnsi="Times New Roman"/>
          <w:sz w:val="18"/>
          <w:szCs w:val="18"/>
          <w:color w:val="auto"/>
        </w:rPr>
        <w:t>In addition, most of our services are subject to various rules that seek to ensure that the services are accessible to persons with disabilities, including requirements related to the pass-through of closed captioning for certain IP-delivered video content offered through our Gogo Vision.</w:t>
      </w:r>
    </w:p>
    <w:p>
      <w:pPr>
        <w:spacing w:after="0" w:line="54" w:lineRule="exact"/>
        <w:rPr>
          <w:sz w:val="20"/>
          <w:szCs w:val="20"/>
          <w:color w:val="auto"/>
        </w:rPr>
      </w:pPr>
    </w:p>
    <w:p>
      <w:pPr>
        <w:ind w:right="280" w:firstLine="511"/>
        <w:spacing w:after="0" w:line="282" w:lineRule="auto"/>
        <w:rPr>
          <w:sz w:val="20"/>
          <w:szCs w:val="20"/>
          <w:color w:val="auto"/>
        </w:rPr>
      </w:pPr>
      <w:r>
        <w:rPr>
          <w:rFonts w:ascii="Times New Roman" w:cs="Times New Roman" w:eastAsia="Times New Roman" w:hAnsi="Times New Roman"/>
          <w:sz w:val="18"/>
          <w:szCs w:val="18"/>
          <w:color w:val="auto"/>
        </w:rPr>
        <w:t>In addition to the two ATG licenses, we hold microwave licenses that are used for backhaul in our terrestrial network and an authorization for the provision of voice and data services between the United States and foreign points.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ATG License Terms and Conditions</w:t>
      </w:r>
    </w:p>
    <w:p>
      <w:pPr>
        <w:spacing w:after="0" w:line="121" w:lineRule="exact"/>
        <w:rPr>
          <w:sz w:val="20"/>
          <w:szCs w:val="20"/>
          <w:color w:val="auto"/>
        </w:rPr>
      </w:pPr>
    </w:p>
    <w:p>
      <w:pPr>
        <w:jc w:val="both"/>
        <w:ind w:right="160" w:firstLine="511"/>
        <w:spacing w:after="0" w:line="266" w:lineRule="auto"/>
        <w:rPr>
          <w:sz w:val="20"/>
          <w:szCs w:val="20"/>
          <w:color w:val="auto"/>
        </w:rPr>
      </w:pPr>
      <w:r>
        <w:rPr>
          <w:rFonts w:ascii="Times New Roman" w:cs="Times New Roman" w:eastAsia="Times New Roman" w:hAnsi="Times New Roman"/>
          <w:sz w:val="18"/>
          <w:szCs w:val="18"/>
          <w:color w:val="auto"/>
        </w:rPr>
        <w:t>The FCC issued our 3 MHz ATG License on October 31, 2006, for a renewable 10-year term. We have satisfied our obligation under the license to provide “substantial service” to aircraft, and on January 25, 2017, we received confirmation from the FCC that the license has been renewed until October 31, 2026.</w:t>
      </w:r>
    </w:p>
    <w:p>
      <w:pPr>
        <w:spacing w:after="0" w:line="68"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Our 1 MHz ATG license obtained in 2013 from LiveTV Airfone, LLC was also originally issued on October 31, 2006, for a renewable 10-year term, although there was no specific “substantial service” obligation attached to this license. Our application to renew this license was subsequently granted for an additional 10-year term. On August 3, 2017, the FCC released an order that,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construction or substantial service requirement, it is not currently clear what level and length of service the FCC will find adequate when considering the next renewal of the 1 MHz ATG license in 2026. Renewal applications for both ATG licenses must be filed by October 31, 2026.</w:t>
      </w:r>
    </w:p>
    <w:p>
      <w:pPr>
        <w:spacing w:after="0" w:line="81" w:lineRule="exact"/>
        <w:rPr>
          <w:sz w:val="20"/>
          <w:szCs w:val="20"/>
          <w:color w:val="auto"/>
        </w:rPr>
      </w:pPr>
    </w:p>
    <w:p>
      <w:pPr>
        <w:ind w:right="80" w:firstLine="511"/>
        <w:spacing w:after="0" w:line="256" w:lineRule="auto"/>
        <w:rPr>
          <w:sz w:val="20"/>
          <w:szCs w:val="20"/>
          <w:color w:val="auto"/>
        </w:rPr>
      </w:pPr>
      <w:r>
        <w:rPr>
          <w:rFonts w:ascii="Times New Roman" w:cs="Times New Roman" w:eastAsia="Times New Roman" w:hAnsi="Times New Roman"/>
          <w:sz w:val="18"/>
          <w:szCs w:val="18"/>
          <w:color w:val="auto"/>
        </w:rPr>
        <w:t>The service and technical rules that apply to our ATG licenses are mainly located in Part 22 of the FCC’s rules. In 2022, the FCC issued Gogo a waiver of the power measurement rule applicable to the ATG licenses, and the grant of that waiver included various conditions, including the filing of a petition for rulemaking proposing any suggested updates to the FCC rules applicable to our ATG licenses. Gogo filed that petition for rulemaking in 2022, including updating the ATG rules where Gogo had received previous waivers and other minor technical rule changes. The FCC issued a notice of proposed rulemaking in 2025 seeking comment on rule changes that largely aligned with Gogo’s proposals. The FCC can now move forward with adopting the proposed rule changes.</w:t>
      </w:r>
    </w:p>
    <w:p>
      <w:pPr>
        <w:spacing w:after="0" w:line="79" w:lineRule="exact"/>
        <w:rPr>
          <w:sz w:val="20"/>
          <w:szCs w:val="20"/>
          <w:color w:val="auto"/>
        </w:rPr>
      </w:pPr>
    </w:p>
    <w:p>
      <w:pPr>
        <w:ind w:right="60" w:firstLine="511"/>
        <w:spacing w:after="0" w:line="289" w:lineRule="auto"/>
        <w:rPr>
          <w:sz w:val="20"/>
          <w:szCs w:val="20"/>
          <w:color w:val="auto"/>
        </w:rPr>
      </w:pPr>
      <w:r>
        <w:rPr>
          <w:rFonts w:ascii="Times New Roman" w:cs="Times New Roman" w:eastAsia="Times New Roman" w:hAnsi="Times New Roman"/>
          <w:sz w:val="17"/>
          <w:szCs w:val="17"/>
          <w:color w:val="auto"/>
        </w:rPr>
        <w:t>Our two ATG licenses contain certain conditions that require us to comply with all applicable FCC and FAA rules as well as all bilateral agreements between the United States and Canada and the United States and Mexico regarding the frequencies that are allocated for ATG services. These agreements apply to our use of the spectrum in areas adjacent to the United States’ northern and southern borders and in and out of Canadian and Mexican airspace.</w:t>
      </w:r>
    </w:p>
    <w:p>
      <w:pPr>
        <w:spacing w:after="0" w:line="50"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8"/>
          <w:szCs w:val="18"/>
          <w:color w:val="auto"/>
        </w:rPr>
        <w:t>A bilateral ATG spectrum coordination agreement between the U.S. and Canada has been negotiated and approved and a bilateral agreement between the United States and Mexico is pending. In 2012, Industry Canada issued to our Canadian subsidiary a subordinate license that allows us to use Canadian ATG spectrum for which SkySurf Communications Inc. is the primary licensee, and in 2019 the primary license was renewed for an eight-year term expiring June 29, 2027. In 2012, we entered into a license agreement with SkySurf (the “License Agreement”), which commenced on August 14, 2012, and was recently renewed for a second ten-year term expiring July 24, 2032. Provided that the primary spectrum license issued by Industry Canada (now Innovation, Science and Economic Development Canada or “ISED”) to SkySurf remains in effect as of July 24, 2032, the License Agreement is renewable at our option for a further five-year term. The term of the License Agreement, including the second 10-year term and any renewals, is contingent on the effectiveness of the primary spectrum license.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12" w:name="page13"/>
    <w:bookmarkEnd w:id="12"/>
    <w:p>
      <w:pPr>
        <w:ind w:right="140" w:firstLine="511"/>
        <w:spacing w:after="0" w:line="266" w:lineRule="auto"/>
        <w:rPr>
          <w:sz w:val="20"/>
          <w:szCs w:val="20"/>
          <w:color w:val="auto"/>
        </w:rPr>
      </w:pPr>
      <w:r>
        <w:rPr>
          <w:rFonts w:ascii="Times New Roman" w:cs="Times New Roman" w:eastAsia="Times New Roman" w:hAnsi="Times New Roman"/>
          <w:sz w:val="18"/>
          <w:szCs w:val="18"/>
          <w:color w:val="auto"/>
        </w:rPr>
        <w:t>Any future coordination agreement with Mexico and/or a future Mexican ATG licensee could affect our ability to provide our broadband Internet service in the border areas using our current cell sites at current operating power levels and could affect our ability to establish or maintain ATG service in the border areas as aircraft fly into and out of Mexican airspace.</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Equipment Certification</w:t>
      </w:r>
    </w:p>
    <w:p>
      <w:pPr>
        <w:spacing w:after="0" w:line="12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We may not operate, lease, sell, market or distribute any radio transmission equipment used in the provision of our services unless such equipment is compliant with the FCC’s equipment authorization and relevant technical rules. We have the required FCC equipment authorizations for our services in the United States. We continue to obtain and assess certifications required for equipment currently used in the provisioning of our services outside of the United States. In particular, the Company has undertaken a comprehensive analysis of required equipment certifications in global markets in connection with the global launch of Gogo Galileo. To mitigate national security risks posed by foreign adversaries, over the past year, the FCC has updated or proposed new equipment authorization rules to strengthen restrictions on covered equipment and expand compliance obligations across the communications supply chain. This has included additions to its list of covered communications equipment or services deemed to pose a national security risk. We continue to monitor these developments and assess for impacts on our business.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121" w:lineRule="exact"/>
        <w:rPr>
          <w:sz w:val="20"/>
          <w:szCs w:val="20"/>
          <w:color w:val="auto"/>
        </w:rPr>
      </w:pPr>
    </w:p>
    <w:p>
      <w:pPr>
        <w:ind w:right="120" w:firstLine="511"/>
        <w:spacing w:after="0" w:line="256" w:lineRule="auto"/>
        <w:rPr>
          <w:sz w:val="20"/>
          <w:szCs w:val="20"/>
          <w:color w:val="auto"/>
        </w:rPr>
      </w:pPr>
      <w:r>
        <w:rPr>
          <w:rFonts w:ascii="Times New Roman" w:cs="Times New Roman" w:eastAsia="Times New Roman" w:hAnsi="Times New Roman"/>
          <w:sz w:val="18"/>
          <w:szCs w:val="18"/>
          <w:color w:val="auto"/>
        </w:rPr>
        <w:t>As a government contractor, we must comply with laws and regulations relating to U.S. Government and other governments’ contracts, including foreign governments. We are also subject to a variety of acquisition regulations that govern our ability to be reimbursed for costs under government contracts and foreign contracts. Other government contracting regulations require compliance with cybersecurity requirements, prohibit the use of certain telecommunications equipment from identified companies, require a written code of business ethics and conduct, and more. In addition, our government contracts may allow the government or prime contractors to terminate any of our government contracts and subcontracts either without cause or for default based on our performance.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Classified Contracts</w:t>
      </w:r>
    </w:p>
    <w:p>
      <w:pPr>
        <w:spacing w:after="0" w:line="121" w:lineRule="exact"/>
        <w:rPr>
          <w:sz w:val="20"/>
          <w:szCs w:val="20"/>
          <w:color w:val="auto"/>
        </w:rPr>
      </w:pPr>
    </w:p>
    <w:p>
      <w:pPr>
        <w:jc w:val="both"/>
        <w:ind w:right="200" w:firstLine="511"/>
        <w:spacing w:after="0" w:line="261" w:lineRule="auto"/>
        <w:rPr>
          <w:sz w:val="20"/>
          <w:szCs w:val="20"/>
          <w:color w:val="auto"/>
        </w:rPr>
      </w:pPr>
      <w:r>
        <w:rPr>
          <w:rFonts w:ascii="Times New Roman" w:cs="Times New Roman" w:eastAsia="Times New Roman" w:hAnsi="Times New Roman"/>
          <w:sz w:val="18"/>
          <w:szCs w:val="18"/>
          <w:color w:val="auto"/>
        </w:rPr>
        <w:t>We perform some classified work for the U.S. Government that cannot be specifically described. The operating results of classified contracts are included in our consolidated financial statements. The risks associated with performing classified contracts are not materially different from those of our other government contracts. Our internal controls addressing the financial reporting of classified contracts are consistent with our internal controls for our non-classified contracts.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Trade and Export Regulations</w:t>
      </w:r>
    </w:p>
    <w:p>
      <w:pPr>
        <w:spacing w:after="0" w:line="121"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Trade and export policies and regulations, like the Export Administration Regulations (“EAR”), affect our business in and outside the U.S. Sanctions imposed by the U.S. or ally countries, either prohibiting or limiting business with certain entities and countries, may also impact our business. To maintain compliance and mitigate risks related to international sales and exports, we routinely assess our obligations under these regulations.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Security-Related Regulations</w:t>
      </w:r>
    </w:p>
    <w:p>
      <w:pPr>
        <w:spacing w:after="0" w:line="121"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8"/>
          <w:szCs w:val="18"/>
          <w:color w:val="auto"/>
        </w:rPr>
        <w:t>We collect personal information, such as name, address, e-mail address and credit card information, directly from our users when they register to use our services, along with certain identifiers associated with devices using our services. We also may obtain information about our users from third parties or create records that may be personal information in connection with our services. We use the information that we collect and create to, for example, consummate their purchase transaction, customize and personalize content for our users and enhance the entertainment options when using our service. Our collection, protection, disclosure and use of such information are required in some circumstances to comply with our privacy policies, applicable law, and our contractual obligations to aviation partners and other third parties, as well as industry standards such as the Payment Card Industry Data Security Standard.</w:t>
      </w:r>
    </w:p>
    <w:p>
      <w:pPr>
        <w:spacing w:after="0" w:line="81" w:lineRule="exact"/>
        <w:rPr>
          <w:sz w:val="20"/>
          <w:szCs w:val="20"/>
          <w:color w:val="auto"/>
        </w:rPr>
      </w:pPr>
    </w:p>
    <w:p>
      <w:pPr>
        <w:ind w:right="60" w:firstLine="511"/>
        <w:spacing w:after="0" w:line="255" w:lineRule="auto"/>
        <w:rPr>
          <w:sz w:val="20"/>
          <w:szCs w:val="20"/>
          <w:color w:val="auto"/>
        </w:rPr>
      </w:pPr>
      <w:r>
        <w:rPr>
          <w:rFonts w:ascii="Times New Roman" w:cs="Times New Roman" w:eastAsia="Times New Roman" w:hAnsi="Times New Roman"/>
          <w:sz w:val="18"/>
          <w:szCs w:val="18"/>
          <w:color w:val="auto"/>
        </w:rPr>
        <w:t>We must comply with certain Communications Act and FCC privacy and data security rules for our services, including certain provisions applicable to customer proprietary network information (“CPNI”). Effective March 2024, the FCC adopted additional CPNI and cybersecurity rules requiring disclosures of applicable data breaches to the FCC, federal law enforcement, and customers, which may affect our business. Additionally, as a U.S. Government contractor, we recognize our obligations under various Executive Orders regarding cybersecurity, which mandate federal contractors to implement heightened security measures to protect critical infrastructure. As a provider of communication services, we ensure that our cybersecurity practices align with federal guidelines, including those specified by the National Institute of Standards and Technology (“NIST”) and the Federal Information Security Modernization Act (“FISMA”), to protect sensitive government data from cyber threats.</w:t>
      </w:r>
    </w:p>
    <w:p>
      <w:pPr>
        <w:spacing w:after="0" w:line="81"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We are also subject to other federal and state consumer privacy and data security requirements. For example, Section 5 of the Federal Trade Commission (“FTC”) Act prohibits “unfair or deceptive acts or practices in or affecting commerce.” The FTC has been found to have authority to regulate the non-common carrier services offered by communications common carriers, meaning that the FTC may have jurisdiction over some of our services. The FTC has brought enforcement actions under the FTC Act against companies that among other things: (1) collect, use, share or retain personal information in a way that is inconsistent with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13" w:name="page14"/>
    <w:bookmarkEnd w:id="13"/>
    <w:p>
      <w:pPr>
        <w:ind w:right="80"/>
        <w:spacing w:after="0" w:line="266" w:lineRule="auto"/>
        <w:rPr>
          <w:sz w:val="20"/>
          <w:szCs w:val="20"/>
          <w:color w:val="auto"/>
        </w:rPr>
      </w:pPr>
      <w:r>
        <w:rPr>
          <w:rFonts w:ascii="Times New Roman" w:cs="Times New Roman" w:eastAsia="Times New Roman" w:hAnsi="Times New Roman"/>
          <w:sz w:val="18"/>
          <w:szCs w:val="18"/>
          <w:color w:val="auto"/>
        </w:rPr>
        <w:t>representations, commitments, and promises that they make in their privacy policies and other public statements; (2) have privacy policies that do not adequately inform consumers about the Company’s actual practices; and (3) fail to reasonably protect the security, privacy and confidentiality of nonpublic consumer information.</w:t>
      </w:r>
    </w:p>
    <w:p>
      <w:pPr>
        <w:spacing w:after="0" w:line="68"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8"/>
          <w:szCs w:val="18"/>
          <w:color w:val="auto"/>
        </w:rPr>
        <w:t>We may also be subject to state laws pertaining to privacy and data security, such as the “mini-FTC Acts,” which prohibit unfair or deceptive acts or practices, along with data security breach notification laws requiring entities holding certain personal data to provide notices in the event of a breach of the security of that data. A few states have also imposed specific data security obligations. These state mini-FTC Acts, data security breach notification laws, and data security obligations may not extend to all of our services and their applicability may be limited by various factors, such as whether an affected party is a resident of a particular state.</w:t>
      </w:r>
    </w:p>
    <w:p>
      <w:pPr>
        <w:spacing w:after="0" w:line="75" w:lineRule="exact"/>
        <w:rPr>
          <w:sz w:val="20"/>
          <w:szCs w:val="20"/>
          <w:color w:val="auto"/>
        </w:rPr>
      </w:pPr>
    </w:p>
    <w:p>
      <w:pPr>
        <w:ind w:right="120" w:firstLine="511"/>
        <w:spacing w:after="0" w:line="254" w:lineRule="auto"/>
        <w:rPr>
          <w:sz w:val="20"/>
          <w:szCs w:val="20"/>
          <w:color w:val="auto"/>
        </w:rPr>
      </w:pPr>
      <w:r>
        <w:rPr>
          <w:rFonts w:ascii="Times New Roman" w:cs="Times New Roman" w:eastAsia="Times New Roman" w:hAnsi="Times New Roman"/>
          <w:sz w:val="18"/>
          <w:szCs w:val="18"/>
          <w:color w:val="auto"/>
        </w:rPr>
        <w:t>Certain states have also enacted specific comprehensive privacy laws to which we may be subject. For example, the California Consumer Privacy Act (“CCPA”), provides broad privacy rights for California consumers, including, among others, the right to obtain copies of their personal information collected in the past 12 months, the ability to opt out from the sale of personal information or the sharing of personal information for targeted advertising purposes, and the right to request the deletion of personal information. The CCPA also imposes compliance requirements on companies that do business in California and collect personal information from consumers, including, among others, notice, consent and service provider requirements. The CCPA also provides for civil penalties for violations as well as a private right of action for data breaches that may increase data breach litigation. New regulations under the CCPA requiring risk assessments and cybersecurity audits and regulating the use of automated decision-making technology were finalized in 2025 and took effect in January 2026, with staggered future deadlines for some provisions.</w:t>
      </w:r>
    </w:p>
    <w:p>
      <w:pPr>
        <w:spacing w:after="0" w:line="84" w:lineRule="exact"/>
        <w:rPr>
          <w:sz w:val="20"/>
          <w:szCs w:val="20"/>
          <w:color w:val="auto"/>
        </w:rPr>
      </w:pPr>
    </w:p>
    <w:p>
      <w:pPr>
        <w:ind w:right="240" w:firstLine="511"/>
        <w:spacing w:after="0" w:line="282" w:lineRule="auto"/>
        <w:rPr>
          <w:sz w:val="20"/>
          <w:szCs w:val="20"/>
          <w:color w:val="auto"/>
        </w:rPr>
      </w:pPr>
      <w:r>
        <w:rPr>
          <w:rFonts w:ascii="Times New Roman" w:cs="Times New Roman" w:eastAsia="Times New Roman" w:hAnsi="Times New Roman"/>
          <w:sz w:val="18"/>
          <w:szCs w:val="18"/>
          <w:color w:val="auto"/>
        </w:rPr>
        <w:t>Nearly two dozen state privacy laws have come into effect since 2020. These laws provide broad new privacy rights for consumers in these states, including the right to opt out of targeted advertising and certain profiling activities.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Congress and other state legislatures have also been considering additional legislation relating to privacy, artificial intelligence and data breaches.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additional laws be enacted, they could affect our business.</w:t>
      </w:r>
    </w:p>
    <w:p>
      <w:pPr>
        <w:spacing w:after="0" w:line="99" w:lineRule="exact"/>
        <w:rPr>
          <w:sz w:val="20"/>
          <w:szCs w:val="20"/>
          <w:color w:val="auto"/>
        </w:rPr>
      </w:pPr>
    </w:p>
    <w:p>
      <w:pPr>
        <w:ind w:right="80" w:firstLine="511"/>
        <w:spacing w:after="0" w:line="255" w:lineRule="auto"/>
        <w:rPr>
          <w:sz w:val="20"/>
          <w:szCs w:val="20"/>
          <w:color w:val="auto"/>
        </w:rPr>
      </w:pPr>
      <w:r>
        <w:rPr>
          <w:rFonts w:ascii="Times New Roman" w:cs="Times New Roman" w:eastAsia="Times New Roman" w:hAnsi="Times New Roman"/>
          <w:sz w:val="18"/>
          <w:szCs w:val="18"/>
          <w:color w:val="auto"/>
        </w:rPr>
        <w:t>To the extent we collect personal information of residents of other countries, we may be subject to the data protection regulations of the relevant countries. The General Data Protection Regulation (“GDPR”) of the European Union (“EU”) has imposed more restrictive privacy-related requirements for entities outside the EU that (i) have an establishment in the EU, (ii) offer goods or services targeted at European data subjects, or (iii) monitor the behavior of European data subjects. EU member states also have some flexibility to supplement the GDPR with their own laws and regulations and may apply stricter requirements for certain data processing activities. Additionally, in Canada, the Personal Information Protection and Electronic Documents Act of 2000 (“PIPEDA”) and substantially similar provincial laws may impose data privacy and security obligations on the processing of personal data. The regulation of data privacy and security in other jurisdictions continues to evolve.</w:t>
      </w:r>
    </w:p>
    <w:p>
      <w:pPr>
        <w:spacing w:after="0" w:line="81"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8"/>
          <w:szCs w:val="18"/>
          <w:color w:val="auto"/>
        </w:rPr>
        <w:t>In addition, certain countries have laws that restrict the transfer of personal information outside of such countries. For example, Switzerland, the United Kingdom and the member states of the EU impose restrictions on transferring such data to countries, including the U.S., that they do not deem to offer a similar standard of protection as they require. Certain mechanisms apply under Swiss, United Kingdom and EU member state laws, such as Binding Corporate Rules (“BCRs”) and Standard Contractual Clauses (“SCCs”), that permit the cross-border transfer of personal information to countries that are not deemed adequate, if implemented alongside certain safeguards including transfer impact assessments. EU data protection authorities continue to refine their perspectives on the supplementary measures that may be needed when relying on the SCCs. Depending on the supplementary measures that may need to be taken to support transfers and implement the SCC, our ability to lawfully transfer personally identifiable information out of relevant jurisdictions to the United States or other jurisdictions may be impacted.</w:t>
      </w:r>
    </w:p>
    <w:p>
      <w:pPr>
        <w:spacing w:after="0" w:line="84" w:lineRule="exact"/>
        <w:rPr>
          <w:sz w:val="20"/>
          <w:szCs w:val="20"/>
          <w:color w:val="auto"/>
        </w:rPr>
      </w:pPr>
    </w:p>
    <w:p>
      <w:pPr>
        <w:jc w:val="both"/>
        <w:ind w:right="140" w:firstLine="511"/>
        <w:spacing w:after="0" w:line="261" w:lineRule="auto"/>
        <w:rPr>
          <w:sz w:val="20"/>
          <w:szCs w:val="20"/>
          <w:color w:val="auto"/>
        </w:rPr>
      </w:pPr>
      <w:r>
        <w:rPr>
          <w:rFonts w:ascii="Times New Roman" w:cs="Times New Roman" w:eastAsia="Times New Roman" w:hAnsi="Times New Roman"/>
          <w:sz w:val="18"/>
          <w:szCs w:val="18"/>
          <w:color w:val="auto"/>
        </w:rPr>
        <w:t>Other countries, such as Australia, Brazil, China, India and Russia have also implemented, amended or been considering legislation regarding data protection, data security, breach notification and data transfers/localization. For instance, China has adopted new requirements for data transfers outside of China and India recently finalized its Digital Personal Data Protection Act regulations. Such laws may affect our business and, should any additional laws be enacted in countries in which we do business, those laws may also affect our business.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Truth in Billing and Consumer Protection</w:t>
      </w:r>
    </w:p>
    <w:p>
      <w:pPr>
        <w:spacing w:after="0" w:line="12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The FCC’s Truth in Billing rules require full and fair disclosure of all charges on customer bills for telecommunications services, except for broadband Internet access services. Thus, these rules apply to our satellite-based services. This disclosure must include brief, clear and non-misleading plain language descriptions of the services provided. States also have the right to regulate wireless carriers’ billing; however, we are not currently aware of any states that impose billing requirements on ATG services. In July 2025, the FCC announced it was reviewing its Truth in Billing rules and sought comment on whether the rules remain necessary to protect consumers and whether updates are warranted. We are monitoring for potential updates to these rules any impacts on our obligations.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CALEA</w:t>
      </w:r>
    </w:p>
    <w:p>
      <w:pPr>
        <w:spacing w:after="0" w:line="121" w:lineRule="exact"/>
        <w:rPr>
          <w:sz w:val="20"/>
          <w:szCs w:val="20"/>
          <w:color w:val="auto"/>
        </w:rPr>
      </w:pPr>
    </w:p>
    <w:p>
      <w:pPr>
        <w:ind w:right="500" w:firstLine="511"/>
        <w:spacing w:after="0" w:line="261" w:lineRule="auto"/>
        <w:rPr>
          <w:sz w:val="20"/>
          <w:szCs w:val="20"/>
          <w:color w:val="auto"/>
        </w:rPr>
      </w:pPr>
      <w:r>
        <w:rPr>
          <w:rFonts w:ascii="Times New Roman" w:cs="Times New Roman" w:eastAsia="Times New Roman" w:hAnsi="Times New Roman"/>
          <w:sz w:val="18"/>
          <w:szCs w:val="18"/>
          <w:color w:val="auto"/>
        </w:rPr>
        <w:t>The Communications Assistance for Law Enforcement Act, (“CALEA”), requires covered service providers to build certain law enforcement surveillance assistance capabilities into their communications networks or equipment and to maintain CALEA-related system security policies and procedures. Where applicable, we have implemented such policies and procedures and, based upon our periodic self-assessments, we believe that our network is compliant with CALEA.</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FCC Reimbursement Program</w:t>
      </w:r>
    </w:p>
    <w:p>
      <w:pPr>
        <w:spacing w:after="0" w:line="12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In July 2022, the Company was notified that it was approved for participation in the FCC Supply Chain Reimbursement Program (“FCC Reimbursement Program”), a program designed by the FCC at the direction of Congress to reimburse providers of advanced communications services for reasonable costs incurred in the required removal, replacement, and disposal of covered communications equipment or services from their networks that have been deemed to pose a national security risk.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an initial shortfall in the amount appropriated by Congress to fund the FCC Reimbursement Program, approximately $132 million of the approved amount was initially allocated to the Company under the program. In December 2024, the Fiscal Year 2025 National Defense Authorization Act (“FY 2025 NDAA”) was signed into law, authorizing the FCC to borrow funds from the U.S. Treasury sufficient to fully fund the FCC Reimbursement Program. Since then, the FCC has allocated the remaining funding to the Company up to its fully approved amount of approximately $334 million.</w:t>
      </w:r>
    </w:p>
    <w:p>
      <w:pPr>
        <w:spacing w:after="0" w:line="84" w:lineRule="exact"/>
        <w:rPr>
          <w:sz w:val="20"/>
          <w:szCs w:val="20"/>
          <w:color w:val="auto"/>
        </w:rPr>
      </w:pPr>
    </w:p>
    <w:p>
      <w:pPr>
        <w:ind w:right="60" w:firstLine="511"/>
        <w:spacing w:after="0" w:line="254" w:lineRule="auto"/>
        <w:rPr>
          <w:sz w:val="20"/>
          <w:szCs w:val="20"/>
          <w:color w:val="auto"/>
        </w:rPr>
      </w:pPr>
      <w:r>
        <w:rPr>
          <w:rFonts w:ascii="Times New Roman" w:cs="Times New Roman" w:eastAsia="Times New Roman" w:hAnsi="Times New Roman"/>
          <w:sz w:val="18"/>
          <w:szCs w:val="18"/>
          <w:color w:val="auto"/>
        </w:rPr>
        <w:t>Program participants are subject to a number of conditions and requirements under the FCC’s rules. The Company complied with the requirement to submit a reimbursement request prior to the initial July 2023 deadline and received its first disbursement of funds in July 2023, setting an initial one-year deadline to complete the removal, replacement and disposal of covered equipment. The rules permit participants to petition the FCC for one or more six-month extensions of the completion deadline. Due to a number of factors, including supply chain disruptions (e.g., manufacturing and testing delays for specialized equipment), the insufficiency of FCC funding prior to the passage of the FY 2025 NDAA, and the operational and logistical complexity of replacing airborne equipment, the Company was unable to complete the project by the July 2024 deadline, and has sought and been granted two extensions. On May 8, 2025, the FCC established a new program-wide completion deadline of May 8, 2026, for all Priority 1 participants, which includes the Company. The Company expects to require additional extensions past that date.</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February 1, 2026, the Company has filed approximately $98.4 million in claims and received approximately $97.8 million in reimbursements.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500" w:firstLine="511"/>
        <w:spacing w:after="0" w:line="282"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trade secrets, patents, copyrights, trademarks and domain names, as well as contractual restrictions to protect intellectual property and proprietary technology owned or used by us.</w:t>
      </w:r>
    </w:p>
    <w:p>
      <w:pPr>
        <w:spacing w:after="0" w:line="54"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8"/>
          <w:szCs w:val="18"/>
          <w:color w:val="auto"/>
        </w:rPr>
        <w:t>We have patented certain of our technologies in the United States and certain countries outside of the United States. As of February 1, 2026, we held at least 169 U.S. patents expiring on dates ranging from October 2026 to November 2043, and at least 418 foreign patents expiring on dates ranging from June 2026 to September 2047. We do not believe that our business is dependent to any material extent on any single patent or group of patents that we own. We also have a number of patent applications pending both in and outside of the United States, and we will continue to seek patent protection in the United States and certain other countries to the extent we believe such protection is appropriate and cost-effective</w:t>
      </w:r>
      <w:r>
        <w:rPr>
          <w:rFonts w:ascii="Arial" w:cs="Arial" w:eastAsia="Arial" w:hAnsi="Arial"/>
          <w:sz w:val="21"/>
          <w:szCs w:val="21"/>
          <w:color w:val="auto"/>
        </w:rPr>
        <w:t>.</w:t>
      </w:r>
    </w:p>
    <w:p>
      <w:pPr>
        <w:spacing w:after="0" w:line="60" w:lineRule="exact"/>
        <w:rPr>
          <w:sz w:val="20"/>
          <w:szCs w:val="20"/>
          <w:color w:val="auto"/>
        </w:rPr>
      </w:pPr>
    </w:p>
    <w:p>
      <w:pPr>
        <w:ind w:right="220" w:firstLine="511"/>
        <w:spacing w:after="0" w:line="256" w:lineRule="auto"/>
        <w:rPr>
          <w:sz w:val="20"/>
          <w:szCs w:val="20"/>
          <w:color w:val="auto"/>
        </w:rPr>
      </w:pPr>
      <w:r>
        <w:rPr>
          <w:rFonts w:ascii="Times New Roman" w:cs="Times New Roman" w:eastAsia="Times New Roman" w:hAnsi="Times New Roman"/>
          <w:sz w:val="18"/>
          <w:szCs w:val="18"/>
          <w:color w:val="auto"/>
        </w:rPr>
        <w:t>We consider our brands to be important to the success of our business and our competitive position. We rely on both trademark registrations and common law protection for trademarks. Our registered trademarks in the United States and certain other countries include, among others, “Gogo,” “Gogo 5G,” “Gogo Galileo,” “Gogo Biz,” “Gogo Vision,” “Satcom Direct,” “SD Government,” “SD Pro,” “FlightDeck Freedom” and “Plane Simple,” although we may not maintain all marks and have not yet obtained registrations for our most important marks in all markets in which we currently do business or intend to do business in the future. Generally, the protection afforded for trademarks is perpetual, if they are renewed on a timely basis, if registered, and continue to be used properly as trademarks.</w:t>
      </w:r>
    </w:p>
    <w:p>
      <w:pPr>
        <w:spacing w:after="0" w:line="79"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8"/>
          <w:szCs w:val="18"/>
          <w:color w:val="auto"/>
        </w:rPr>
        <w:t>We license or purchase from third parties technology, software and hardware that are critical to providing our products and services. Much of this technology, software and hardware is customized for our use and would be difficult or time-consuming to obtain from alternative vendors. We also license our proprietary technology and software to third parties to enable them to integrate such technology and software into the products they provide to us. Many of our agreements with such third parties are renewable for indefinite periods of time unless either party chooses to terminate, although some of our agreements expire after fixed periods and require renegotiation prior to expiration in order to extend the term. Among the most material of our technology-related agreements are those for modems, base stations and antennas. Our agreements for modems, base stations and antennas do not renew automatically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and thus require periodic renegotiation. Such agreements, as well as certain licenses to commercially available software, are material to our business.</w:t>
      </w:r>
    </w:p>
    <w:p>
      <w:pPr>
        <w:spacing w:after="0" w:line="117" w:lineRule="exact"/>
        <w:rPr>
          <w:sz w:val="20"/>
          <w:szCs w:val="20"/>
          <w:color w:val="auto"/>
        </w:rPr>
      </w:pPr>
    </w:p>
    <w:p>
      <w:pPr>
        <w:ind w:right="260" w:firstLine="511"/>
        <w:spacing w:after="0" w:line="261" w:lineRule="auto"/>
        <w:rPr>
          <w:sz w:val="20"/>
          <w:szCs w:val="20"/>
          <w:color w:val="auto"/>
        </w:rPr>
      </w:pPr>
      <w:r>
        <w:rPr>
          <w:rFonts w:ascii="Times New Roman" w:cs="Times New Roman" w:eastAsia="Times New Roman" w:hAnsi="Times New Roman"/>
          <w:sz w:val="18"/>
          <w:szCs w:val="18"/>
          <w:color w:val="auto"/>
        </w:rPr>
        <w:t>Under the terms of the sale of our commercial aviation (“CA”) business to Intelsat that closed in 2020, we retained ownership of the entire patent portfolio held by Gogo Inc. and its affiliates, including patents developed and obtained in connection with our former CA business. We have granted Intelsat a worldwide, perpetual, non-exclusive license to our patent portfolio for use in the commercial aviation and satellite mobility businesses (each as defined in the license agreement).</w:t>
      </w:r>
    </w:p>
    <w:p>
      <w:pPr>
        <w:spacing w:after="0" w:line="72"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We have developed certain ideas, processes, and methods that contribute to our success and competitive position that we consider to be trade secrets. We protect our trade secrets by keeping them confidential through the use of internal and external controls, including contractual protections with employees, contractors, customers and vendors. Trade secrets can be protected for an indefinite period so long as their secrecy is maintained.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300" w:firstLine="511"/>
        <w:spacing w:after="0" w:line="261" w:lineRule="auto"/>
        <w:rPr>
          <w:sz w:val="20"/>
          <w:szCs w:val="20"/>
          <w:color w:val="auto"/>
        </w:rPr>
      </w:pPr>
      <w:r>
        <w:rPr>
          <w:rFonts w:ascii="Times New Roman" w:cs="Times New Roman" w:eastAsia="Times New Roman" w:hAnsi="Times New Roman"/>
          <w:sz w:val="18"/>
          <w:szCs w:val="18"/>
          <w:color w:val="auto"/>
        </w:rPr>
        <w:t>We believe that our success is the product of an integrated approach to talent management that touches every part of our business. Rather than focusing on individual processes, we manage our employee ecosystem holistically by encouraging behaviors, conversations, relationships, and activities that represent best practices for a high-performing culture. We are committed to fostering a highly engaged workforce and in turn driving satisfaction among partners and customers through initiatives that include the following:</w:t>
      </w:r>
    </w:p>
    <w:p>
      <w:pPr>
        <w:spacing w:after="0" w:line="72" w:lineRule="exact"/>
        <w:rPr>
          <w:sz w:val="20"/>
          <w:szCs w:val="20"/>
          <w:color w:val="auto"/>
        </w:rPr>
      </w:pPr>
    </w:p>
    <w:p>
      <w:pPr>
        <w:ind w:left="1020" w:right="140" w:hanging="517"/>
        <w:spacing w:after="0" w:line="289"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Our compensation program is designed to attract, retain, and reward the best performers. In addition to carefully calibrated salaries and bonuses, which are reviewed annually, our employees benefit from a generous benefit package, including an employee stock purchase and 401(k) program. We also grant additional equity awards on an annual basis to certain employees identified as high performers.</w:t>
      </w:r>
    </w:p>
    <w:p>
      <w:pPr>
        <w:spacing w:after="0" w:line="49" w:lineRule="exact"/>
        <w:rPr>
          <w:rFonts w:ascii="Times New Roman" w:cs="Times New Roman" w:eastAsia="Times New Roman" w:hAnsi="Times New Roman"/>
          <w:sz w:val="17"/>
          <w:szCs w:val="17"/>
          <w:color w:val="auto"/>
        </w:rPr>
      </w:pPr>
    </w:p>
    <w:p>
      <w:pPr>
        <w:ind w:left="1020" w:right="360" w:hanging="517"/>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&amp; Development: The continued development of our people is critical to our success. New hires participate in an onboarding and orientation program, which is intended to build knowledge and understanding of our business. We also invest in various professional development and leadership training initiatives and conduct periodic forums relevant to our business that provide unique learning and networking opportunities across all business functions.</w:t>
      </w:r>
    </w:p>
    <w:p>
      <w:pPr>
        <w:spacing w:after="0" w:line="71" w:lineRule="exact"/>
        <w:rPr>
          <w:rFonts w:ascii="Times New Roman" w:cs="Times New Roman" w:eastAsia="Times New Roman" w:hAnsi="Times New Roman"/>
          <w:sz w:val="18"/>
          <w:szCs w:val="18"/>
          <w:color w:val="auto"/>
        </w:rPr>
      </w:pPr>
    </w:p>
    <w:p>
      <w:pPr>
        <w:ind w:left="1020" w:right="20" w:hanging="517"/>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Our employees’ success is celebrated. Our recognition programs include service awards, peer-to-peer recognition awards (called Gogo Props), spot bonuses for significant contributions above and beyond daily work efforts and special equity awards for high performers nominated by their managers. We believe these programs promote a positive employee experience that champions performance while creating a sense of community.</w:t>
      </w:r>
    </w:p>
    <w:p>
      <w:pPr>
        <w:spacing w:after="0" w:line="71" w:lineRule="exact"/>
        <w:rPr>
          <w:rFonts w:ascii="Times New Roman" w:cs="Times New Roman" w:eastAsia="Times New Roman" w:hAnsi="Times New Roman"/>
          <w:sz w:val="18"/>
          <w:szCs w:val="18"/>
          <w:color w:val="auto"/>
        </w:rPr>
      </w:pPr>
    </w:p>
    <w:p>
      <w:pPr>
        <w:ind w:left="1020" w:right="100" w:hanging="517"/>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Review: We employ a comprehensive talent review program to assess the performance and capabilities of each individual. Annually, we set company-wide priorities that serve as the basis upon which clear individual objectives are set across the entire workforce. Feedback is provided regularly and our annual talent review process identifies and supports high performers in the form of additional development opportunities so that each employee has the opportunity to reach their full potential. By investing in our people and taking the opportunity to promote from within when appropriate, we believe we are best able to reinforce our core values and achieve our strategic objectives.</w:t>
      </w:r>
    </w:p>
    <w:p>
      <w:pPr>
        <w:spacing w:after="0" w:line="75" w:lineRule="exact"/>
        <w:rPr>
          <w:rFonts w:ascii="Times New Roman" w:cs="Times New Roman" w:eastAsia="Times New Roman" w:hAnsi="Times New Roman"/>
          <w:sz w:val="18"/>
          <w:szCs w:val="18"/>
          <w:color w:val="auto"/>
        </w:rPr>
      </w:pPr>
    </w:p>
    <w:p>
      <w:pPr>
        <w:ind w:left="1020" w:right="60" w:hanging="517"/>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Culture and Engagement: We conduct employee engagement surveys to solicit feedback and help guide planning on all people-related efforts and initiatives that not only support our team members but propel our business forward. Our employees have the opportunity to learn more about our business strategy and ask questions of our leadership team during Town Hall meetings we host quarterly. In addition, we engage with our employees through wellness programs, community events, and hosted events at our offices.</w:t>
      </w:r>
    </w:p>
    <w:p>
      <w:pPr>
        <w:spacing w:after="0" w:line="71" w:lineRule="exact"/>
        <w:rPr>
          <w:rFonts w:ascii="Times New Roman" w:cs="Times New Roman" w:eastAsia="Times New Roman" w:hAnsi="Times New Roman"/>
          <w:sz w:val="18"/>
          <w:szCs w:val="18"/>
          <w:color w:val="auto"/>
        </w:rPr>
      </w:pPr>
    </w:p>
    <w:p>
      <w:pPr>
        <w:ind w:left="1020" w:right="120" w:hanging="517"/>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Workplace: Gogo seeks to create an environment where each individual’s uniqueness is respected, and which allows for a sense of inclusion and belonging. We remain committed to having an inclusive workforce with a broad range of knowledge, skills, backgrounds and perspectives. To aid this effort, our initiatives include raising awareness of unconscious bias and investing in and expanding our engagement with students at colleges and universities.</w:t>
      </w:r>
    </w:p>
    <w:p>
      <w:pPr>
        <w:spacing w:after="0" w:line="72"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8"/>
          <w:szCs w:val="18"/>
          <w:color w:val="auto"/>
        </w:rPr>
        <w:t>The efforts outlined above are supported by our dedicated human resources team and led by our Chief Administrative Officer, who is responsible for developing and executing our human capital strategy and regularly updates our Board of Directors and senior management on the operation and status of our human capital activities.</w:t>
      </w:r>
    </w:p>
    <w:p>
      <w:pPr>
        <w:spacing w:after="0" w:line="68" w:lineRule="exact"/>
        <w:rPr>
          <w:sz w:val="20"/>
          <w:szCs w:val="20"/>
          <w:color w:val="auto"/>
        </w:rPr>
      </w:pPr>
    </w:p>
    <w:p>
      <w:pPr>
        <w:ind w:right="140" w:firstLine="511"/>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approximately 680 individuals worldwide, with 81% of our workforce located in the United States, and no employee was covered by a collective bargaining agreement with a union.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511"/>
        <w:spacing w:after="0" w:line="282" w:lineRule="auto"/>
        <w:rPr>
          <w:sz w:val="20"/>
          <w:szCs w:val="20"/>
          <w:color w:val="auto"/>
        </w:rPr>
      </w:pPr>
      <w:r>
        <w:rPr>
          <w:rFonts w:ascii="Times New Roman" w:cs="Times New Roman" w:eastAsia="Times New Roman" w:hAnsi="Times New Roman"/>
          <w:sz w:val="18"/>
          <w:szCs w:val="18"/>
          <w:color w:val="auto"/>
        </w:rPr>
        <w:t>Gogo Inc. is a holding company that does business through its subsidiaries. Our principal operating subsidiaries are (i) Gogo Business Aviation LLC, which is a direct, wholly owned subsidiary of Gogo Intermediate Holdings LLC and (ii) Satcom Direct, LLC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and Satcom Direct Government, LLC, which are directly, wholly owned subsidiaries of Gogo Direct Holdings LLC and indirect, wholly owned subsidiaries of Gogo Intermediate Holdings LLC.</w:t>
      </w:r>
    </w:p>
    <w:p>
      <w:pPr>
        <w:spacing w:after="0" w:line="54" w:lineRule="exact"/>
        <w:rPr>
          <w:sz w:val="20"/>
          <w:szCs w:val="20"/>
          <w:color w:val="auto"/>
        </w:rPr>
      </w:pPr>
    </w:p>
    <w:p>
      <w:pPr>
        <w:ind w:right="360" w:firstLine="511"/>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105 Edgeview Dr., Suite 300, Broomfield, CO 80021. Our telephone number is (303) 301-3271. Our primary website addresses are www.gogoair.com and https://sdgov.gogoair.com.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8"/>
          <w:szCs w:val="18"/>
          <w:color w:val="auto"/>
        </w:rPr>
        <w:t>Our investor relations website is located at http://ir.gogoair.com. Our Proxy Statements, Annual Reports on Form 10-K, Quarterly Reports on Form 10-Q, Current Reports on Form 8-K and amendments to reports filed or furnished pursuant to Sections 13(a) and 15(d) of the Securities Exchange Act of 1934, as amended (the “Exchange Act”), are available free of charge on the investor relations website as soon as reasonably practicable after we electronically file such material with, or furnish it to, the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w:t>
      </w:r>
    </w:p>
    <w:p>
      <w:pPr>
        <w:spacing w:after="0" w:line="79" w:lineRule="exact"/>
        <w:rPr>
          <w:sz w:val="20"/>
          <w:szCs w:val="20"/>
          <w:color w:val="auto"/>
        </w:rPr>
      </w:pPr>
    </w:p>
    <w:p>
      <w:pPr>
        <w:ind w:right="60" w:firstLine="511"/>
        <w:spacing w:after="0" w:line="274" w:lineRule="auto"/>
        <w:rPr>
          <w:sz w:val="20"/>
          <w:szCs w:val="20"/>
          <w:color w:val="auto"/>
        </w:rPr>
      </w:pPr>
      <w:r>
        <w:rPr>
          <w:rFonts w:ascii="Times New Roman" w:cs="Times New Roman" w:eastAsia="Times New Roman" w:hAnsi="Times New Roman"/>
          <w:sz w:val="17"/>
          <w:szCs w:val="17"/>
          <w:color w:val="auto"/>
        </w:rPr>
        <w:t>We may use our website as a distribution channel of material company information, and so investors should monitor it. 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and others can receive notifications of new information posted on our investor relations website in real-time by signing up for email alerts and RSS feeds.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You should consider and read carefully all of the risks and uncertainties described below, as well as other information included in this Annual Report on Form 10-K,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on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2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generate revenue from the provision of our connectivity and other service offerings, which could materially and adversely affect our business and profitability.</w:t>
      </w:r>
    </w:p>
    <w:p>
      <w:pPr>
        <w:spacing w:after="0" w:line="51"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Our business is dependent on our ability to continuously attract and retain users of our connectivity and other service offerings, and we cannot be certain that we will be successful in these efforts or that customer retention levels will not materially decline. For the fiscal years ended December 31, 2025, 2024, and 2023, the service we provided (which excludes service provided on commercial aircraft under an ATG network sharing agreement with Intelsat) generated approximately 84%, 80%, and 78% of our revenue from operations, respectively. A significant portion of such service revenue is generated through individual subscription agreements with our customers that cover a single or small number of aircraft, with the remainder generated through subscription agreements with certain fractional or charter operators covering larger fleets of aircraft. These agreements are generally between one and three years in duration but can be longer. As such, we have no assurance that any of such customers will renew their existing agreements with us upon expiration on comparable terms or at all, including as a result of a lack of demand or dissatisfaction with our services or the availability of superior or less expensive alternatives in the market. To the extent that our subscribers terminate or fail to renew their contracts with us for any reason, our business prospects, financial condition and results of operations may be materially adversely affected.</w:t>
      </w:r>
    </w:p>
    <w:p>
      <w:pPr>
        <w:spacing w:after="0" w:line="86" w:lineRule="exact"/>
        <w:rPr>
          <w:sz w:val="20"/>
          <w:szCs w:val="20"/>
          <w:color w:val="auto"/>
        </w:rPr>
      </w:pPr>
    </w:p>
    <w:p>
      <w:pPr>
        <w:ind w:right="80" w:firstLine="511"/>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experience periods of reduced usage of our services by our customers, which could adversely impact our results of operations and profitability.</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reliant on our key OEMs and dealers for equipment sales.</w:t>
      </w:r>
    </w:p>
    <w:p>
      <w:pPr>
        <w:spacing w:after="0" w:line="12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Revenue from equipment sales accounted for approximately 15%, 18%, and 20% of our revenue for the fiscal years ended December 31, 2025, 2024, and 2023, respectively. More than 90% of our equipment revenue in each such fiscal year was generated from contracts with OEMs and after-market dealers. Almost all of our contracts with OEMs and dealers are terminable at will by either party on short notice. If one or more key OEMs or dealers terminates its relationship with us for any reason or our contract expires and is not renewed, our business and results of operations may be materially and adversely affected. In addition, pursuant to many of our contracts with our OEM distribution partners, we have agreed to deliver equipment and/or services, including equipment and services not yet in production, for a fixed price and, accordingly, take the risk of any cost overruns or delays in the completion of the design and manufacturing of the product. Certain of our contracts with our OEMs also include provisions that, under specified circumstances, entitle them to the benefit of certain more favorable provisions than included in other equipment contracts, including with respect to pricing. These provisions, some of which have retroactive effect, may limit the benefits we realize from contracts containing such provisions. Our inability to identify and offer improved terms to a distribution partner or customer in accordance with such a provision could negatively affect our relationship with that distribution partner or customer or give rise to a claim that we are in breach of such contract.</w:t>
      </w:r>
    </w:p>
    <w:p>
      <w:pPr>
        <w:spacing w:after="0" w:line="84"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Many of our distribution partners have also not committed to purchase any minimum quantity of our equipment. In certain cases, we must anticipate the future volume of orders based upon non-binding production schedules provided by OEMs, historical purchasing patterns and informal discussions with customers and dealers as to their anticipated future requirements. Cancellations, reductions or delays by OEMs and dealers may have a material adverse effect on our business, financial condition and results of operations.</w:t>
      </w:r>
    </w:p>
    <w:p>
      <w:pPr>
        <w:spacing w:after="0" w:line="70" w:lineRule="exact"/>
        <w:rPr>
          <w:sz w:val="20"/>
          <w:szCs w:val="20"/>
          <w:color w:val="auto"/>
        </w:rPr>
      </w:pPr>
    </w:p>
    <w:p>
      <w:pPr>
        <w:ind w:right="160" w:firstLine="511"/>
        <w:spacing w:after="0" w:line="258" w:lineRule="auto"/>
        <w:rPr>
          <w:sz w:val="20"/>
          <w:szCs w:val="20"/>
          <w:color w:val="auto"/>
        </w:rPr>
      </w:pPr>
      <w:r>
        <w:rPr>
          <w:rFonts w:ascii="Times New Roman" w:cs="Times New Roman" w:eastAsia="Times New Roman" w:hAnsi="Times New Roman"/>
          <w:sz w:val="18"/>
          <w:szCs w:val="18"/>
          <w:color w:val="auto"/>
        </w:rPr>
        <w:t>Our distribution partners may be materially adversely impacted by economic downturns and market disruptions. See “—</w:t>
      </w:r>
      <w:r>
        <w:rPr>
          <w:rFonts w:ascii="Times New Roman" w:cs="Times New Roman" w:eastAsia="Times New Roman" w:hAnsi="Times New Roman"/>
          <w:sz w:val="18"/>
          <w:szCs w:val="18"/>
          <w:i w:val="1"/>
          <w:iCs w:val="1"/>
          <w:color w:val="auto"/>
        </w:rPr>
        <w:t>Adverse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including economic slowdowns, and geopolitical instability may have a material adverse effect on our business</w:t>
      </w:r>
      <w:r>
        <w:rPr>
          <w:rFonts w:ascii="Times New Roman" w:cs="Times New Roman" w:eastAsia="Times New Roman" w:hAnsi="Times New Roman"/>
          <w:sz w:val="18"/>
          <w:szCs w:val="18"/>
          <w:color w:val="auto"/>
        </w:rPr>
        <w:t>.” In anticipation of changing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OEMs in particular may be more conservative in their production, which may reduce our market opportunities. Further, unfavorable market conditions could cause one or more of our OEMs or dealers to file for bankruptcy, which may have a material adverse effect on our business, financial condition and results of operations.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depend upon third party satellite networks providers, which are single-source providers, for our satellite services.</w:t>
      </w:r>
    </w:p>
    <w:p>
      <w:pPr>
        <w:spacing w:after="0" w:line="121" w:lineRule="exact"/>
        <w:rPr>
          <w:sz w:val="20"/>
          <w:szCs w:val="20"/>
          <w:color w:val="auto"/>
        </w:rPr>
      </w:pPr>
    </w:p>
    <w:p>
      <w:pPr>
        <w:ind w:right="800" w:firstLine="511"/>
        <w:spacing w:after="0" w:line="282" w:lineRule="auto"/>
        <w:rPr>
          <w:sz w:val="20"/>
          <w:szCs w:val="20"/>
          <w:color w:val="auto"/>
        </w:rPr>
      </w:pPr>
      <w:r>
        <w:rPr>
          <w:rFonts w:ascii="Times New Roman" w:cs="Times New Roman" w:eastAsia="Times New Roman" w:hAnsi="Times New Roman"/>
          <w:sz w:val="18"/>
          <w:szCs w:val="18"/>
          <w:color w:val="auto"/>
        </w:rPr>
        <w:t>Our satellite service revenue relies on the satellites of third parties. These satellites utilize highly complex technology, operate in the harsh environment of space and are subject to significant operational risks while in orbit. Risks include malfunctions (commonly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18" w:name="page19"/>
    <w:bookmarkEnd w:id="18"/>
    <w:p>
      <w:pPr>
        <w:ind w:right="200"/>
        <w:spacing w:after="0" w:line="273" w:lineRule="auto"/>
        <w:rPr>
          <w:sz w:val="20"/>
          <w:szCs w:val="20"/>
          <w:color w:val="auto"/>
        </w:rPr>
      </w:pPr>
      <w:r>
        <w:rPr>
          <w:rFonts w:ascii="Times New Roman" w:cs="Times New Roman" w:eastAsia="Times New Roman" w:hAnsi="Times New Roman"/>
          <w:sz w:val="17"/>
          <w:szCs w:val="17"/>
          <w:color w:val="auto"/>
        </w:rPr>
        <w:t>referred to as anomalies), such as malfunctions in the deployment of subsystems and/or components, interference from electrostatic storms, and collisions with meteoroids, decommissioned spacecraft or other space debris. Anomalies can occur due to various factors, including satellite manufacturer error, problems with the power or control sub-system of a satellite or general failures caused by the harsh space environment. The satellites provided by third</w:t>
      </w:r>
    </w:p>
    <w:p>
      <w:pPr>
        <w:ind w:right="140"/>
        <w:spacing w:after="0" w:line="258" w:lineRule="auto"/>
        <w:rPr>
          <w:sz w:val="20"/>
          <w:szCs w:val="20"/>
          <w:color w:val="auto"/>
        </w:rPr>
      </w:pPr>
      <w:r>
        <w:rPr>
          <w:rFonts w:ascii="Times New Roman" w:cs="Times New Roman" w:eastAsia="Times New Roman" w:hAnsi="Times New Roman"/>
          <w:sz w:val="18"/>
          <w:szCs w:val="18"/>
          <w:color w:val="auto"/>
        </w:rPr>
        <w:t>parties that we use to provide satellite services have experienced various anomalies in the past and will likely experience anomalies in the future. While some anomalies are covered by insurance policies, others may not be covered or may be subject to large deductibles. In addition, any contractual remedies may be insufficient to cover any related losses. Failures by, or degradations of the satellite performance of, our satellite network providers could affect our business, financial condition and results of operations.</w:t>
      </w:r>
    </w:p>
    <w:p>
      <w:pPr>
        <w:spacing w:after="0" w:line="72" w:lineRule="exact"/>
        <w:rPr>
          <w:sz w:val="20"/>
          <w:szCs w:val="20"/>
          <w:color w:val="auto"/>
        </w:rPr>
      </w:pPr>
    </w:p>
    <w:p>
      <w:pPr>
        <w:ind w:right="50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third parties, many of which are single-source providers, to manufacture equipment components, provide services for our network, and install and maintain our equipment.</w:t>
      </w:r>
    </w:p>
    <w:p>
      <w:pPr>
        <w:spacing w:after="0" w:line="51"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We rely on third-party suppliers for equipment components and services that we use to provide our services. Our suppliers range in size and scale from large to small and may have differing levels of access to capital and going concern profiles. Many suppliers of critical components of our equipment are single-source providers. Components for which we rely on single-source suppliers include, among others, the antennas, routers and modems for all systems, the equipment used at our ATG cell site base stations and the HDX and FDX Terminals for our Gogo Galileo network. If we are required for any reason (including expiration of the contract, termination by one party for material breach or other termination events) to find one or more alternative suppliers, we estimate that the replacement process could take up to two years depending upon the component or service, and we may not be able to contract with such alternative suppliers on a timely basis, on commercially reasonable terms, or at all. Finding and contracting with suppliers of some components may be delayed or made more difficult by current suppliers’ ownership of key intellectual property that requires alternative suppliers to either obtain rights to such intellectual property or develop new designs that do not infringe on such intellectual property. In addition, many of our components, such as the equipment used in our base stations, are highly integrated with other system components, which may further lengthen the time required for an alternative supplier to deliver a component or service that meets our system requirements. We also rely on third parties to provide the links between our data centers and our ground network. If we are not able to continue to engage suppliers with the capabilities or capacities required by our business, or if such suppliers fail to deliver quality products, parts, equipment and services in sufficient quantities or on a timely basis consistent with our inventory needs and production schedule, our business, financial condition and results of operations may be materially adversely affected.</w:t>
      </w:r>
    </w:p>
    <w:p>
      <w:pPr>
        <w:spacing w:after="0" w:line="89"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The supply of third-party components and services could be interrupted or halted by a termination of our relationships, a failure of quality control or other operational problems at such suppliers or a significant decline in their financial condition. If we are not able to continue to engage suppliers with the capabilities or capacities required by our business, or if such suppliers fail to deliver quality products, parts, equipment and services on a timely basis consistent with our schedule, our business, financial condition and results of operations may be materially adversely affected.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Competition could result in price reduction, reduced revenue and loss of market position and could harm our results of operations.</w:t>
      </w:r>
    </w:p>
    <w:p>
      <w:pPr>
        <w:spacing w:after="0" w:line="121" w:lineRule="exact"/>
        <w:rPr>
          <w:sz w:val="20"/>
          <w:szCs w:val="20"/>
          <w:color w:val="auto"/>
        </w:rPr>
      </w:pPr>
    </w:p>
    <w:p>
      <w:pPr>
        <w:ind w:right="80" w:firstLine="511"/>
        <w:spacing w:after="0" w:line="253" w:lineRule="auto"/>
        <w:rPr>
          <w:sz w:val="20"/>
          <w:szCs w:val="20"/>
          <w:color w:val="auto"/>
        </w:rPr>
      </w:pPr>
      <w:r>
        <w:rPr>
          <w:rFonts w:ascii="Times New Roman" w:cs="Times New Roman" w:eastAsia="Times New Roman" w:hAnsi="Times New Roman"/>
          <w:sz w:val="18"/>
          <w:szCs w:val="18"/>
          <w:color w:val="auto"/>
        </w:rPr>
        <w:t>Our equipment and services are sold in competitive markets. We compete against both equipment providers and GEO- and LEO-satellite based telecommunications service providers, as well as resellers of the above, to the business aviation market and military/government market. See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Business—Company Overview—Competition</w:t>
      </w:r>
      <w:r>
        <w:rPr>
          <w:rFonts w:ascii="Times New Roman" w:cs="Times New Roman" w:eastAsia="Times New Roman" w:hAnsi="Times New Roman"/>
          <w:sz w:val="18"/>
          <w:szCs w:val="18"/>
          <w:color w:val="auto"/>
        </w:rPr>
        <w:t>.” Some of our current or potential future competitors are, or could potentially be, larger, more diversified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and have greater financial, marketing, production, and research and development resources, stronger customer relationships, more experience with regulatory compliance, and with militaries and governments, and/or access to technologies not available to us. As a result, they may be, and have in some instances been, better able to withstand pricing pressures and the effects of periodic economic downturns, as well as win new contracts with our existing customers or prospective customers. Some of our current or future competitors may offer a broader product line to customers. Our business and results of operations may be materially adversely affected if our competitors develop equipment or services that are superior to our equipment and services, develop equipment or services that are priced more competitively than our equipment and services, develop methods of more efficiently and effectively providing equipment and services, or adapt more quickly than we do to new technologies or evolving customer requirements.</w:t>
      </w:r>
    </w:p>
    <w:p>
      <w:pPr>
        <w:spacing w:after="0" w:line="86"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In addition, because the markets in which we operate are constantly evolving and characterized by rapid technological change, it is difficult for us to predict whether, when and by whom new competing technologies, products or services may be introduced into our markets. Maintaining and improving our competitive position will require continued investment in technology, manufacturing, engineering, quality standards, marketing and customer service and support. If we do not maintain sufficient resources to make these investments or are not successful in maintaining our competitive position, our operations and financial performance will suffer.</w:t>
      </w:r>
    </w:p>
    <w:p>
      <w:pPr>
        <w:spacing w:after="0" w:line="75"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8"/>
          <w:szCs w:val="18"/>
          <w:color w:val="auto"/>
        </w:rPr>
        <w:t>The increasing availability of satellite capacity and capacity from other forms of communications technology has historically created an excess supply of telecommunications capacity in certain regions from time to time. We believe such an imbalance could occur again in certain regions, particularly as we and other service providers introduce new technology on our fleets.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19" w:name="page20"/>
    <w:bookmarkEnd w:id="19"/>
    <w:p>
      <w:pPr>
        <w:ind w:right="32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51"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76" w:lineRule="exact"/>
        <w:rPr>
          <w:sz w:val="20"/>
          <w:szCs w:val="20"/>
          <w:color w:val="auto"/>
        </w:rPr>
      </w:pPr>
    </w:p>
    <w:p>
      <w:pPr>
        <w:ind w:right="18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contracts may be difficult for us to comply with and may expose us to third-party claims for damages, and we may experience losses from fixed-price contracts.</w:t>
      </w:r>
    </w:p>
    <w:p>
      <w:pPr>
        <w:spacing w:after="0" w:line="5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Within our military/government operation, we are party to certain government contracts involving the development of new products.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cannot assure you that the other parties to any such contract will not terminate the contract or seek damages from us. If other parties elect to terminate their contracts or seek damages from us, it could materially harm our business.</w:t>
      </w:r>
    </w:p>
    <w:p>
      <w:pPr>
        <w:spacing w:after="0" w:line="79"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7"/>
          <w:szCs w:val="17"/>
          <w:color w:val="auto"/>
        </w:rPr>
        <w:t>A substantial majority of revenue in our military/government operation is expected to be derived from contracts with fixed prices.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Because many of these contracts involve new technologies and applications and can last for years, unforeseen events, such as technological difficulties, fluctuations in the price of raw materials, a significant increase in or a sustained period of increased inflation, problems with our suppliers, and cost overruns, can result in the contractual price becoming less favorable or even unprofitable to us over time (which, especially in the case of sharp increases in or significant sustained inflation, could happen quickly and have long-lasting impacts). Furthermore, if we do not meet contract deadlines or specifications, we may need to renegotiate contracts on less favorable terms, be forced to pay penalties or liquidated damages or suffer major losses if the customer exercises its right to terminate.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U.S. government contracts exposes us to significant commercial and other business risks.</w:t>
      </w:r>
    </w:p>
    <w:p>
      <w:pPr>
        <w:spacing w:after="0" w:line="121" w:lineRule="exact"/>
        <w:rPr>
          <w:sz w:val="20"/>
          <w:szCs w:val="20"/>
          <w:color w:val="auto"/>
        </w:rPr>
      </w:pPr>
    </w:p>
    <w:p>
      <w:pPr>
        <w:ind w:right="100" w:firstLine="511"/>
        <w:spacing w:after="0" w:line="266" w:lineRule="auto"/>
        <w:rPr>
          <w:sz w:val="20"/>
          <w:szCs w:val="20"/>
          <w:color w:val="auto"/>
        </w:rPr>
      </w:pPr>
      <w:r>
        <w:rPr>
          <w:rFonts w:ascii="Times New Roman" w:cs="Times New Roman" w:eastAsia="Times New Roman" w:hAnsi="Times New Roman"/>
          <w:sz w:val="18"/>
          <w:szCs w:val="18"/>
          <w:color w:val="auto"/>
        </w:rPr>
        <w:t>Our revenues from military/government customers are expected to represent a reasonably significant percentage of our total revenues, and are expected to be derived primarily from U.S. government applications. Therefore, any significant disruption or deterioration of our relationship with the U.S. government would significantly reduce our revenues. U.S. government business exposes us to various risks, including:</w:t>
      </w:r>
    </w:p>
    <w:p>
      <w:pPr>
        <w:spacing w:after="0" w:line="68" w:lineRule="exact"/>
        <w:rPr>
          <w:sz w:val="20"/>
          <w:szCs w:val="20"/>
          <w:color w:val="auto"/>
        </w:rPr>
      </w:pPr>
    </w:p>
    <w:p>
      <w:pPr>
        <w:ind w:left="1020" w:hanging="517"/>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order placements, reductions or cancellations;</w:t>
      </w:r>
    </w:p>
    <w:p>
      <w:pPr>
        <w:spacing w:after="0" w:line="117" w:lineRule="exact"/>
        <w:rPr>
          <w:rFonts w:ascii="Times New Roman" w:cs="Times New Roman" w:eastAsia="Times New Roman" w:hAnsi="Times New Roman"/>
          <w:sz w:val="18"/>
          <w:szCs w:val="18"/>
          <w:color w:val="auto"/>
        </w:rPr>
      </w:pPr>
    </w:p>
    <w:p>
      <w:pPr>
        <w:ind w:left="1020" w:right="440" w:hanging="517"/>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or delays in government funds available for our projects due to government policy changes, budget cuts or delays, changes in available funding, reductions in defense expenditures and contract adjustments;</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competitors to protest contractual awards;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arising from post-award contract audits;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the value of our contracts as a result of the routine audit and investigation of our costs by U.S. government agencies;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final costs for work performed under contracts where we commit to specified services for a fixed price;</w:t>
      </w:r>
    </w:p>
    <w:p>
      <w:pPr>
        <w:spacing w:after="0" w:line="117" w:lineRule="exact"/>
        <w:rPr>
          <w:rFonts w:ascii="Times New Roman" w:cs="Times New Roman" w:eastAsia="Times New Roman" w:hAnsi="Times New Roman"/>
          <w:sz w:val="18"/>
          <w:szCs w:val="18"/>
          <w:color w:val="auto"/>
        </w:rPr>
      </w:pPr>
    </w:p>
    <w:p>
      <w:pPr>
        <w:ind w:left="1020" w:hanging="517"/>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cash collections of unbilled receivables that may be subject to acceptance of deliverables by the customer and contract close-out procedures, including government approval of final indirect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20" w:name="page21"/>
    <w:bookmarkEnd w:id="20"/>
    <w:p>
      <w:pPr>
        <w:ind w:left="1020" w:hanging="517"/>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programs managed by other government contractors for limited resources and for uncertain levels of funding;</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contract scheduling or program structure, which generally result in delays or reductions in services; and</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available U.S. government business necessitating increases in time and investment for design and development.</w:t>
      </w:r>
    </w:p>
    <w:p>
      <w:pPr>
        <w:spacing w:after="0" w:line="117" w:lineRule="exact"/>
        <w:rPr>
          <w:sz w:val="20"/>
          <w:szCs w:val="20"/>
          <w:color w:val="auto"/>
        </w:rPr>
      </w:pPr>
    </w:p>
    <w:p>
      <w:pPr>
        <w:jc w:val="both"/>
        <w:ind w:right="440" w:firstLine="511"/>
        <w:spacing w:after="0" w:line="266" w:lineRule="auto"/>
        <w:rPr>
          <w:sz w:val="20"/>
          <w:szCs w:val="20"/>
          <w:color w:val="auto"/>
        </w:rPr>
      </w:pPr>
      <w:r>
        <w:rPr>
          <w:rFonts w:ascii="Times New Roman" w:cs="Times New Roman" w:eastAsia="Times New Roman" w:hAnsi="Times New Roman"/>
          <w:sz w:val="18"/>
          <w:szCs w:val="18"/>
          <w:color w:val="auto"/>
        </w:rPr>
        <w:t>U.S. government contracts are also subject to termination by the government, either for the convenience of the government or for our failure to perform consistent with the terms of the applicable contract. If we are unable to address any of the risks described above, or if we were to lose all or a substantial portion of our sales to the U.S. government, it could materially harm our business and impair the value of our common stock.</w:t>
      </w:r>
    </w:p>
    <w:p>
      <w:pPr>
        <w:spacing w:after="0" w:line="68" w:lineRule="exact"/>
        <w:rPr>
          <w:sz w:val="20"/>
          <w:szCs w:val="20"/>
          <w:color w:val="auto"/>
        </w:rPr>
      </w:pPr>
    </w:p>
    <w:p>
      <w:pPr>
        <w:ind w:right="60" w:firstLine="511"/>
        <w:spacing w:after="0" w:line="255" w:lineRule="auto"/>
        <w:rPr>
          <w:sz w:val="20"/>
          <w:szCs w:val="20"/>
          <w:color w:val="auto"/>
        </w:rPr>
      </w:pPr>
      <w:r>
        <w:rPr>
          <w:rFonts w:ascii="Times New Roman" w:cs="Times New Roman" w:eastAsia="Times New Roman" w:hAnsi="Times New Roman"/>
          <w:sz w:val="18"/>
          <w:szCs w:val="18"/>
          <w:color w:val="auto"/>
        </w:rPr>
        <w:t>The funding of U.S. government programs is subject to congressional appropriations. If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8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The military/government industry has experienced, and we expect it will continue to experience, significant changes to business practices globally, in part due to changes in the global security and threat environment and an increased focus on affordability, efficiencies, business systems, recovery of costs and a reprioritization of available defense funds. We have experienced and may continue to experience an increased number of audits and challenges to our claims and our business systems for current and past years, as well as longer periods to close audits, broader requests for information and an increased risk of withholdings of payments. The U.S. government has been pursuing and may continue to pursue policies that could negatively impact our profitability, including those that shift additional responsibility and performance risks to the contractor. Changes in procurement practices, including those favoring incentive-based fee arrangements, fixed price development or long-term production programs, different award criteria, non-traditional contract provisions, and contract negotiation offers that indicate what our costs should be, have affected and may in the future affect our profitability and predictability. Additionally, in the last year, the U.S. government has increased the cybersecurity requirements that contractors must comply with, and these requirements are likely to intensify in the upcoming years. The technology, policies, and personnel required to comply with such requirements may be expensive and difficult to deploy. As regulatory requirements increase, the risk of material non-compliance also increases.</w:t>
      </w:r>
    </w:p>
    <w:p>
      <w:pPr>
        <w:spacing w:after="0" w:line="84"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Finally, we are subject to the risk of changes in governmental procurement legislation and regulations and other policies, which may reflect military and political developments. For more information, see “—</w:t>
      </w:r>
      <w:r>
        <w:rPr>
          <w:rFonts w:ascii="Times New Roman" w:cs="Times New Roman" w:eastAsia="Times New Roman" w:hAnsi="Times New Roman"/>
          <w:sz w:val="18"/>
          <w:szCs w:val="18"/>
          <w:i w:val="1"/>
          <w:iCs w:val="1"/>
          <w:color w:val="auto"/>
        </w:rPr>
        <w:t>As a U.S. government contractor to our military/government customers, we could be adversely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affected by changes in various procurement and other laws and regulations applicable to our industry or any negative findings by the U.S. government as to our compliance with them, as well as by changes in our customers’ business practices globally</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non-U.S. government contracts exposes us to significant risks.</w:t>
      </w:r>
    </w:p>
    <w:p>
      <w:pPr>
        <w:spacing w:after="0" w:line="121"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8"/>
          <w:szCs w:val="18"/>
          <w:color w:val="auto"/>
        </w:rPr>
        <w:t>Our non-U.S. government customers expose us to various risks, including changes in administration policy. Furthermore, foreign government customer contracts are subject to specific procurement regulations and a variety of other complex requirements, which affect how we transact business with our foreign government customers and can impose additional costs on our business operations. Numerous laws and regulations affect our contracts with foreign government customers. Foreign government customers routinely audit government contractors to review contract performance, cost structure and compliance with applicable laws, regulations, and standards, as well as the adequacy of and compliance with internal control systems and policies. Any inadequacies in our systems and policies, or the perception or allegations of such inadequacies, could result in payments being withheld, penalties and reduced future business. Improper or illegal activities, or the perception or allegation of such activities, could subject us to civil or criminal penalties or administrative sanctions, including contract termination, fines, forfeiture of fees, suspension of payment and suspension or debarment from doing business with government agencies, any of which could materially adversely affect our reputation, business, financial condition and results of operations. We may also be subject to the same risks with respect to U.S. government contracts, highlighted in the risk factor above, relating to the shift in focus on affordability, efficiencies, business systems, recovery of costs and a reprioritization of available defense funds.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Satellites have a finite useful life, and their actual operational life may be shorter than their mission life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8"/>
          <w:szCs w:val="18"/>
          <w:color w:val="auto"/>
        </w:rPr>
        <w:t>Our ability to earn revenues from our satellite services depends on the continued operation of the satellite networks provided by our third-party vendors. Each satellite has a limited useful life, referred to as its mission life. There can be no assurance as to the actual operational life of a satellite, which may be shorter than its mission life. A number of factors affect the useful lives of the satellites,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including the quality of design and construction, durability of component parts and back-up units, the ability to continue to maintain proper orbit and control over the satellite’s functions, the efficiency of the launch vehicle used, consumption of on-board fuel, degradation and durability of solar panels, the actual space environment experienced and the occurrence of anomalies or other in-orbit risks affecting the satellite. In addition, continued improvements in satellite technology may make satellites obsolete prior to the end of their operational life.</w:t>
      </w:r>
    </w:p>
    <w:p>
      <w:pPr>
        <w:spacing w:after="0" w:line="68" w:lineRule="exact"/>
        <w:rPr>
          <w:sz w:val="20"/>
          <w:szCs w:val="20"/>
          <w:color w:val="auto"/>
        </w:rPr>
      </w:pPr>
    </w:p>
    <w:p>
      <w:pPr>
        <w:ind w:right="12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supply chain challenges and logistics issues as well as increasing inflation have had, and may continue to have, an adverse effect on our business, financial condition and results of operations.</w:t>
      </w:r>
    </w:p>
    <w:p>
      <w:pPr>
        <w:spacing w:after="0" w:line="51" w:lineRule="exact"/>
        <w:rPr>
          <w:sz w:val="20"/>
          <w:szCs w:val="20"/>
          <w:color w:val="auto"/>
        </w:rPr>
      </w:pPr>
    </w:p>
    <w:p>
      <w:pPr>
        <w:ind w:right="20" w:firstLine="511"/>
        <w:spacing w:after="0" w:line="270" w:lineRule="auto"/>
        <w:rPr>
          <w:sz w:val="20"/>
          <w:szCs w:val="20"/>
          <w:color w:val="auto"/>
        </w:rPr>
      </w:pPr>
      <w:r>
        <w:rPr>
          <w:rFonts w:ascii="Times New Roman" w:cs="Times New Roman" w:eastAsia="Times New Roman" w:hAnsi="Times New Roman"/>
          <w:sz w:val="17"/>
          <w:szCs w:val="17"/>
          <w:color w:val="auto"/>
        </w:rPr>
        <w:t>Inflation, border closings, public health crises, geopolitical conflicts and proposals for, the enactment of, or increases in, tariff and other trade protection measures by the United States (including the “reciprocal” tariffs on imports from Canada, Mexico, and China) continue to adversely impact the availability and price of electronic components. Additionally, the surging buildout of artificial intelligence-related computing infrastructure has impacted and may continue to impact the availability and pricing of electronic components necessary for our business including, without limitation, semiconductor memory and storage products, e.g., dynamic random access memory (“DRAM”) and NAND flash memory. As a result, we have experienced longer lead times and encountered delays in obtaining electronic components, and we expect longer lead times and delays to continue. In addition, global logistics issues such as shipping logjams, workforce shortages and carrier capacity constraints, have affected and may continue to negatively affect our ability to obtain electronic and other components on a timely basis. Challenges stemming from these global supply chain issues could lead our suppliers and OEMs to claim that they are not obligated to perform their commitments to us due to force majeure provisions in such agreements. We cannot predict how long the component shortages or logistics issues will continue, and a prolonged impact on our supply chain could adversely impact our business in a material way.</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a variety of risks associated with international operations that could adversely affect our business.</w:t>
      </w:r>
    </w:p>
    <w:p>
      <w:pPr>
        <w:spacing w:after="0" w:line="121" w:lineRule="exact"/>
        <w:rPr>
          <w:sz w:val="20"/>
          <w:szCs w:val="20"/>
          <w:color w:val="auto"/>
        </w:rPr>
      </w:pPr>
    </w:p>
    <w:p>
      <w:pPr>
        <w:jc w:val="both"/>
        <w:ind w:right="200" w:firstLine="511"/>
        <w:spacing w:after="0" w:line="261" w:lineRule="auto"/>
        <w:rPr>
          <w:sz w:val="20"/>
          <w:szCs w:val="20"/>
          <w:color w:val="auto"/>
        </w:rPr>
      </w:pPr>
      <w:r>
        <w:rPr>
          <w:rFonts w:ascii="Times New Roman" w:cs="Times New Roman" w:eastAsia="Times New Roman" w:hAnsi="Times New Roman"/>
          <w:sz w:val="18"/>
          <w:szCs w:val="18"/>
          <w:color w:val="auto"/>
        </w:rPr>
        <w:t>Our operations and business are located across 9 countries worldwide, including the United States, Canada, the United Kingdom, the United Arab Emirates, Switzerland, Brazil, Hong Kong, Australia and Singapore. In addition, a component of our growth strategy involves the continued expansion of our operations and customer base internationally. As a result, we are subject to risks related to conducting operations outside the United States, including, but not limited to:</w:t>
      </w:r>
    </w:p>
    <w:p>
      <w:pPr>
        <w:spacing w:after="0" w:line="72" w:lineRule="exact"/>
        <w:rPr>
          <w:sz w:val="20"/>
          <w:szCs w:val="20"/>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penetrating new markets due to established and entrenched competitors;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products and services that are tailored to the needs of local customers;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and services for specific countries;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local acceptance or knowledge of our products and services;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regulatory or other governmental approvals;</w:t>
      </w:r>
    </w:p>
    <w:p>
      <w:pPr>
        <w:spacing w:after="0" w:line="117" w:lineRule="exact"/>
        <w:rPr>
          <w:rFonts w:ascii="Times New Roman" w:cs="Times New Roman" w:eastAsia="Times New Roman" w:hAnsi="Times New Roman"/>
          <w:sz w:val="18"/>
          <w:szCs w:val="18"/>
          <w:color w:val="auto"/>
        </w:rPr>
      </w:pPr>
    </w:p>
    <w:p>
      <w:pPr>
        <w:ind w:left="1020" w:right="380" w:hanging="517"/>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managing collections in countries where our recourse may be more limited, as well as longer collection periods;</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structures;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and regulatory requirements, including with respect to taxes and trade laws;</w:t>
      </w:r>
    </w:p>
    <w:p>
      <w:pPr>
        <w:spacing w:after="0" w:line="117" w:lineRule="exact"/>
        <w:rPr>
          <w:rFonts w:ascii="Times New Roman" w:cs="Times New Roman" w:eastAsia="Times New Roman" w:hAnsi="Times New Roman"/>
          <w:sz w:val="18"/>
          <w:szCs w:val="18"/>
          <w:color w:val="auto"/>
        </w:rPr>
      </w:pPr>
    </w:p>
    <w:p>
      <w:pPr>
        <w:ind w:left="1020" w:right="80" w:hanging="517"/>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communications; artificial intelligence; privacy and data security and the unauthorized use of, or access to, commercial and personal data; and aerospace and liability standards;</w:t>
      </w:r>
    </w:p>
    <w:p>
      <w:pPr>
        <w:spacing w:after="0" w:line="53" w:lineRule="exact"/>
        <w:rPr>
          <w:rFonts w:ascii="Times New Roman" w:cs="Times New Roman" w:eastAsia="Times New Roman" w:hAnsi="Times New Roman"/>
          <w:sz w:val="18"/>
          <w:szCs w:val="18"/>
          <w:color w:val="auto"/>
        </w:rPr>
      </w:pPr>
    </w:p>
    <w:p>
      <w:pPr>
        <w:ind w:left="1020" w:right="220" w:hanging="517"/>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over large geographic distances, including compliance with differing labor laws and the need to implement appropriate systems, policies and hiring, benefits and compliance programs;</w:t>
      </w:r>
    </w:p>
    <w:p>
      <w:pPr>
        <w:spacing w:after="0" w:line="53" w:lineRule="exact"/>
        <w:rPr>
          <w:rFonts w:ascii="Times New Roman" w:cs="Times New Roman" w:eastAsia="Times New Roman" w:hAnsi="Times New Roman"/>
          <w:sz w:val="18"/>
          <w:szCs w:val="18"/>
          <w:color w:val="auto"/>
        </w:rPr>
      </w:pPr>
    </w:p>
    <w:p>
      <w:pPr>
        <w:ind w:left="1020" w:right="180" w:hanging="517"/>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international operations, including travel, real estate, infrastructure and legal compliance costs;</w:t>
      </w:r>
    </w:p>
    <w:p>
      <w:pPr>
        <w:spacing w:after="0" w:line="117" w:lineRule="exact"/>
        <w:rPr>
          <w:rFonts w:ascii="Times New Roman" w:cs="Times New Roman" w:eastAsia="Times New Roman" w:hAnsi="Times New Roman"/>
          <w:sz w:val="18"/>
          <w:szCs w:val="18"/>
          <w:color w:val="auto"/>
        </w:rPr>
      </w:pPr>
    </w:p>
    <w:p>
      <w:pPr>
        <w:ind w:left="1020" w:right="560" w:hanging="517"/>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devaluation;</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22" w:name="page23"/>
    <w:bookmarkEnd w:id="22"/>
    <w:p>
      <w:pPr>
        <w:ind w:left="1020" w:right="580" w:hanging="517"/>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 or imposing local domestic ownership restrictions;</w:t>
      </w:r>
    </w:p>
    <w:p>
      <w:pPr>
        <w:spacing w:after="0" w:line="53" w:lineRule="exact"/>
        <w:rPr>
          <w:rFonts w:ascii="Times New Roman" w:cs="Times New Roman" w:eastAsia="Times New Roman" w:hAnsi="Times New Roman"/>
          <w:sz w:val="18"/>
          <w:szCs w:val="18"/>
          <w:color w:val="auto"/>
        </w:rPr>
      </w:pPr>
    </w:p>
    <w:p>
      <w:pPr>
        <w:ind w:left="1020" w:right="560" w:hanging="517"/>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enforcing our intellectual property;</w:t>
      </w:r>
    </w:p>
    <w:p>
      <w:pPr>
        <w:spacing w:after="0" w:line="115" w:lineRule="exact"/>
        <w:rPr>
          <w:rFonts w:ascii="Times New Roman" w:cs="Times New Roman" w:eastAsia="Times New Roman" w:hAnsi="Times New Roman"/>
          <w:sz w:val="18"/>
          <w:szCs w:val="18"/>
          <w:color w:val="auto"/>
        </w:rPr>
      </w:pPr>
    </w:p>
    <w:p>
      <w:pPr>
        <w:ind w:left="1020" w:right="460" w:hanging="517"/>
        <w:spacing w:after="0" w:line="315"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social unrest, terrorist activities, acts of civil or international hostility (as further discussed in “—</w:t>
      </w:r>
      <w:r>
        <w:rPr>
          <w:rFonts w:ascii="Times New Roman" w:cs="Times New Roman" w:eastAsia="Times New Roman" w:hAnsi="Times New Roman"/>
          <w:sz w:val="17"/>
          <w:szCs w:val="17"/>
          <w:i w:val="1"/>
          <w:iCs w:val="1"/>
          <w:color w:val="auto"/>
        </w:rPr>
        <w:t>Adverse economic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conditions, including economic slowdowns, and geopolitical instability may have a material adverse effect on our business”</w:t>
      </w:r>
      <w:r>
        <w:rPr>
          <w:rFonts w:ascii="Times New Roman" w:cs="Times New Roman" w:eastAsia="Times New Roman" w:hAnsi="Times New Roman"/>
          <w:sz w:val="17"/>
          <w:szCs w:val="17"/>
          <w:color w:val="auto"/>
        </w:rPr>
        <w:t>);</w:t>
      </w:r>
    </w:p>
    <w:p>
      <w:pPr>
        <w:spacing w:after="0" w:line="28" w:lineRule="exact"/>
        <w:rPr>
          <w:rFonts w:ascii="Times New Roman" w:cs="Times New Roman" w:eastAsia="Times New Roman" w:hAnsi="Times New Roman"/>
          <w:sz w:val="17"/>
          <w:szCs w:val="17"/>
          <w:color w:val="auto"/>
        </w:rPr>
      </w:pPr>
    </w:p>
    <w:p>
      <w:pPr>
        <w:ind w:left="1020" w:hanging="517"/>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regional or global outbreaks of contagious diseases;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U.S. companies to do business in foreign countries; and</w:t>
      </w:r>
    </w:p>
    <w:p>
      <w:pPr>
        <w:spacing w:after="0" w:line="117" w:lineRule="exact"/>
        <w:rPr>
          <w:rFonts w:ascii="Times New Roman" w:cs="Times New Roman" w:eastAsia="Times New Roman" w:hAnsi="Times New Roman"/>
          <w:sz w:val="18"/>
          <w:szCs w:val="18"/>
          <w:color w:val="auto"/>
        </w:rPr>
      </w:pPr>
    </w:p>
    <w:p>
      <w:pPr>
        <w:ind w:left="1020" w:right="280" w:hanging="517"/>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of 1977, as amended (the “FCPA”), the U.K. Bribery Act (the “Bribery Act”) and similar laws and regulations in other jurisdictions.</w:t>
      </w:r>
    </w:p>
    <w:p>
      <w:pPr>
        <w:spacing w:after="0" w:line="54" w:lineRule="exact"/>
        <w:rPr>
          <w:sz w:val="20"/>
          <w:szCs w:val="20"/>
          <w:color w:val="auto"/>
        </w:rPr>
      </w:pPr>
    </w:p>
    <w:p>
      <w:pPr>
        <w:ind w:right="400" w:firstLine="511"/>
        <w:spacing w:after="0" w:line="282" w:lineRule="auto"/>
        <w:rPr>
          <w:sz w:val="20"/>
          <w:szCs w:val="20"/>
          <w:color w:val="auto"/>
        </w:rPr>
      </w:pPr>
      <w:r>
        <w:rPr>
          <w:rFonts w:ascii="Times New Roman" w:cs="Times New Roman" w:eastAsia="Times New Roman" w:hAnsi="Times New Roman"/>
          <w:sz w:val="18"/>
          <w:szCs w:val="18"/>
          <w:color w:val="auto"/>
        </w:rPr>
        <w:t>These and other factors could affect our ability to compete successfully and continue to expand internationally and, consequently, our business, financial condition and results of operations may be materially adversely affected.</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foreign currency risk.</w:t>
      </w:r>
    </w:p>
    <w:p>
      <w:pPr>
        <w:spacing w:after="0" w:line="121" w:lineRule="exact"/>
        <w:rPr>
          <w:sz w:val="20"/>
          <w:szCs w:val="20"/>
          <w:color w:val="auto"/>
        </w:rPr>
      </w:pPr>
    </w:p>
    <w:p>
      <w:pPr>
        <w:ind w:right="160" w:firstLine="511"/>
        <w:spacing w:after="0" w:line="261" w:lineRule="auto"/>
        <w:rPr>
          <w:sz w:val="20"/>
          <w:szCs w:val="20"/>
          <w:color w:val="auto"/>
        </w:rPr>
      </w:pPr>
      <w:r>
        <w:rPr>
          <w:rFonts w:ascii="Times New Roman" w:cs="Times New Roman" w:eastAsia="Times New Roman" w:hAnsi="Times New Roman"/>
          <w:sz w:val="18"/>
          <w:szCs w:val="18"/>
          <w:color w:val="auto"/>
        </w:rPr>
        <w:t>Almost all of our customers pay for our services in U.S. dollars, although we are exposed to some risk related to customers who do not pay in U.S. dollars. Fluctuations in the value of non-U.S. currencies may make payment in U.S. dollars more expensive for our non-U.S. customers, and in certain circumstances, cause us to renegotiate prices or other terms in contracts in order to retain such customers. In addition, our non-U.S. customers may have difficulty obtaining U.S. currency and/or remitting payment due to currency exchange controls.</w:t>
      </w:r>
    </w:p>
    <w:p>
      <w:pPr>
        <w:spacing w:after="0" w:line="68" w:lineRule="exact"/>
        <w:rPr>
          <w:sz w:val="20"/>
          <w:szCs w:val="20"/>
          <w:color w:val="auto"/>
        </w:rPr>
      </w:pPr>
    </w:p>
    <w:p>
      <w:pPr>
        <w:ind w:right="24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geographically and otherwise, we may experience difficulties in maintaining our corporate culture, and our business, results of operations and financial condition could be adversely affected.</w:t>
      </w:r>
    </w:p>
    <w:p>
      <w:pPr>
        <w:spacing w:after="0" w:line="51"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We believe that our corporate culture has been a critical component of our success, and have invested substantial time and resources in building and adapting this culture. As we further expand our business and grow internationally, including due to the integration of Satcom Direct and the onboarding of new management, we have made significant efforts to create a unified culture for our organization and ensure a smooth transition culturally, and may in the future find it difficult to maintain such culture. Any failure to manage organizational changes from our expansion, including in our management or employee base, in a manner that preserves the key aspects of our culture could be detrimental to our future success, including by limiting our ability to recruit and retain personnel and to effectively pursue our corporate objectives. This, in turn, could adversely affect our business, results of operations and financial condition.</w:t>
      </w:r>
    </w:p>
    <w:p>
      <w:pPr>
        <w:spacing w:after="0" w:line="81"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8"/>
          <w:szCs w:val="18"/>
          <w:color w:val="auto"/>
        </w:rPr>
        <w:t>In addition, expansion could lead to our organizational structure becoming more complex, and could strain our ability to maintain reliable service levels for our customers. If we fail to achieve the necessary level of efficiency in our organization as we grow, then our business, results of operations and financial condition could be adversely affected. See “—</w:t>
      </w:r>
      <w:r>
        <w:rPr>
          <w:rFonts w:ascii="Times New Roman" w:cs="Times New Roman" w:eastAsia="Times New Roman" w:hAnsi="Times New Roman"/>
          <w:sz w:val="18"/>
          <w:szCs w:val="18"/>
          <w:i w:val="1"/>
          <w:iCs w:val="1"/>
          <w:color w:val="auto"/>
        </w:rPr>
        <w:t>We are exposed to a variety of risks associated with international operations that could adversely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 our business.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recruit, train and retain the highly skilled employees that are necessary to remain competitive and execute our growth strategy.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could harm our business.</w:t>
      </w:r>
    </w:p>
    <w:p>
      <w:pPr>
        <w:spacing w:after="0" w:line="99"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Competition for key technical personnel in high-technology industries such as ours is intense. We believe that our future success depends in large part on our continued ability to hire, train, retain and leverage the skills of qualified engineers and other highly skilled personnel needed to maintain and grow our ATG networks and related technology and develop and successfully deploy Gogo 5G, Gogo Galileo and other elements of our technology roadmap and new wireless telecommunications products and technology. We may not be as successful as our competitors at recruiting, training, retaining and utilizing these highly skilled personnel. Any failure to recruit, train and retain highly skilled employees may have a material adverse effect on our business. As artificial intelligence (“AI”) evolves and to the extent that we use it more in our business, we may also need to train our employees to use AI effectively and/or realign certain employee roles. As such, any related transition may be difficult, weaken employee morale and retention, and/or impair our competitiveness.</w:t>
      </w:r>
    </w:p>
    <w:p>
      <w:pPr>
        <w:spacing w:after="0" w:line="84"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8"/>
          <w:szCs w:val="18"/>
          <w:color w:val="auto"/>
        </w:rPr>
        <w:t>We depend on the continued service and performance of our key personnel. Such individuals have acquired specialized knowledge and skills with respect to Gogo and its operations. As a result, if any of our key personnel were to leave Gogo, we could face substantial difficulty in hiring qualified successors and could experience a loss of productivity while any such successor obtains the necessary training and expertise. We do not maintain key man insurance on any of our officers or key employees. We may also face challenges in connection with designing and executing on succession plans regarding members of senior management, and these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088" w:right="358" w:bottom="1440" w:gutter="0" w:footer="0" w:header="0"/>
        </w:sectPr>
      </w:pPr>
    </w:p>
    <w:bookmarkStart w:id="23" w:name="page24"/>
    <w:bookmarkEnd w:id="23"/>
    <w:p>
      <w:pPr>
        <w:ind w:right="20"/>
        <w:spacing w:after="0" w:line="266" w:lineRule="auto"/>
        <w:rPr>
          <w:sz w:val="20"/>
          <w:szCs w:val="20"/>
          <w:color w:val="auto"/>
        </w:rPr>
      </w:pPr>
      <w:r>
        <w:rPr>
          <w:rFonts w:ascii="Times New Roman" w:cs="Times New Roman" w:eastAsia="Times New Roman" w:hAnsi="Times New Roman"/>
          <w:sz w:val="18"/>
          <w:szCs w:val="18"/>
          <w:color w:val="auto"/>
        </w:rPr>
        <w:t>challenges may be compounded given the highly specialized nature of our business. In addition, much of our key technology and systems is custom-made for our business by our personnel. The loss of key personnel, including key members of our management team, could disrupt our operations and may have a material adverse effect on our business.</w:t>
      </w:r>
    </w:p>
    <w:p>
      <w:pPr>
        <w:spacing w:after="0" w:line="64" w:lineRule="exact"/>
        <w:rPr>
          <w:sz w:val="20"/>
          <w:szCs w:val="20"/>
          <w:color w:val="auto"/>
        </w:rPr>
      </w:pPr>
    </w:p>
    <w:p>
      <w:pPr>
        <w:ind w:right="42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or other outbreaks of contagious diseases and the measures implemented to combat them have had, and may continue to have, a material adverse effect on our business.</w:t>
      </w:r>
    </w:p>
    <w:p>
      <w:pPr>
        <w:spacing w:after="0" w:line="51"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We face various risks related to public health issues, including epidemics, pandemics and other outbreak of infectious disease. Pandemics and other outbreaks of contagious diseases could result in significant business and operational disruptions, including business closures, supply chain disruptions, travel restrictions, stay-at-home orders and limitations on the availability of workforces. Whether and to what extent future pandemics and other outbreaks of contagious diseases may impact our financial and operational performance will depend on developments that include the duration, spread and severity of the outbreak, the timetable for administering and efficacy of vaccines, the duration and geographic scope of related travel advisories and restrictions and the extent of the impact of the pandemic or outbreak on overall demand for commercial and business aviation travel, and other factors beyond our control, all of which are highly uncertain and cannot be predicted.</w:t>
      </w:r>
    </w:p>
    <w:p>
      <w:pPr>
        <w:spacing w:after="0" w:line="81" w:lineRule="exact"/>
        <w:rPr>
          <w:sz w:val="20"/>
          <w:szCs w:val="20"/>
          <w:color w:val="auto"/>
        </w:rPr>
      </w:pPr>
    </w:p>
    <w:p>
      <w:pPr>
        <w:ind w:right="300" w:firstLine="511"/>
        <w:spacing w:after="0" w:line="282" w:lineRule="auto"/>
        <w:rPr>
          <w:sz w:val="20"/>
          <w:szCs w:val="20"/>
          <w:color w:val="auto"/>
        </w:rPr>
      </w:pPr>
      <w:r>
        <w:rPr>
          <w:rFonts w:ascii="Times New Roman" w:cs="Times New Roman" w:eastAsia="Times New Roman" w:hAnsi="Times New Roman"/>
          <w:sz w:val="18"/>
          <w:szCs w:val="18"/>
          <w:color w:val="auto"/>
        </w:rPr>
        <w:t>In addition to directly impacting demand for air travel, future pandemics and other outbreaks of contagious diseases and any resultant restrictions may have a material and adverse impact on other aspects of our business, including:</w:t>
      </w:r>
    </w:p>
    <w:p>
      <w:pPr>
        <w:spacing w:after="0" w:line="54" w:lineRule="exact"/>
        <w:rPr>
          <w:sz w:val="20"/>
          <w:szCs w:val="20"/>
          <w:color w:val="auto"/>
        </w:rPr>
      </w:pPr>
    </w:p>
    <w:p>
      <w:pPr>
        <w:ind w:left="1020" w:hanging="517"/>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difficulties in completing installations on certain aircraft; and</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market and grow our business and to promote technological innovation.</w:t>
      </w:r>
    </w:p>
    <w:p>
      <w:pPr>
        <w:spacing w:after="0" w:line="117" w:lineRule="exact"/>
        <w:rPr>
          <w:sz w:val="20"/>
          <w:szCs w:val="20"/>
          <w:color w:val="auto"/>
        </w:rPr>
      </w:pPr>
    </w:p>
    <w:p>
      <w:pPr>
        <w:jc w:val="both"/>
        <w:ind w:right="260" w:firstLine="511"/>
        <w:spacing w:after="0" w:line="266" w:lineRule="auto"/>
        <w:rPr>
          <w:sz w:val="20"/>
          <w:szCs w:val="20"/>
          <w:color w:val="auto"/>
        </w:rPr>
      </w:pPr>
      <w:r>
        <w:rPr>
          <w:rFonts w:ascii="Times New Roman" w:cs="Times New Roman" w:eastAsia="Times New Roman" w:hAnsi="Times New Roman"/>
          <w:sz w:val="18"/>
          <w:szCs w:val="18"/>
          <w:color w:val="auto"/>
        </w:rPr>
        <w:t>In addition, pandemics and other outbreaks of contagious diseases may also exacerbate other risks disclosed in this Annual Report on Form 10-K. See, for example, “—</w:t>
      </w:r>
      <w:r>
        <w:rPr>
          <w:rFonts w:ascii="Times New Roman" w:cs="Times New Roman" w:eastAsia="Times New Roman" w:hAnsi="Times New Roman"/>
          <w:sz w:val="18"/>
          <w:szCs w:val="18"/>
          <w:i w:val="1"/>
          <w:iCs w:val="1"/>
          <w:color w:val="auto"/>
        </w:rPr>
        <w:t>Global supply chain challenges and logistics issues as well as increasing inflation have had, and may continue to have, an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 on our business, financial condition and results of operations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including economic slowdowns, and geopolitical instability may have a material adverse effect on our business.</w:t>
      </w:r>
    </w:p>
    <w:p>
      <w:pPr>
        <w:spacing w:after="0" w:line="121"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We cannot predict the nature, extent, timing or likelihood of any economic slowdown or the strength or sustainability of any economic recovery, worldwide, in the United States or in the aviation industry. Negative conditions in the general economy both in the United States and globally, including conditions resulting from changes in gross domestic product growth, declines in consumer confidence, labor shortages, inflationary pressures, rising interest rates, changes in government and election results in the United States and other jurisdictions in which we operate and financial and credit market fluctuations could cause a decrease in business investments, including spending on air travel and otherwise, and could materially and adversely affect the growth of our business. The U.S. economy has experienced a significant inflationary effect during the last several years from, among other things, supply chain disruptions. While we cannot predict any future trends in the rate of inflation, there is currently significant uncertainty in the near-term economic outlook. Continued inflation would further raise our costs for labor, materials and services, which could negatively impact our profitability and cash flows. Additionally, we may be unable to raise our prices for our equipment and services in amounts equal to the rate of inflation, which may negatively impact our operating results and business.</w:t>
      </w:r>
    </w:p>
    <w:p>
      <w:pPr>
        <w:spacing w:after="0" w:line="86"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In addition, geopolitical risks, including those arising from political turmoil, terrorist activity and acts of civil or international hostility, are increasing. For instance, the ongoing military conflict between Russia and Ukraine has had negative impacts on the global economy, capital markets, supply chains, and energy markets. Furthermore, ongoing geopolitical instability in Latin America, Arctic regions, the South China Sea, and the Middle East, or the perception of such instability, may have similar negative impacts on the business environment. In addition, other events outside of our control, including natural disasters, climate change-related events and regional or global outbreaks of contagious diseases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 If conditions of the general economy or markets in which we operate worsen from present levels, it could lead to a decrease in air travel, cause owners and operators of business aircraft to cut costs by reducing their purchases or use of business aircraft or their use of in-flight connectivity on such aircraft. Should an economic slowdown occur in the U.S. or globally, our business and results of operations may be materially adversely affected.</w:t>
      </w:r>
    </w:p>
    <w:p>
      <w:pPr>
        <w:spacing w:after="0" w:line="78" w:lineRule="exact"/>
        <w:rPr>
          <w:sz w:val="20"/>
          <w:szCs w:val="20"/>
          <w:color w:val="auto"/>
        </w:rPr>
      </w:pPr>
    </w:p>
    <w:p>
      <w:pPr>
        <w:ind w:right="38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fully utilize portions of our deferred tax assets, which would negatively impact our earnings and other comprehensive income.</w:t>
      </w:r>
    </w:p>
    <w:p>
      <w:pPr>
        <w:spacing w:after="0" w:line="51" w:lineRule="exact"/>
        <w:rPr>
          <w:sz w:val="20"/>
          <w:szCs w:val="20"/>
          <w:color w:val="auto"/>
        </w:rPr>
      </w:pPr>
    </w:p>
    <w:p>
      <w:pPr>
        <w:ind w:right="80" w:firstLine="511"/>
        <w:spacing w:after="0" w:line="266" w:lineRule="auto"/>
        <w:rPr>
          <w:sz w:val="20"/>
          <w:szCs w:val="20"/>
          <w:color w:val="auto"/>
        </w:rPr>
      </w:pPr>
      <w:r>
        <w:rPr>
          <w:rFonts w:ascii="Times New Roman" w:cs="Times New Roman" w:eastAsia="Times New Roman" w:hAnsi="Times New Roman"/>
          <w:sz w:val="18"/>
          <w:szCs w:val="18"/>
          <w:color w:val="auto"/>
        </w:rPr>
        <w:t>Our determination that we are more likely than not to realize a portion of our deferred tax assets represents our best estimate and considers both positive and negative factors. It is possible that there will be changes in our business, our performance, our industry or otherwise that cause actual results to differ materially from this estimate. If those changes result in significant and sustained reductions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24" w:name="page25"/>
    <w:bookmarkEnd w:id="24"/>
    <w:p>
      <w:pPr>
        <w:ind w:right="220"/>
        <w:spacing w:after="0" w:line="282" w:lineRule="auto"/>
        <w:rPr>
          <w:sz w:val="20"/>
          <w:szCs w:val="20"/>
          <w:color w:val="auto"/>
        </w:rPr>
      </w:pPr>
      <w:r>
        <w:rPr>
          <w:rFonts w:ascii="Times New Roman" w:cs="Times New Roman" w:eastAsia="Times New Roman" w:hAnsi="Times New Roman"/>
          <w:sz w:val="18"/>
          <w:szCs w:val="18"/>
          <w:color w:val="auto"/>
        </w:rPr>
        <w:t>in our pre-tax income or utilization of existing tax carryforwards in future periods, additional valuation allowances may have to be recorded, which could have a material adverse impact on earnings and/or other comprehensive income.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climate change and other sustainability-related matters.</w:t>
      </w:r>
    </w:p>
    <w:p>
      <w:pPr>
        <w:spacing w:after="0" w:line="121"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While the long-term effects of climate change on the global economy and the aviation industry in particular are unclear, we recognize that there are inherent climate-related risks wherever business is conducted. Any of our locations may be vulnerable to the adverse effects of climate change. For example, Colorado, where our corporate headquarters is located, has historically experienced, and is projected to continue to experience, physical climate change risks, including drought, flooding and wildfires. In addition, natural disasters could damage or destroy our networks, towers and data centers. Climate-related events, including the increasing frequency of extreme weather events and their impact on critical infrastructure in the United States and elsewhere, have the potential to disrupt our business, our third-party service providers or partners, and/or the business of our customers, and may cause us to experience higher attrition, losses and additional costs to maintain and resume operations.</w:t>
      </w:r>
    </w:p>
    <w:p>
      <w:pPr>
        <w:spacing w:after="0" w:line="81"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Additionally, concern over climate change, including the impact of global warming and greenhouse gas (“GHG”) emissions emitted by companies in the airline and transportation industries, has led to certain adverse publicity that could harm our reputation and reduce customer demand for our services. Environmental activists and organizations have recently promoted the idea of “flight shaming,” or advocating that consumers reduce their use of private jets and commercial air travel in favor of more environmentally sustainable modes of transportation such as boats, trains and buses. To the extent that our customers reduce their use of air travel in response to new environmental regulation or changes in public perception about the impact of air travel on climate change, our customers may reduce their usage of our services and, as a result, our business prospects, financial condition and results of operations may be materially adversely affected.</w:t>
      </w:r>
    </w:p>
    <w:p>
      <w:pPr>
        <w:spacing w:after="0" w:line="81"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Ongoing climate change has also recently resulted in certain U.S. federal, state and local, as well as foreign and international, legislative and regulatory efforts to limit GHG emissions. Increased regulation regarding GHG emissions, especially aircraft emissions, could impose substantial costs on us. We may also incur additional expenses due to U.S. and international regulators requiring additional disclosures regarding GHG emissions. Relatedly, various stakeholders, including shareholders, customers, employees, and suppliers, have become increasingly focused on sustainability matters, with these stakeholders and/or third-party organizations, evaluating the performance of companies on sustainability topics and in some cases widely publicizing the results. Satisfying these changing rules, regulations and expectations have resulted in, and are likely to continue to result in, increased general and administrative expenses and increased management time and attention. Companies that do not adapt to or comply with investor or other stakeholder expectations and standards, or that are perceived to have not responded appropriately to concerns regarding sustainability issues, regardless of whether there is a legal requirement to do so, may suffer from reputational damage, increased cost of capital and other adverse consequences.</w:t>
      </w:r>
    </w:p>
    <w:p>
      <w:pPr>
        <w:spacing w:after="0" w:line="80"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Finally, in recent years, specifically in the United States, “anti-ESG” sentiment has gained momentum, with several states and Congress having proposed or enacted “anti-ESG” policies, legislation, or initiatives or issued related legal opinions. Such anti-sustainability policies, legislation, initiatives, litigation, legal opinions, and scrutiny could result in the Company facing additional compliance obligations, becoming the subject of investigations and enforcement actions, or sustaining reputational harm. As a result, the regulatory landscape—and the resulting focus of various stakeholders on sustainability matters—remains unclear.</w:t>
      </w:r>
    </w:p>
    <w:p>
      <w:pPr>
        <w:spacing w:after="0" w:line="71" w:lineRule="exact"/>
        <w:rPr>
          <w:sz w:val="20"/>
          <w:szCs w:val="20"/>
          <w:color w:val="auto"/>
        </w:rPr>
      </w:pPr>
    </w:p>
    <w:p>
      <w:pPr>
        <w:ind w:right="34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at evaluating or pursuing strategic opportunities, which could adversely affect our revenue, financial condition and results of operation.</w:t>
      </w:r>
    </w:p>
    <w:p>
      <w:pPr>
        <w:spacing w:after="0" w:line="51"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Our Board and management continuously assess whether shareholder value would be increased by engaging in strategic and/or financial relationships, transactions or other opportunities, including those that are suggested to us by third parties. There can be no assurance that we will pursue any strategic or financial relationship, transaction or other opportunity, the outcome of which is inherently uncertain. Further, the process of evaluating and pursuing any such relationship, transaction or other opportunity will involve the dedication of significant resources and the incurrence of significant costs and expenses. If we are unable to mitigate these or other potential risks relating to assessing and undertaking strategic opportunities, it may disrupt our business or adversely impact our revenue, financial condition and results of operation. There can also be no assurance that we will be able to negotiate any acquisition successfully, and once negotiated, receive the required approvals for any acquisition or otherwise conclude any acquisition successfully, or that any acquisition will achieve the anticipated synergies or other positive results.</w:t>
      </w:r>
    </w:p>
    <w:p>
      <w:pPr>
        <w:spacing w:after="0" w:line="84" w:lineRule="exact"/>
        <w:rPr>
          <w:sz w:val="20"/>
          <w:szCs w:val="20"/>
          <w:color w:val="auto"/>
        </w:rPr>
      </w:pPr>
    </w:p>
    <w:p>
      <w:pPr>
        <w:ind w:right="100" w:firstLine="579"/>
        <w:spacing w:after="0" w:line="254" w:lineRule="auto"/>
        <w:rPr>
          <w:sz w:val="20"/>
          <w:szCs w:val="20"/>
          <w:color w:val="auto"/>
        </w:rPr>
      </w:pPr>
      <w:r>
        <w:rPr>
          <w:rFonts w:ascii="Times New Roman" w:cs="Times New Roman" w:eastAsia="Times New Roman" w:hAnsi="Times New Roman"/>
          <w:sz w:val="18"/>
          <w:szCs w:val="18"/>
          <w:color w:val="auto"/>
        </w:rPr>
        <w:t>In addition, to the extent we consummate acquisitions or other related transactions, we may also not be able to fully realize, or take significant time to realize, the anticipated benefits of acquired businesses. For instance, while we have already recognized certain anticipated synergies from our Satcom Direct business, which we acquired in late 2024, we may not be able to achieve all anticipated synergies of its technology, personnel, geographical reach, financial condition or business generally. Moreover, the full benefits of the acquisition may not be realized, including the cost savings or sales or growth opportunities that are expected. Acquisitions, once completed, may also entail further risks, including: unanticipated costs and liabilities of the acquired businesses, including environmental liabilities, that could materially adversely affect our results of operations; increased regulatory compliance relating to the acquired business; difficulties in assimilating and integrating acquired businesses, their personnel and their financial reporting systems, which would divert management attention and could prevent the expected benefits from the transaction from being realized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25" w:name="page26"/>
    <w:bookmarkEnd w:id="25"/>
    <w:p>
      <w:pPr>
        <w:ind w:right="40"/>
        <w:spacing w:after="0" w:line="277" w:lineRule="auto"/>
        <w:rPr>
          <w:sz w:val="20"/>
          <w:szCs w:val="20"/>
          <w:color w:val="auto"/>
        </w:rPr>
      </w:pPr>
      <w:r>
        <w:rPr>
          <w:rFonts w:ascii="Times New Roman" w:cs="Times New Roman" w:eastAsia="Times New Roman" w:hAnsi="Times New Roman"/>
          <w:sz w:val="17"/>
          <w:szCs w:val="17"/>
          <w:color w:val="auto"/>
        </w:rPr>
        <w:t>within the anticipated timeframe; negative effects on existing business relationships with suppliers and customers; loss of key employees of the acquired businesses or our business; and other difficulties in managing the expanded operations of a large, complex and global company. We have experienced some of these challenges in connection with the integration of Satcom Direct. In addition, any future acquisitions could result in the incurrence of additional debt and related interest expense, contingent liabilities and amortization expense related to intangible assets, which could have a material adverse effect on our business, financial condition, operating results and cash flows, or the issuance of additional equity, which could dilute our shareholders’ interests.</w:t>
      </w:r>
    </w:p>
    <w:p>
      <w:pPr>
        <w:spacing w:after="0" w:line="60" w:lineRule="exact"/>
        <w:rPr>
          <w:sz w:val="20"/>
          <w:szCs w:val="20"/>
          <w:color w:val="auto"/>
        </w:rPr>
      </w:pPr>
    </w:p>
    <w:p>
      <w:pPr>
        <w:ind w:right="940" w:firstLine="511"/>
        <w:spacing w:after="0" w:line="282" w:lineRule="auto"/>
        <w:rPr>
          <w:sz w:val="20"/>
          <w:szCs w:val="20"/>
          <w:color w:val="auto"/>
        </w:rPr>
      </w:pPr>
      <w:r>
        <w:rPr>
          <w:rFonts w:ascii="Times New Roman" w:cs="Times New Roman" w:eastAsia="Times New Roman" w:hAnsi="Times New Roman"/>
          <w:sz w:val="18"/>
          <w:szCs w:val="18"/>
          <w:color w:val="auto"/>
        </w:rPr>
        <w:t>Overall, if our acquisition strategy is not successful or if acquisitions are not well integrated into our existing operations, the Company’s profitability, business and financial condition could be negatively affected.</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recently-deployed Gogo 5G and Gogo Galileo services may not compete well in the market or face problems relating to implementation.</w:t>
      </w:r>
    </w:p>
    <w:p>
      <w:pPr>
        <w:spacing w:after="0" w:line="121"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 xml:space="preserve">We have recently deployed our next-generation ATG network, Gogo 5G, using 5G technology, unlicensed spectrum, and licensed spectrum. Gogo 5G will be capable of working with different spectrum bands and supporting different next generation technologies. We began receiving revenue from Gogo 5G in the fourth quarter of 2025. Additionally, as of December 31, 2025, we have shipped over 300 Gogo Galileo HDX antennas. However, there can be no assurance that Gogo 5G and Gogo Galileo will effectively compete in the global business aviation market due to, among other things, risks associated with: (i) the failure of our equipment and software to perform as expected or to integrate with our existing network services; (ii) in the case of Gogo Galileo, the failure of the Eutelsat OneWeb network to perform as expected; (iii) in the case of Gogo Galileo, difficulties in integrating our hardware and software with the Eutelsat OneWeb network; (iv) problems arising in the ongoing manufacturing process; (v) our inability to negotiate contracts with suppliers on acceptable commercial and other terms; (vi) our reliance on single-source suppliers for the development and manufacturing of the antenna and access to a LEO network in the case of Gogo Galileo or core elements of the network and other components and services in the case of Gogo 5G; (vii) delays in obtaining or failures to obtain the required regulatory approvals for installation and operation of such equipment and the provision of service to passengers; and (viii) in the case of Gogo 5G, the availability of adequate spectrum or the failure of spectrum to perform as expected. If either Gogo 5G or Gogo Galileo fails to perform as expected, our ability to meet respective customers’ or end users’ expectations regarding our systems’ performance and to effectively compete in our market may be impaired and our business, financial condition and results of operations may be materially adversely affected. See “— </w:t>
      </w:r>
      <w:r>
        <w:rPr>
          <w:rFonts w:ascii="Times New Roman" w:cs="Times New Roman" w:eastAsia="Times New Roman" w:hAnsi="Times New Roman"/>
          <w:sz w:val="18"/>
          <w:szCs w:val="18"/>
          <w:i w:val="1"/>
          <w:iCs w:val="1"/>
          <w:color w:val="auto"/>
        </w:rPr>
        <w:t>Competition could result in price reduction, reduced revenue and loss of market position and could harm our results of operations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right="220" w:firstLine="511"/>
        <w:spacing w:after="0" w:line="258" w:lineRule="auto"/>
        <w:rPr>
          <w:sz w:val="20"/>
          <w:szCs w:val="20"/>
          <w:color w:val="auto"/>
        </w:rPr>
      </w:pPr>
      <w:r>
        <w:rPr>
          <w:rFonts w:ascii="Times New Roman" w:cs="Times New Roman" w:eastAsia="Times New Roman" w:hAnsi="Times New Roman"/>
          <w:sz w:val="18"/>
          <w:szCs w:val="18"/>
          <w:color w:val="auto"/>
        </w:rPr>
        <w:t>Furthermore, in respect of Gogo Galileo, under our agreement with Hughes we have committed to purchase, over a seven-year period, half duplex and full duplex antennas with an aggregate purchase price of approximately $170 million and $102 million, respectively, and we may make additional financial commitments in connection with Gogo Galileo. Likewise, under Satcom Direct’s agreement with Gilat Satellite Networks Ltd., Satcom Direct’s supplier for an antenna similar to our full duplex antenna which could be used on a LEO satellite network like Gogo Galileo, we have committed to purchase, over a two-year period, a full duplex antenna and a modem with an aggregate purchase price of approximately $21 million.</w:t>
      </w:r>
    </w:p>
    <w:p>
      <w:pPr>
        <w:spacing w:after="0" w:line="71" w:lineRule="exact"/>
        <w:rPr>
          <w:sz w:val="20"/>
          <w:szCs w:val="20"/>
          <w:color w:val="auto"/>
        </w:rPr>
      </w:pPr>
    </w:p>
    <w:p>
      <w:pPr>
        <w:ind w:right="18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technology suppliers may be unable to continue to innovate next-generation technologies and provide products and services that are useful to customers and passengers, or may be delayed in developing and deploying such technologies.</w:t>
      </w:r>
    </w:p>
    <w:p>
      <w:pPr>
        <w:spacing w:after="0" w:line="51"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The market for our services is characterized by evolving technology, changes in customer and passenger needs and performance expectations, and frequent new service and product introductions. Our success will depend, in part, on our and our suppliers’ ability to continue to enhance existing technology and services or develop new technology and services on a timely and cost-effective basis. If we or our suppliers fail to adapt quickly enough to changing technology of our satellite network operators or other service providers that we rely on, customer requirements and/or regulatory requirements, our business and results of operations may be materially adversely affected. We expect to have to invest significant capital to keep pace with innovation and changing technology, and if the amount of such investment exceeds our plans or the amount of investment permitted under the Credit Agreements (as defined below), it may have a material adverse effect on our results of operations.</w:t>
      </w:r>
    </w:p>
    <w:p>
      <w:pPr>
        <w:spacing w:after="0" w:line="8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As is common in industries like ours, changing technology may result in obsolescence as we implement new technologies and products and retire old technologies and products to align with the requirements of our customers, satellite network operators or other service providers on which we rely. As we encounter such obsolescence, we need to ensure that we have a sufficient supply of parts, products and equipment compatible with our existing technology, as well as access to maintenance, repair and other critical support services, until the transition is completed. Certain suppliers may determine to stop manufacturing and supplying end-of-life parts, products and equipment, or may stop providing related services, prior to completion of our transition. Likewise, certain satellite network operators or other service providers that we rely on may determine to stop providing services compatible with our equipment and existing technology prior to completion of our transition. In the event that we are unable to obtain sufficient inventory from existing suppliers or otherwise meet the requirements of our satellite network operators or other service providers that we rely on, we would be required to engage new suppliers who have access to the intellectual property required to manufacture and support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26" w:name="page27"/>
    <w:bookmarkEnd w:id="26"/>
    <w:p>
      <w:pPr>
        <w:spacing w:after="0" w:line="255" w:lineRule="auto"/>
        <w:rPr>
          <w:sz w:val="20"/>
          <w:szCs w:val="20"/>
          <w:color w:val="auto"/>
        </w:rPr>
      </w:pPr>
      <w:r>
        <w:rPr>
          <w:rFonts w:ascii="Times New Roman" w:cs="Times New Roman" w:eastAsia="Times New Roman" w:hAnsi="Times New Roman"/>
          <w:sz w:val="18"/>
          <w:szCs w:val="18"/>
          <w:color w:val="auto"/>
        </w:rPr>
        <w:t>components that meet our specifications, and we may be unable to contract with such suppliers on commercially reasonable terms, or at all. We have implemented policies and procedures intended to ensure that we timely anticipate technology and product transitions and have access to sufficient inventory and services, but if such policies prove ineffective and we are unable to continue to engage suppliers with the capabilities or capacities required by our business to effect a transition, or if such suppliers fail to deliver quality products, parts, equipment and services in sufficient quantities or on a timely basis consistent with our schedule, our business, financial condition and results of operations may be materially adversely affected. In addition, following our retirement of end-of-life technologies and products, we may find that we have either obsolete or excess inventory on hand and might have to write off unusable inventory, which could have a material adverse effect on our results of operations.</w:t>
      </w:r>
    </w:p>
    <w:p>
      <w:pPr>
        <w:spacing w:after="0" w:line="81" w:lineRule="exact"/>
        <w:rPr>
          <w:sz w:val="20"/>
          <w:szCs w:val="20"/>
          <w:color w:val="auto"/>
        </w:rPr>
      </w:pPr>
    </w:p>
    <w:p>
      <w:pPr>
        <w:ind w:right="60" w:firstLine="511"/>
        <w:spacing w:after="0" w:line="273" w:lineRule="auto"/>
        <w:rPr>
          <w:sz w:val="20"/>
          <w:szCs w:val="20"/>
          <w:color w:val="auto"/>
        </w:rPr>
      </w:pPr>
      <w:r>
        <w:rPr>
          <w:rFonts w:ascii="Times New Roman" w:cs="Times New Roman" w:eastAsia="Times New Roman" w:hAnsi="Times New Roman"/>
          <w:sz w:val="17"/>
          <w:szCs w:val="17"/>
          <w:color w:val="auto"/>
        </w:rPr>
        <w:t xml:space="preserve">Finally, there can be no assurance that our customers will not seek alternative technologies provided by competitors due to delays in the deployment of other next-generation technologies. As previously disclosed, due to a design error, we were delayed in our commercial, nationwide launch of Gogo 5G, which occurred in the fourth quarter of 2025. Factors heightening the risk of future delays in other next-generation technologies include the following: the risks relating to competition, single-source suppliers and contract negotiation; problems arising in the manufacturing process or technological shifts from our satellite network operators or other service providers that we rely on that could impact the equipment that we currently provide; and delays in obtaining or failures to obtain the required regulatory approvals for installation and operation of such equipment and the provision of service to passengers. See “— </w:t>
      </w:r>
      <w:r>
        <w:rPr>
          <w:rFonts w:ascii="Times New Roman" w:cs="Times New Roman" w:eastAsia="Times New Roman" w:hAnsi="Times New Roman"/>
          <w:sz w:val="17"/>
          <w:szCs w:val="17"/>
          <w:i w:val="1"/>
          <w:iCs w:val="1"/>
          <w:color w:val="auto"/>
        </w:rPr>
        <w:t>Our recently-deployed Gogo 5G and Gogo Galileo services may not compete well in the market or face problems relating to implementation</w:t>
      </w:r>
      <w:r>
        <w:rPr>
          <w:rFonts w:ascii="Times New Roman" w:cs="Times New Roman" w:eastAsia="Times New Roman" w:hAnsi="Times New Roman"/>
          <w:sz w:val="17"/>
          <w:szCs w:val="17"/>
          <w:color w:val="auto"/>
        </w:rPr>
        <w:t>.”</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availability of spectrum.</w:t>
      </w:r>
    </w:p>
    <w:p>
      <w:pPr>
        <w:spacing w:after="0" w:line="121"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In June 2006, we purchased at FCC auction an exclusive ten-year, 3 MHz license for ATG spectrum, and in April 2013, as part of our acquisition of LiveTV Airfone, LLC, we acquired an additional 1 MHz ATG spectrum license. In 2017, our applications to renew our licenses were granted for additional ten-year terms without further payment. Any breach of the terms of our FCC licenses, FCC waiver conditions or FCC regulations, including foreign ownership restrictions, permitted uses of the spectrum and compliance with FAA regulations could result in the revocation, suspension, cancellation or reduction in the term of our licenses or a refusal by the FCC to renew the licenses upon expiration. Further, in connection with an application to renew our licenses upon expiration, a competitor could file a petition opposing such renewal on anti-competitive or other grounds. In 2017, the FCC released an order that, among other things, revised the wireless license renewal rules. As a result of this order, which applies to the industry generally, all licensees will need to make a showing (or certification) at renewal to demonstrate that the licensee provided and continues to provide service to the public. Because the 1 MHz ATG license has no specific construction or substantial service requirement, it is currently not clear what level and length of service the FCC will find adequate when considering the next renewal of the 1 MHz ATG license in 2026. We have incorporated this 1 MHz ATG license into our network. A negative interpretation of this ambiguous renewal requirement could impair our flexibility to use or otherwise realize the value of such spectrum beyond 2026.</w:t>
      </w:r>
    </w:p>
    <w:p>
      <w:pPr>
        <w:spacing w:after="0" w:line="74"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Our ability to offer in-flight broadband connectivity through our ATG service currently depends on our ability to maintain rights to use the 4 MHz ATG spectrum in the U.S. free from harmful interference, and our failure to do so may have a material adverse effect on our business, financial condition and results of operations. In addition, our ability to meet increasing performance demands and expand our service offerings in the United States will depend in part upon our ability to continue employing unlicensed spectrum in the 2.4 GHz band for concurrent use with the licensed 4 MHz spectrum to launch Gogo 5G, and may require that we obtain additional licensed or unlicensed spectrum suitable for our use. Such spectrum may not be available to us on commercially reasonable terms or at all. Our failure to obtain adequate spectrum could have a material adverse effect on our business, financial condition and results of operations.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Additional ATG spectrum, whether licensed or unlicensed, is or may become available in the future.</w:t>
      </w:r>
    </w:p>
    <w:p>
      <w:pPr>
        <w:spacing w:after="0" w:line="121"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While we have exclusive rights to the only broadband spectrum licensed by the FCC for ATG use, the FCC may in the future decide to auction additional spectrum for ATG use that is not currently designated for that purpose, or a competitor could develop technology or a business plan that allows it to cost effectively use spectrum not specifically reserved for ATG, but on which ATG use is not prohibited, to provide broadband connectivity.</w:t>
      </w:r>
    </w:p>
    <w:p>
      <w:pPr>
        <w:spacing w:after="0" w:line="68" w:lineRule="exact"/>
        <w:rPr>
          <w:sz w:val="20"/>
          <w:szCs w:val="20"/>
          <w:color w:val="auto"/>
        </w:rPr>
      </w:pPr>
    </w:p>
    <w:p>
      <w:pPr>
        <w:ind w:right="220" w:firstLine="511"/>
        <w:spacing w:after="0" w:line="282" w:lineRule="auto"/>
        <w:rPr>
          <w:sz w:val="20"/>
          <w:szCs w:val="20"/>
          <w:color w:val="auto"/>
        </w:rPr>
      </w:pPr>
      <w:r>
        <w:rPr>
          <w:rFonts w:ascii="Times New Roman" w:cs="Times New Roman" w:eastAsia="Times New Roman" w:hAnsi="Times New Roman"/>
          <w:sz w:val="18"/>
          <w:szCs w:val="18"/>
          <w:color w:val="auto"/>
        </w:rPr>
        <w:t>The availability of additional spectrum in the marketplace that is available for ATG use may increase the possibility that we may face competition from one or more other ATG service providers in the future.</w:t>
      </w:r>
    </w:p>
    <w:p>
      <w:pPr>
        <w:spacing w:after="0" w:line="50" w:lineRule="exact"/>
        <w:rPr>
          <w:sz w:val="20"/>
          <w:szCs w:val="20"/>
          <w:color w:val="auto"/>
        </w:rPr>
      </w:pPr>
    </w:p>
    <w:p>
      <w:pPr>
        <w:ind w:right="300" w:firstLine="51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periodically are and could in the future be adversely affected if we or our third party suppliers or service providers suffer service interruptions or delays, technology failures, damage to equipment or system disruptions or failures arising from, among other things, force majeure events, cybersecurity incidents or other malicious activities.</w:t>
      </w:r>
    </w:p>
    <w:p>
      <w:pPr>
        <w:spacing w:after="0" w:line="67"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We rely heavily on communications, information systems (both internal and provided by third parties), and the internet to conduct our business. Our brand, reputation and ability to attract, retain and serve our customers depend upon the reliable performance of our ground network, in-flight systems and third-party satellite networks. We have experienced and may in the future experience service interruptions, service delays or technology or systems failures, which may be due to factors beyond our control, including cyberattacks or other malicious activities, natural catastrophes, epidemics, pandemics, industrial accidents, blackouts, acts of war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27" w:name="page28"/>
    <w:bookmarkEnd w:id="27"/>
    <w:p>
      <w:pPr>
        <w:ind w:right="40"/>
        <w:spacing w:after="0" w:line="277" w:lineRule="auto"/>
        <w:rPr>
          <w:sz w:val="20"/>
          <w:szCs w:val="20"/>
          <w:color w:val="auto"/>
        </w:rPr>
      </w:pPr>
      <w:r>
        <w:rPr>
          <w:rFonts w:ascii="Times New Roman" w:cs="Times New Roman" w:eastAsia="Times New Roman" w:hAnsi="Times New Roman"/>
          <w:sz w:val="17"/>
          <w:szCs w:val="17"/>
          <w:color w:val="auto"/>
        </w:rPr>
        <w:t>terrorism or other similar events. If we experience frequent or severe system or network failures, our reputation, brand and customer retention could be harmed. In addition, in the event that a significant number of our or our vendors’ systems were unavailable following a disaster, our ability to effectively conduct business could be severely compromised. Unanticipated problems with, or failures of, our disaster recovery systems and business continuity plans could have a material impact on our ability to conduct business and on our results of operations and financial condition. The failure of our disaster recovery systems and business continuity plans could adversely impact our profitability and our business or result in delays in reporting our financial results.</w:t>
      </w:r>
    </w:p>
    <w:p>
      <w:pPr>
        <w:spacing w:after="0" w:line="60" w:lineRule="exact"/>
        <w:rPr>
          <w:sz w:val="20"/>
          <w:szCs w:val="20"/>
          <w:color w:val="auto"/>
        </w:rPr>
      </w:pPr>
    </w:p>
    <w:p>
      <w:pPr>
        <w:ind w:right="20" w:firstLine="511"/>
        <w:spacing w:after="0" w:line="252" w:lineRule="auto"/>
        <w:rPr>
          <w:sz w:val="20"/>
          <w:szCs w:val="20"/>
          <w:color w:val="auto"/>
        </w:rPr>
      </w:pPr>
      <w:r>
        <w:rPr>
          <w:rFonts w:ascii="Times New Roman" w:cs="Times New Roman" w:eastAsia="Times New Roman" w:hAnsi="Times New Roman"/>
          <w:sz w:val="18"/>
          <w:szCs w:val="18"/>
          <w:color w:val="auto"/>
        </w:rPr>
        <w:t>We and our vendors or partners, like other commercial entities, have been, and will likely continue to be, subject to various forms of cyberattacks from a wide variety of sources/malicious actors, including by individuals or by highly organized attempts by highly sophisticated organizations, with the objective of gaining unauthorized access to our systems and data or disrupting our operations. Cybersecurity incidents may include, but are not limited to, social engineering (including phishing attacks), account takeover attempts, cyberattacks (including ransomware or other extortion tactics, malware attacks, unauthorized access attempts, and denial of service and other unintentional intrusions or malicious cyberattacks), ransomware or other extortion tactics, denial of service attacks, credential stuffing, fraudulent schemes, and other intentional or unintentional computer-related intrusions or interruptions. Hardware, software or applications developed by us or received from third parties may contain exploitable vulnerabilities, bugs, or defects in design, maintenance or manufacture or other issues that could compromise information and cybersecurity. In addition, nation state attacks against U.S. businesses, including in the telecommunications industry, are prevalent. In light of geopolitical events and dynamics, state-sponsored parties or their supporters may launch cyberattacks, and may attempt to cause supply chain disruptions, or carry out other geopolitically motivated actions that may adversely disrupt or degrade our operations and may result in data compromise. Cybersecurity incidents may also arise as a result of employee or third-party negligence, error, or fraud, and our continuous technological evaluations and enhancements, including changes designed to update our protective measures, may increase our risk of a significant cybersecurity incident. There is no assurance that administrative, physical, and technical controls and other preventive actions taken to reduce the risk of cyberattacks and protect our information technology will prevent physical and electronic break-ins, cyberattacks or other cybersecurity incidents to such systems or our data. In some cases, such physical and electronic break-ins, cyberattacks or other cybersecurity incidents may not be immediately detected. If we or our vendors fail to prevent, detect, address and mitigate such incidents, this may impede or interrupt our business operations and could adversely affect our business, financial condition and results of operations. Further, adoption of AI tools by us or by third parties may pose new cybersecurity challenges. Threat actors may use AI tools to automate and enhance cybersecurity attacks against us. We use software and platforms designed to detect such cybersecurity threats, including AI-based tools, but these threats could become more sophisticated and harder to detect and counteract, which may pose significant risks to our data security and systems.</w:t>
      </w:r>
    </w:p>
    <w:p>
      <w:pPr>
        <w:spacing w:after="0" w:line="81"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To date, no cybersecurity incident has, individually or in the aggregate, resulted in a cybersecurity incident with a material effect on our operations or our financial condition, results of operations, liquidity, or cash flows, but they could have a material impact in the future. A cybersecurity incident or disruption could also interfere with our ability to comply with financial reporting requirements or result in loss of competitive position, litigation, breach of contracts, reputational harm, damage to our stakeholder relationships, or legal liability. While we may be entitled to damages if our third-party service providers fail to satisfy their cybersecurity-related obligations to us, any award may be insufficient to cover our damages, or we may be unable to recover such award.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identify cybersecurity issues that were not found during due diligence of such acquired or integrated entities, and it may be difficult to integrate companies into our information technology environment and security program. In addition, system failures, significant interruptions, or cybersecurity incidents could subject us to regulatory scrutiny and enforcement actions (including penalties, fines, and investigations), and result in claims of material breaches of our customer contracts resulting in termination rights, penalties or claims for damages. Regulators’ or others’ scrutiny of cybersecurity, including new laws, regulations, or industry standards, could increase our compliance costs and operational burdens, especially as regulatory and legislative focus on cybersecurity matters intensifies. Regulators, customers, or others may scrutinize us for any actual or suspected system disruptions or cybersecurity incidents. Data protection laws and regulations in the jurisdictions where we operate often require “reasonable,” “appropriate” or “adequate” technical and organizational cybersecurity measures, and the interpretation and application of those laws and regulations are often uncertain and evolving; there can be no assurance that our cybersecurity measures will be deemed adequate, appropriate or reasonable by a regulator or court. We may incur higher costs to comply with laws related to, or regulators’ scrutiny of, our use, collection, management, or transfer of data and other privacy practices.</w:t>
      </w:r>
    </w:p>
    <w:p>
      <w:pPr>
        <w:spacing w:after="0" w:line="85"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Any such cybersecurity incidents, unauthorized access or disclosure, or other loss of information could result in legal claims or proceedings and liability under our contracts with certain customers, which generally require us to indemnify the customer for passenger and other third-party claims arising from data security breaches. In addition, such cybersecurity incidents may disrupt our operations and the services we provide to customers, result in the loss of value of trade secrets, require expensive efforts to investigate, remediate or resolve, damage our reputation, and cause a loss of revenue, reputational harm or a loss of confidence in our products and services, all of which may have a material adverse effect on our business prospects, financial condition and results of operations. We may also maintain cyber liability insurance that covers certain damages caused by cybersecurity incidents. However, there is no guarantee that adequate insurance will continue to be available at rates that we believe are reasonable or that the costs of responding to and recovering from a cybersecurity incident will be covered by insurance or recoverable in rates.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28" w:name="page29"/>
    <w:bookmarkEnd w:id="28"/>
    <w:p>
      <w:pPr>
        <w:ind w:right="68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misappropriation or other violations by us of their intellectual property rights could result in significant costs and materially adversely affect our business and results of operations.</w:t>
      </w:r>
    </w:p>
    <w:p>
      <w:pPr>
        <w:spacing w:after="0" w:line="51"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In recent years, there has been significant litigation involving intellectual property rights in many technology-based industries, including the wireless communications industry. We are currently facing, and may in the future face, claims that we or a supplier have violated patent, trademark or other intellectual property rights of third parties. Many companies, including our competitors, are devoting significant resources to obtaining patents that could potentially cover many aspects of our business. While we have reviewed the patent portfolios of certain competitors and other third parties, we have not exhaustively searched all patents relevant to our technologies and business and therefore it is possible that we may be unknowingly infringing the patents of others. Any infringement, misappropriation or related claims, whether or not meritorious and whether or not they result in litigation, are time-consuming, divert technical and management personnel and are costly to resolve. As a result of any such dispute, we may have to develop non-infringing technology, pay damages, enter into royalty or licensing agreements, cease providing certain products or services, adjust our merchandizing or marketing and advertising activities or take other actions to resolve the claims. These actions, if required, may be costly or unavailable on terms acceptable to us.</w:t>
      </w:r>
    </w:p>
    <w:p>
      <w:pPr>
        <w:spacing w:after="0" w:line="80" w:lineRule="exact"/>
        <w:rPr>
          <w:sz w:val="20"/>
          <w:szCs w:val="20"/>
          <w:color w:val="auto"/>
        </w:rPr>
      </w:pPr>
    </w:p>
    <w:p>
      <w:pPr>
        <w:ind w:right="100" w:firstLine="511"/>
        <w:spacing w:after="0" w:line="258" w:lineRule="auto"/>
        <w:rPr>
          <w:sz w:val="20"/>
          <w:szCs w:val="20"/>
          <w:color w:val="auto"/>
        </w:rPr>
      </w:pPr>
      <w:r>
        <w:rPr>
          <w:rFonts w:ascii="Times New Roman" w:cs="Times New Roman" w:eastAsia="Times New Roman" w:hAnsi="Times New Roman"/>
          <w:sz w:val="18"/>
          <w:szCs w:val="18"/>
          <w:color w:val="auto"/>
        </w:rPr>
        <w:t>In February 2022, a competitor filed a patent infringement suit against us. On November 24, 2025, a jury awarded the competitor $22.7 million in damages. Aspects of the verdict are subject to post-trial briefing, and depending on the outcome, we will appeal if necessary. For more information, see Note 17, “Commitments and Contingencies—SmartSky Litigation,” to our consolidated financial statements. Should an appeal be necessary, the process is likely to be time-consuming and costly and divert management resources, and could adversely affect our business relating to such disputed technology during its pendency.</w:t>
      </w:r>
    </w:p>
    <w:p>
      <w:pPr>
        <w:spacing w:after="0" w:line="75"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8"/>
          <w:szCs w:val="18"/>
          <w:color w:val="auto"/>
        </w:rPr>
        <w:t>Pursuant to our contracts with certain customers, we have agreed to indemnify such customers against such claims, and our indemnification obligations generally include defending or paying for the defense of the action and paying any judgments or other costs assessed against the customer in the event of an adverse outcome. In most cases, our contracts do not cap our indemnification obligations. In addition, certain of our suppliers do not indemnify us for third-party infringement or misappropriation claims arising from our use of supplier technology, and we may be liable in the event of such claims. Our inability to meet our indemnification obligations and our customers terminating or failing to renew their contracts may have a material adverse effect on our business and financial condition.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rights.</w:t>
      </w:r>
    </w:p>
    <w:p>
      <w:pPr>
        <w:spacing w:after="0" w:line="121"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We regard our trademarks, service marks, copyrights, patents, trade secrets, proprietary technologies, domain names and similar intellectual property as important to our success. We rely on trademark, copyright and patent law, trade secret protection, and confidentiality agreements with our employees, vendors, customers and others to protect our proprietary rights. We have sought and obtained patent protection for certain of our technologies in the United States and certain other countries. Many of the trademarks that we use (including marks we have applied to register) contain words or terms having a somewhat common usage, such as “Gogo”, “Gogo Vision” and “Gogo Galileo” and, as a result, we may have difficulty registering them in certain jurisdictions. We do not own, for example, the domain www.gogo.com and we have not yet obtained registrations for our most important marks in all markets in which we do business or may do business in the future. If other companies have registered or have been using in commerce similar trademarks for services similar to ours in foreign jurisdictions, we may have difficulty in registering, or enforcing an exclusive right to use, our marks in those foreign jurisdictions.</w:t>
      </w:r>
    </w:p>
    <w:p>
      <w:pPr>
        <w:spacing w:after="0" w:line="80"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efforts we have taken to protect our proprietary rights will be effective, that any patent and trademark applications will lead to issued patents and registered trademarks in all instances, that others will not obtain intellectual property rights to similar or superior technologies, products or services, or that our intellectual property will not be challenged, invalidated, misappropriated or infringed by others. Furthermore, the intellectual property laws and enforcement practices of other countries in which our service is or may in the future be offered may not protect our intellectual property rights to the same extent as the laws of the United States. We may need to expend additional resources to defend our intellectual property in these countries and our inability to do so could impair our business or adversely affect our international expansion. If we are unable to protect our intellectual property from unauthorized use, our ability to exploit our proprietary technology or our brand image may be harmed, which may materially adversely affect our business and results of operations.</w:t>
      </w:r>
    </w:p>
    <w:p>
      <w:pPr>
        <w:spacing w:after="0" w:line="80" w:lineRule="exact"/>
        <w:rPr>
          <w:sz w:val="20"/>
          <w:szCs w:val="20"/>
          <w:color w:val="auto"/>
        </w:rPr>
      </w:pPr>
    </w:p>
    <w:p>
      <w:pPr>
        <w:ind w:right="20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new and evolving technologies, such as AI, in our products and services may result in reputational harm, competitive harm or legal liability.</w:t>
      </w:r>
    </w:p>
    <w:p>
      <w:pPr>
        <w:spacing w:after="0" w:line="51" w:lineRule="exact"/>
        <w:rPr>
          <w:sz w:val="20"/>
          <w:szCs w:val="20"/>
          <w:color w:val="auto"/>
        </w:rPr>
      </w:pPr>
    </w:p>
    <w:p>
      <w:pPr>
        <w:ind w:firstLine="556"/>
        <w:spacing w:after="0" w:line="255" w:lineRule="auto"/>
        <w:rPr>
          <w:sz w:val="20"/>
          <w:szCs w:val="20"/>
          <w:color w:val="auto"/>
        </w:rPr>
      </w:pPr>
      <w:r>
        <w:rPr>
          <w:rFonts w:ascii="Times New Roman" w:cs="Times New Roman" w:eastAsia="Times New Roman" w:hAnsi="Times New Roman"/>
          <w:sz w:val="18"/>
          <w:szCs w:val="18"/>
          <w:color w:val="auto"/>
        </w:rPr>
        <w:t>We have in the past and will in the future integrate new and evolving technologies, such as AI, into our products and services. As with many innovations, AI presents risks and challenges that could affect its adoption and, as a result, our business. Our implementation of AI in our products and services may have unintended consequences due to its inherent limitations or our failure to use it effectively. For example, AI algorithms may be flawed due to a lack of back-testing or datasets of poor quality or inappropriate bias, and analyses generated by AI may be deficient or inaccurate, subjecting us to competitive or reputational harm. Further, the use of generative AI models may result in outputs that are unpredictable, offensive, or infringe third-party rights, which could expose us to additional reputational, regulatory, or legal risks. The use of AI tools may introduce errors or inadequacies that are not easily detectable, including deficiencies, inaccuracies, or biases in the data used for AI training, or in the content, analyses,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29" w:name="page30"/>
    <w:bookmarkEnd w:id="29"/>
    <w:p>
      <w:pPr>
        <w:ind w:right="60"/>
        <w:spacing w:after="0" w:line="258" w:lineRule="auto"/>
        <w:rPr>
          <w:sz w:val="20"/>
          <w:szCs w:val="20"/>
          <w:color w:val="auto"/>
        </w:rPr>
      </w:pPr>
      <w:r>
        <w:rPr>
          <w:rFonts w:ascii="Times New Roman" w:cs="Times New Roman" w:eastAsia="Times New Roman" w:hAnsi="Times New Roman"/>
          <w:sz w:val="18"/>
          <w:szCs w:val="18"/>
          <w:color w:val="auto"/>
        </w:rPr>
        <w:t>recommendations generated by AI applications. This could reduce the effectiveness of AI tools and adversely impact us and our operations to the extent we rely on the work product of such technology in our operations. Although we implement measures designed to help prevent such errors or inadequacies, those measures may not always be successful, and the results of such errors or inadequacies may adversely affect our business, financial condition, and results of operations. AI tools may be misused or misappropriated by our employees, vendors, or partners, resulting in the unauthorized use or disclosure of confidential information, including material non-public information or personal information.</w:t>
      </w:r>
    </w:p>
    <w:p>
      <w:pPr>
        <w:spacing w:after="0" w:line="75" w:lineRule="exact"/>
        <w:rPr>
          <w:sz w:val="20"/>
          <w:szCs w:val="20"/>
          <w:color w:val="auto"/>
        </w:rPr>
      </w:pPr>
    </w:p>
    <w:p>
      <w:pPr>
        <w:ind w:right="260" w:firstLine="511"/>
        <w:spacing w:after="0" w:line="258" w:lineRule="auto"/>
        <w:rPr>
          <w:sz w:val="20"/>
          <w:szCs w:val="20"/>
          <w:color w:val="auto"/>
        </w:rPr>
      </w:pPr>
      <w:r>
        <w:rPr>
          <w:rFonts w:ascii="Times New Roman" w:cs="Times New Roman" w:eastAsia="Times New Roman" w:hAnsi="Times New Roman"/>
          <w:sz w:val="18"/>
          <w:szCs w:val="18"/>
          <w:color w:val="auto"/>
        </w:rPr>
        <w:t>Additionally, the IP ownership and license rights of new technologies such as AI have not been fully addressed by U.S. courts, and the use or adoption of such technologies in our products and services may expose us to potential intellectual property claims, breach of a data or software license, website terms of service claims, claimed violations of privacy rights or other tort claims. There is already active product liability and wrongful death lawsuits in the US alleging that AI technologies have contributed to serious harm, including suicide, which underscores the potential for significant legal exposure and reputational harm.</w:t>
      </w:r>
    </w:p>
    <w:p>
      <w:pPr>
        <w:spacing w:after="0" w:line="75"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8"/>
          <w:szCs w:val="18"/>
          <w:color w:val="auto"/>
        </w:rPr>
        <w:t>Governmental regulation and laws related to AI may also increase the burden and cost of research and development or require increased transparency that makes it more difficult to protect our IP, or it may prevent or limit our ability to use AI in our business, lead to regulatory fines or penalties, or require us to change our business practices. The regulatory landscape is increasingly complex. In the US, the Trump administration has taken a different approach than the prior administration, revoking the Biden administration’s AI executive orders and issuing a number of its own, including the recent executive order titled “Ensuring a National Policy Framework for Artificial Intelligence” (Executive Order 14365). The Trump administration’s approach is generally deregulatory. However, many state AI laws have been passed, such as the Colorado AI Act and California’s Transparency in Frontier Artificial Intelligence Act, or proposed, and the federal executive orders do not clearly preempt these state laws, resulting in a growing patchwork of AI regulation in the U.S. Additionally, the effort to gain technological expertise and develop new technologies in our business may be costly. Investments in technology systems and data analytics capabilities, including AI tools, may not deliver the benefits or perform as expected or may be replaced or become obsolete more quickly than expected, and we may not implement or use new technologies in the most effective way, which could result in operational difficulties or additional costs. Furthermore, the current and potential future applications of these AI tools are rapidly evolving, as are the legal and regulatory frameworks that govern them. AI could significantly disrupt the markets in which we operate and subject us to increased competition, legal and regulatory risks and compliance costs, which could have a material adverse effect on our business, financial condition and results of operations.</w:t>
      </w:r>
    </w:p>
    <w:p>
      <w:pPr>
        <w:spacing w:after="0" w:line="79"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Additionally, the EU AI Act strictly regulates AI abroad. Other jurisdictions may decide to adopt similar or more restrictive legislation rendering the use of such technologies challenging. To date, there is no unified legal definition of “artificial intelligence” nor a set standard of regulations, making compliance vary significantly from region to region, especially within the U.S. This lack of harmonization increases the complexity and cost of compliance, and may create uncertainty regarding our legal obligations. Social and ethical issues relating to the use of new and evolving technologies such as AI in our offerings could also harm our competitive position and brand, or create legal liability, and may cause us to incur additional research and development costs to resolve such issues. Investors, analysts, and other market participants may use AI tools to process, summarize, or interpret our financial information or other data about us. The use of AI tools in financial and market analysis may introduce risks similar to those described above, including an inaccurate interpretation of our financial or operational performance or market trends or conditions, which in turn could result in inaccurate conclusions or investment recommendations. Lastly, the rapid evolution and increased adoption of AI technologies may intensify our cybersecurity risks. For more information, see “—</w:t>
      </w:r>
      <w:r>
        <w:rPr>
          <w:rFonts w:ascii="Times New Roman" w:cs="Times New Roman" w:eastAsia="Times New Roman" w:hAnsi="Times New Roman"/>
          <w:sz w:val="18"/>
          <w:szCs w:val="18"/>
          <w:i w:val="1"/>
          <w:iCs w:val="1"/>
          <w:color w:val="auto"/>
        </w:rPr>
        <w:t>We periodically are and could be in the future adversely affected if we or our third party suppliers or service providers suffer service interruptions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delays, technology failures, damage to equipment or system disruptions or failures arising from, among other things, force majeure events, cyberattacks or other malicious activities.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limit our ability to commercialize our technology.</w:t>
      </w:r>
    </w:p>
    <w:p>
      <w:pPr>
        <w:spacing w:after="0" w:line="121"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Open-source software is software made widely and freely available to the public in human-readable source code form, usually with liberal rights to modify and improve such software. Some open-source licenses require as a condition of use that proprietary software that is combined with licensed open-source software and distributed must be released to the public in source code form and under the terms of the open-source license. Accordingly, depending on the manner in which such licenses were interpreted and applied, we could face restrictions on our ability to commercialize certain of our products and we could be required to: (i) release the source code of certain of our proprietary software to the public, including competitors, if the open-source software was linked in a manner that would require such release of our proprietary software source code; (ii) seek licenses from third parties for replacement software; and/or (iii) re-engineer our software in order to continue offering our products. Such consequences may materially adversely affect our business.</w:t>
      </w:r>
    </w:p>
    <w:p>
      <w:pPr>
        <w:spacing w:after="0" w:line="77" w:lineRule="exact"/>
        <w:rPr>
          <w:sz w:val="20"/>
          <w:szCs w:val="20"/>
          <w:color w:val="auto"/>
        </w:rPr>
      </w:pPr>
    </w:p>
    <w:p>
      <w:pPr>
        <w:ind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equipment or material defects or errors in our software or services may damage our reputation, result in claims against us that exceed our insurance coverage, thereby requiring us to pay significant damages, and impair our ability to sell our service.</w:t>
      </w:r>
    </w:p>
    <w:p>
      <w:pPr>
        <w:spacing w:after="0" w:line="51" w:lineRule="exact"/>
        <w:rPr>
          <w:sz w:val="20"/>
          <w:szCs w:val="20"/>
          <w:color w:val="auto"/>
        </w:rPr>
      </w:pPr>
    </w:p>
    <w:p>
      <w:pPr>
        <w:jc w:val="both"/>
        <w:ind w:right="580" w:firstLine="511"/>
        <w:spacing w:after="0" w:line="266" w:lineRule="auto"/>
        <w:rPr>
          <w:sz w:val="20"/>
          <w:szCs w:val="20"/>
          <w:color w:val="auto"/>
        </w:rPr>
      </w:pPr>
      <w:r>
        <w:rPr>
          <w:rFonts w:ascii="Times New Roman" w:cs="Times New Roman" w:eastAsia="Times New Roman" w:hAnsi="Times New Roman"/>
          <w:sz w:val="18"/>
          <w:szCs w:val="18"/>
          <w:color w:val="auto"/>
        </w:rPr>
        <w:t>Our products contain complex systems, components and software that could contain errors or defects, particularly when we incorporate new technology or when new software is first introduced or new versions or enhancements are released. If any of our products are defective, we could be required to redesign or recall those products or pay substantial damages or warranty claims.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30" w:name="page31"/>
    <w:bookmarkEnd w:id="30"/>
    <w:p>
      <w:pPr>
        <w:ind w:right="40"/>
        <w:spacing w:after="0" w:line="253" w:lineRule="auto"/>
        <w:rPr>
          <w:sz w:val="20"/>
          <w:szCs w:val="20"/>
          <w:color w:val="auto"/>
        </w:rPr>
      </w:pPr>
      <w:r>
        <w:rPr>
          <w:rFonts w:ascii="Times New Roman" w:cs="Times New Roman" w:eastAsia="Times New Roman" w:hAnsi="Times New Roman"/>
          <w:sz w:val="18"/>
          <w:szCs w:val="18"/>
          <w:color w:val="auto"/>
        </w:rPr>
        <w:t>addition, such events could result in significant expenses and diversion of development and other resources, a reduction in sales or delay in market acceptance of our products and services, loss of existing customers, terminations of, failures to renew, penalties or damage claims under aviation partner contracts, harm to our reputation and brand image and increased insurance costs. If our in-flight system has a malfunction resulting from an error or defect or a problem with installation or maintenance and such malfunction causes physical damage to an aircraft or impairs its on-board electronics or avionics, significant property loss and serious personal injury or death could result. For more information on these risks as they relate to our satellite services,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depend upon third parties, many of which are single-source providers, to manufacture equipment components, provide services for our network or satellite services, and install and maintain our equipment</w:t>
      </w:r>
      <w:r>
        <w:rPr>
          <w:rFonts w:ascii="Times New Roman" w:cs="Times New Roman" w:eastAsia="Times New Roman" w:hAnsi="Times New Roman"/>
          <w:sz w:val="18"/>
          <w:szCs w:val="18"/>
          <w:color w:val="auto"/>
        </w:rPr>
        <w:t>.” Any such failure could expose us to substantial personal injury claims, product liability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costly repair obligations. The aircraft operated by our customers may be very costly to repair and the damages in any product liability claims could be material. We carry aircraft and non-aircraft product liability insurance consistent with industry norms; however, such insurance coverage may not be sufficient to fully cover claims. A product recall or a product liability claim not covered by insurance could have a material adverse effect on our business, financial condition and results of operations.</w:t>
      </w:r>
    </w:p>
    <w:p>
      <w:pPr>
        <w:spacing w:after="0" w:line="84" w:lineRule="exact"/>
        <w:rPr>
          <w:sz w:val="20"/>
          <w:szCs w:val="20"/>
          <w:color w:val="auto"/>
        </w:rPr>
      </w:pPr>
    </w:p>
    <w:p>
      <w:pPr>
        <w:ind w:firstLine="511"/>
        <w:spacing w:after="0" w:line="266" w:lineRule="auto"/>
        <w:rPr>
          <w:sz w:val="20"/>
          <w:szCs w:val="20"/>
          <w:color w:val="auto"/>
        </w:rPr>
      </w:pPr>
      <w:r>
        <w:rPr>
          <w:rFonts w:ascii="Times New Roman" w:cs="Times New Roman" w:eastAsia="Times New Roman" w:hAnsi="Times New Roman"/>
          <w:sz w:val="18"/>
          <w:szCs w:val="18"/>
          <w:color w:val="auto"/>
        </w:rPr>
        <w:t>Further, we indemnify some of our customers for losses due to third-party claims and in certain cases the causes of such losses may include failure of our products. Should we be required by the FAA or otherwise to cease providing the Gogo service, even on a temporary basis, as a result of a product malfunction or defect, our business, financial condition and results of operations may also be materially adversely affected.</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117" w:lineRule="exact"/>
        <w:rPr>
          <w:sz w:val="20"/>
          <w:szCs w:val="20"/>
          <w:color w:val="auto"/>
        </w:rPr>
      </w:pPr>
    </w:p>
    <w:p>
      <w:pPr>
        <w:ind w:right="14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Communications Act and FCC regulations limiting ownership and voting of our capital stock by non-U.S. persons, we could lose our FCC license.</w:t>
      </w:r>
    </w:p>
    <w:p>
      <w:pPr>
        <w:spacing w:after="0" w:line="51"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Under the Communications Act and applicable FCC regulations, we are effectively restricted from having more than 25% of our capital stock owned or voted directly or indirectly by non-U.S. persons, including individuals and entities organized outside the United States or controlled by non-U.S. persons, without prior FCC approval. The Trump Administration and FCC have signaled increasing concern about national security and foreign ownership issues in general. As a result, the Trump Administration has, among other things, increased detection and enforcement, adopted and proposed new rules and requirements for many communications services, and implemented restrictions on Unmanned Aircraft Systems (“UAS”) and certain UAS components manufactured in any foreign country. We have established procedures to ascertain the nature and extent of our foreign ownership, and we believe that the indirect ownership of our equity by foreign persons or entities is below the 25% cap. However, as a publicly traded company we may not be able to determine with certainty the exact amount of our stock that is held by foreign persons or entities at any given time. A failure to comply with applicable restrictions on ownership by non-U.S. persons could result in an order requiring divestiture of the offending ownership interests, fines, denial of license renewal and/or spectrum license revocation proceedings, any of which may have a material adverse effect on our business, financial condition and results of operations. The FCC or other U.S. agencies could adopt new requirements or restrictions regulating foreign ownership of Gogo’s ATG licenses, equipment, or other communications services relied upon by Gogo, which could impact Gogo’s operations.</w:t>
      </w:r>
    </w:p>
    <w:p>
      <w:pPr>
        <w:spacing w:after="0" w:line="78" w:lineRule="exact"/>
        <w:rPr>
          <w:sz w:val="20"/>
          <w:szCs w:val="20"/>
          <w:color w:val="auto"/>
        </w:rPr>
      </w:pPr>
    </w:p>
    <w:p>
      <w:pPr>
        <w:ind w:right="40" w:firstLine="51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 by United States and foreign government agencies, including the FCC, which issued our exclusive ATG spectrum licenses, and the FAA, which regulates the civil aviation manufacturing and repair industries in the United States, may increase our costs of providing service or require us to change our services.</w:t>
      </w:r>
    </w:p>
    <w:p>
      <w:pPr>
        <w:spacing w:after="0" w:line="67" w:lineRule="exact"/>
        <w:rPr>
          <w:sz w:val="20"/>
          <w:szCs w:val="20"/>
          <w:color w:val="auto"/>
        </w:rPr>
      </w:pPr>
    </w:p>
    <w:p>
      <w:pPr>
        <w:ind w:right="180" w:firstLine="511"/>
        <w:spacing w:after="0" w:line="258" w:lineRule="auto"/>
        <w:rPr>
          <w:sz w:val="20"/>
          <w:szCs w:val="20"/>
          <w:color w:val="auto"/>
        </w:rPr>
      </w:pPr>
      <w:r>
        <w:rPr>
          <w:rFonts w:ascii="Times New Roman" w:cs="Times New Roman" w:eastAsia="Times New Roman" w:hAnsi="Times New Roman"/>
          <w:sz w:val="18"/>
          <w:szCs w:val="18"/>
          <w:color w:val="auto"/>
        </w:rPr>
        <w:t>Any breach of the terms of our ATG spectrum licenses, authorizations and waivers obtained by us from time to time, or any violation of the Communications Act or the FCC’s rules, could result in the revocation, suspension, cancellation or reduction in the term of a license or the imposition of fines. From time to time, the FCC may monitor or audit compliance with the Communications Act and the FCC’s rules or with our licenses, including if a third party were to bring a claim of breach or noncompliance. In addition, the Communications Act, from which the FCC obtains its authority, may be amended in the future in a manner that could be adverse to us.</w:t>
      </w:r>
    </w:p>
    <w:p>
      <w:pPr>
        <w:spacing w:after="0" w:line="75"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8"/>
          <w:szCs w:val="18"/>
          <w:color w:val="auto"/>
        </w:rPr>
        <w:t>As discussed in more detail in the section entitled “Item 1. Business— Regulatory Matters—Federal Aviation Administration,” FAA approvals required to operate our business include STCs and PMAs. Historically, our distribution partners obtained STCs, obtaining PMAs is an expensive and time-consuming process that requires significant focus and resources. Prior to installation of our equipment, any inability to obtain, delay in obtaining (including as a result of a government shutdown or funding shortages), or change in, needed FAA certifications, authorizations, or approvals, could have an adverse effect on our ability to meet our installation commitments, manufacture and sell parts for installation on aircraft, or expand our business. For instance, the 2025 U.S. federal government shutdown delayed the FAA’s ability to issue STCs, thus temporarily impairing our ability to install our new equipment or modify our equipment previously installed on aircraft. While the impact was not material, any future shutdown could further delay such process, and the impact could eventually be material.</w:t>
      </w:r>
    </w:p>
    <w:p>
      <w:pPr>
        <w:spacing w:after="0" w:line="84"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Following installation of our equipment, if we were to discover that our equipment or components of our equipment were not in compliance with specifications on which the STC authorizing installation was based, or if the FAA’s requirements changed, our non-compliance could result in our incurring material costs to inspect and in some circumstances modify or replace such equipment,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31" w:name="page32"/>
    <w:bookmarkEnd w:id="31"/>
    <w:p>
      <w:pPr>
        <w:ind w:right="80"/>
        <w:spacing w:after="0" w:line="256" w:lineRule="auto"/>
        <w:rPr>
          <w:sz w:val="20"/>
          <w:szCs w:val="20"/>
          <w:color w:val="auto"/>
        </w:rPr>
      </w:pPr>
      <w:r>
        <w:rPr>
          <w:rFonts w:ascii="Times New Roman" w:cs="Times New Roman" w:eastAsia="Times New Roman" w:hAnsi="Times New Roman"/>
          <w:sz w:val="18"/>
          <w:szCs w:val="18"/>
          <w:color w:val="auto"/>
        </w:rPr>
        <w:t>could in rare circumstances result in our system being turned off or installed aircraft being grounded. If we fail to comply with the FAA’s many regulations and standards that apply to our activities, we could lose the FAA certifications, authorizations, or other approvals on which our manufacturing, installation, maintenance, preventive maintenance and alteration capabilities are based. In addition, from time to time, the FAA or comparable foreign agencies adopt new regulations or amend existing regulations. The FAA could also change its policies regarding the delegation of inspection and certification responsibilities to private companies, which could adversely affect our business. To the extent that any such new regulations or amendments to existing regulations or policies apply to our activities, our compliance costs would likely increase.</w:t>
      </w:r>
    </w:p>
    <w:p>
      <w:pPr>
        <w:spacing w:after="0" w:line="79"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We must comply with the Communications Assistance for Law Enforcement Act (“CALEA”), which requires applicable communications companies to ensure that their equipment, facilities and services can accommodate certain technical capabilities in executing authorized wiretapping and other electronic surveillance. Currently, our CALEA solution is fully deployed in our network. However, we could be subject to an enforcement action by the FCC or law enforcement agencies for any delays in complying or failure to comply with, CALEA or similar obligations. Such enforcement actions could subject us to fines, cease and desist orders or other penalties, all of which may materially adversely affect our business and financial condition. Further, to the extent the FCC adopts additional capability requirements applicable to communications companies, its decision may increase the costs we incur to comply with such regulations.</w:t>
      </w:r>
    </w:p>
    <w:p>
      <w:pPr>
        <w:spacing w:after="0" w:line="81" w:lineRule="exact"/>
        <w:rPr>
          <w:sz w:val="20"/>
          <w:szCs w:val="20"/>
          <w:color w:val="auto"/>
        </w:rPr>
      </w:pPr>
    </w:p>
    <w:p>
      <w:pPr>
        <w:ind w:right="120" w:firstLine="511"/>
        <w:spacing w:after="0" w:line="282" w:lineRule="auto"/>
        <w:rPr>
          <w:sz w:val="20"/>
          <w:szCs w:val="20"/>
          <w:color w:val="auto"/>
        </w:rPr>
      </w:pPr>
      <w:r>
        <w:rPr>
          <w:rFonts w:ascii="Times New Roman" w:cs="Times New Roman" w:eastAsia="Times New Roman" w:hAnsi="Times New Roman"/>
          <w:sz w:val="18"/>
          <w:szCs w:val="18"/>
          <w:color w:val="auto"/>
        </w:rPr>
        <w:t>We are also subject to regulation by certain foreign laws and regulatory bodies, including Innovation, Science and Economic Development Canada, which issued our exclusive Canadian ATG subordinate spectrum license and regulates our use of the spectrum licensed to us.</w:t>
      </w:r>
    </w:p>
    <w:p>
      <w:pPr>
        <w:spacing w:after="0" w:line="54" w:lineRule="exact"/>
        <w:rPr>
          <w:sz w:val="20"/>
          <w:szCs w:val="20"/>
          <w:color w:val="auto"/>
        </w:rPr>
      </w:pPr>
    </w:p>
    <w:p>
      <w:pPr>
        <w:ind w:right="300" w:firstLine="511"/>
        <w:spacing w:after="0" w:line="266" w:lineRule="auto"/>
        <w:rPr>
          <w:sz w:val="20"/>
          <w:szCs w:val="20"/>
          <w:color w:val="auto"/>
        </w:rPr>
      </w:pPr>
      <w:r>
        <w:rPr>
          <w:rFonts w:ascii="Times New Roman" w:cs="Times New Roman" w:eastAsia="Times New Roman" w:hAnsi="Times New Roman"/>
          <w:sz w:val="18"/>
          <w:szCs w:val="18"/>
          <w:color w:val="auto"/>
        </w:rPr>
        <w:t>Adverse decisions or regulations of these U.S. and foreign regulatory bodies may have a material adverse effect on our business and results of operations. This includes new regulations or other potential regulatory requirements. We are unable to predict the impact of regulations and other policy changes that could be adopted by the various governmental entities that oversee portions of our business.</w:t>
      </w:r>
    </w:p>
    <w:p>
      <w:pPr>
        <w:spacing w:after="0" w:line="64" w:lineRule="exact"/>
        <w:rPr>
          <w:sz w:val="20"/>
          <w:szCs w:val="20"/>
          <w:color w:val="auto"/>
        </w:rPr>
      </w:pPr>
    </w:p>
    <w:p>
      <w:pPr>
        <w:jc w:val="both"/>
        <w:ind w:right="820" w:firstLine="51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possession and use of personal information present risks and expenses that could harm our business. Unauthorized disclosure or manipulation of such data, whether through breach of our network security or otherwise, could expose us to costly litigation and damage our reputation.</w:t>
      </w:r>
    </w:p>
    <w:p>
      <w:pPr>
        <w:spacing w:after="0" w:line="67"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or our third-party providers collect, process and store sensitive and confidential data, including personal information of our employees and customers. The secure processing, maintenance and transmission of this information (and other sensitive and confidential data such as our proprietary business information and that of our customers and suppliers) is critical to our operations and business strategy. Despite our security measures, our systems and confidential data and those of third parties upon which we rely may be vulnerable to various forms of cyberattacks from a wide variety of sources/malicious actors. See “—</w:t>
      </w:r>
      <w:r>
        <w:rPr>
          <w:rFonts w:ascii="Times New Roman" w:cs="Times New Roman" w:eastAsia="Times New Roman" w:hAnsi="Times New Roman"/>
          <w:sz w:val="18"/>
          <w:szCs w:val="18"/>
          <w:i w:val="1"/>
          <w:iCs w:val="1"/>
          <w:color w:val="auto"/>
        </w:rPr>
        <w:t>We periodically are and could in the future be adversely affected if we or our third party suppliers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 providers suffer service interruptions or delays, technology failures, damage to equipment or system disruptions or failures arising from, among other things, force majeure events, cybersecurity incidents or other malicious activities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20" w:firstLine="511"/>
        <w:spacing w:after="0" w:line="252" w:lineRule="auto"/>
        <w:rPr>
          <w:sz w:val="20"/>
          <w:szCs w:val="20"/>
          <w:color w:val="auto"/>
        </w:rPr>
      </w:pPr>
      <w:r>
        <w:rPr>
          <w:rFonts w:ascii="Times New Roman" w:cs="Times New Roman" w:eastAsia="Times New Roman" w:hAnsi="Times New Roman"/>
          <w:sz w:val="18"/>
          <w:szCs w:val="18"/>
          <w:color w:val="auto"/>
        </w:rPr>
        <w:t>Additionally, as discussed in more detail in the section titled “Item 1. Business—Regulatory Matters—Privacy and Data Security-Related Regulations,” we are subject to certain state laws, federal and non-U.S. laws that impose data breach notification requirements, specific data security obligations, or other consumer privacy-related requirements. Our failure to comply with any of these rules or regulations, or an allegation or finding that we failed to comply, could result in litigation, investigations or regulatory enforcement actions, fines or penalties, which may have a material adverse effect on our business, financial condition and results of operations. These legal requirements are complex, varied, rapidly evolving and often subject to interpretation, and there is a risk that, despite our efforts to comply, we may be found to be out of compliance with one or more of these requirements. Fines issued for non-compliance with such requirements may be substantial, including fines issued under the GDPR which can be as high as 4% of global revenue, and an adverse finding by a regulator or court may result in costly and onerous requirements being placed on the Company, a prohibition on engaging in certain aspects of our business or damage to our reputation. Certain data protection laws that apply to the Company establish a private right of action. In addition, non-compliance with certain of these requirements could lead to investigations, regulatory enforcement actions, class actions or other private litigation based on theories that may include breach of contract or negligence, among others. Such litigation could result in material costs to the Company. We cannot be sure that a regulator would deem our security measures to be appropriate given the lack of prescriptive measures in certain data protection laws. Without more specific guidance, we cannot know whether our chosen security safeguards are adequate according to each applicable data protection law. Even in cases where the applicable requirements are explicit, we cannot be certain that safeguards designed to meet those requirements will be interpreted by a regulator or court as adequate or that those safeguards are operating in accordance with the requirements at all times. Even security measures that are appropriate, reasonable, and/or in accordance with applicable legal requirements may not be able to fully protect our or our partners’ information technology systems and the data contained in those systems. Moreover, interpretations or changes to new or existing data protection laws may impose on us responsibility for our employees and third parties that assist with aspects of our data processing. Furthermore, our employees’ or third parties’ intentional, unintentional, or inadvertent actions may increase our vulnerability or expose us to security threats, such as phishing attacks, and we may remain responsible for a successful phishing or other social engineering attack despite the quality and otherwise legal sufficiency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32" w:name="page33"/>
    <w:bookmarkEnd w:id="32"/>
    <w:p>
      <w:pPr>
        <w:ind w:right="60"/>
        <w:spacing w:after="0" w:line="258" w:lineRule="auto"/>
        <w:rPr>
          <w:sz w:val="20"/>
          <w:szCs w:val="20"/>
          <w:color w:val="auto"/>
        </w:rPr>
      </w:pPr>
      <w:r>
        <w:rPr>
          <w:rFonts w:ascii="Times New Roman" w:cs="Times New Roman" w:eastAsia="Times New Roman" w:hAnsi="Times New Roman"/>
          <w:sz w:val="18"/>
          <w:szCs w:val="18"/>
          <w:color w:val="auto"/>
        </w:rPr>
        <w:t>of our technical security measures. In addition, compliance with complex variations in privacy and data security laws may require modifications to current business practices, including significant technology efforts that require long implementation timelines, increased costs and dedicated resources. For more information, see “—</w:t>
      </w:r>
      <w:r>
        <w:rPr>
          <w:rFonts w:ascii="Times New Roman" w:cs="Times New Roman" w:eastAsia="Times New Roman" w:hAnsi="Times New Roman"/>
          <w:sz w:val="18"/>
          <w:szCs w:val="18"/>
          <w:i w:val="1"/>
          <w:iCs w:val="1"/>
          <w:color w:val="auto"/>
        </w:rPr>
        <w:t>We periodically are and could be in the future adversely affected if we or our third party suppliers or service providers suffer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interruptions or delays, technology failures, damage to equipment or system disruptions or failures arising from, among other things, force majeure events, cyberattacks or other malicious activities.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the FCC Supply Chain Reimbursement Program could adversely affect our results of operations and financial condition.</w:t>
      </w:r>
    </w:p>
    <w:p>
      <w:pPr>
        <w:spacing w:after="0" w:line="121"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8"/>
          <w:szCs w:val="18"/>
          <w:color w:val="auto"/>
        </w:rPr>
        <w:t>On July 15, 2022, the FCC notified the Company that it was approved for participation in the FCC Supply Chain Reimbursement Program (“FCC Reimbursement Program”), a program designed by the FCC at the direction of Congress to reimburse providers of advanced communications services for reasonable costs incurred in the required removal, replacement and disposal of covered communications equipment or services from their networks that have been deemed to pose a national security risk. Pursuant to the FCC Reimbursement Program, the FCC approved up to approximately $334 million in reimbursements to the Company to cover incurred and documented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an initial shortfall in the amount appropriated by Congress to fund the FCC Reimbursement Program, approximately $132 million of the approved amount was initially allocated to the Company under the program. In July 2023, the Company elected to participate in the partially funded FCC Reimbursement Program and submitted its first reimbursement claim. Following passage of the FY 2025 National Defense Authorization Act (“NDAA”), the FCC allocated the remaining funding to the Company up to its full approved amount of approximately $334 million.</w:t>
      </w:r>
    </w:p>
    <w:p>
      <w:pPr>
        <w:spacing w:after="0" w:line="84" w:lineRule="exact"/>
        <w:rPr>
          <w:sz w:val="20"/>
          <w:szCs w:val="20"/>
          <w:color w:val="auto"/>
        </w:rPr>
      </w:pPr>
    </w:p>
    <w:p>
      <w:pPr>
        <w:ind w:right="160" w:firstLine="511"/>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there will be sufficient available funding to reimburse us for all of our costs in participating in the program. Any shortfall in available funding would require the Company to fund the portion of program costs that exceeds the Company’s allocation. In addition, companies that were awarded a funding allocation are not guaranteed to receive that funding. Once funds are allocated, recipients can draw down funds upon proof of actual expenses incurred by filing a request for the reimbursement of specific expenses. We cannot predict whether and to what extent the FCC or the administrator on which it relies to administer the FCC Reimbursement Program will approve our requests for the specific reimbursement of costs, or the time frames for any reimbursement. If we are not successful in receiving the amount of funds necessary to remove, replace and dispose of the applicable equipment and services, or if we have underestimated the associated costs, our results of operations and financial condition could be adversely affected. Also, the process for seeking reimbursements under the FCC Reimbursement Program is complex, and the FCC or program administrator may seek revisions to our reimbursement requests or delay approval of some or all of the requested amounts while evaluating our submissions. Any delay in reimbursements under the program could have a material negative effect on our cash flows and working capital.</w:t>
      </w:r>
    </w:p>
    <w:p>
      <w:pPr>
        <w:spacing w:after="0" w:line="86"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8"/>
          <w:szCs w:val="18"/>
          <w:color w:val="auto"/>
        </w:rPr>
        <w:t>In order to participate in the program, we must comply with various conditions and requirements established by the FCC, including a requirement that we complete the removal, replacement and disposal of applicable equipment within one year of receiving our first funding disbursement. The FCC may issue a single, general extension to all reimbursement recipients if it determines that the supply of replacement communications equipment or services needed by the recipients to achieve the purposes of the FCC Reimbursement Program is inadequate to meet the needs of the recipients. The FCC may also grant one or more six-month extensions to a participant where it finds that due to factors beyond its control, the participant cannot complete the project by the deadline. Due to a number of factors including supply chain disruptions, the initial insufficiency of FCC funding and the operational and logistical complexity of replacing airborne equipment, Gogo was unable to complete the project within one year of receiving the Company’s first funding disbursement, and as outlined in our initial FCC application, we have sought and obtained extensions from the FCC. The Company’s current completion deadline is May 8, 2026, and the Company expects to require additional extensions past that date. If the FCC does not grant the necessary extensions and the project is not completed by the FCC’s deadline, we could face penalties or other sanctions, including not being reimbursed for subsequent program costs.</w:t>
      </w:r>
    </w:p>
    <w:p>
      <w:pPr>
        <w:spacing w:after="0" w:line="84"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In addition, if, prior to the date on which the replacement terrestrial network equipment goes into effect, any of the Company’s customers that operate legacy airborne equipment do not replace their airborne equipment with equipment that is compatible with the replacement terrestrial network equipment, or, depending on the equipment model, modify their legacy equipment to make it compatible, the Company will be unable to provide service to these legacy-equipment customers until the airborne equipment is replaced or modified. Such service disruptions could have a material adverse effect on our results of operations and financial condition. The requirement that customers replace or modify their airborne equipment may also damage the Company’s relationships with its customers, leading some customers to switch to other service providers or forgo service altogether, which could have a material adverse effect on our market share, results of operations and financial condition.</w:t>
      </w:r>
    </w:p>
    <w:p>
      <w:pPr>
        <w:spacing w:after="0" w:line="77" w:lineRule="exact"/>
        <w:rPr>
          <w:sz w:val="20"/>
          <w:szCs w:val="20"/>
          <w:color w:val="auto"/>
        </w:rPr>
      </w:pPr>
    </w:p>
    <w:p>
      <w:pPr>
        <w:ind w:right="98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anti-corruption and anti-money laundering laws could subject us to penalties and other adverse consequences.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33" w:name="page34"/>
    <w:bookmarkEnd w:id="33"/>
    <w:p>
      <w:pPr>
        <w:ind w:firstLine="511"/>
        <w:spacing w:after="0" w:line="252" w:lineRule="auto"/>
        <w:rPr>
          <w:sz w:val="20"/>
          <w:szCs w:val="20"/>
          <w:color w:val="auto"/>
        </w:rPr>
      </w:pPr>
      <w:r>
        <w:rPr>
          <w:rFonts w:ascii="Times New Roman" w:cs="Times New Roman" w:eastAsia="Times New Roman" w:hAnsi="Times New Roman"/>
          <w:sz w:val="18"/>
          <w:szCs w:val="18"/>
          <w:color w:val="auto"/>
        </w:rPr>
        <w:t>We are subject to the FCPA, the Bribery Act and other anti-corruption, anti-bribery and anti-money laundering laws in various jurisdictions around the world. The FCPA, the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the Bribery Act, or other applicable anti-bribery, anti-corruption laws and anti-money laundering laws could result in whistleblower complaints, adverse media coverage, investigations, loss of export privileges, severe criminal or civil sanctions, fines and penalties, all of which may have a material adverse effect on our business, financial condition and results of operations.</w:t>
      </w:r>
    </w:p>
    <w:p>
      <w:pPr>
        <w:spacing w:after="0" w:line="84" w:lineRule="exact"/>
        <w:rPr>
          <w:sz w:val="20"/>
          <w:szCs w:val="20"/>
          <w:color w:val="auto"/>
        </w:rPr>
      </w:pPr>
    </w:p>
    <w:p>
      <w:pPr>
        <w:ind w:right="42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are subject to applicable laws relating to trade, sanctions, and export controls, the violation of which could have a material adverse impact on our business.</w:t>
      </w:r>
    </w:p>
    <w:p>
      <w:pPr>
        <w:spacing w:after="0" w:line="5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We must comply with all applicable export control laws and regulations of the United States and other countries. U.S. export and control laws and regulations applicable to us include the Arms Export Control Act, the International Traffic in Arms Regulations (“ITAR”), the Export Control Reform Act of 2018 and the Export Administration Regulations (“EAR”). The export of certain satellite hardware, software services and technical data relating to satellites is regulated by the U.S. Department of State under ITAR. Certain satellites and other items are controlled for export by the U.S. Department of Commerce under the EAR. In addition, we must comply with trade and economic sanctions laws and regulations, including those administered by the U.S. Department of the Treasury’s Office of Foreign Assets Control (“OFAC”). We cannot provide certain products and services to certain countries or persons subject to U.S. trade sanctions unless we first obtain the necessary authorizations from OFAC.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Violations of any of these laws or regulations could also result in more onerous compliance requirements, more extensive debarments from export privileges or loss of authorizations needed to conduct aspects of our business, and could materially adversely affect our business, financial condition and results of operations. Moreover, any investigation of alleged violations of any such laws could have a material adverse impact on our reputation, business, financial condition and results of operations.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Expenses, liabilities or business disruptions resulting from litigation could adversely affect our results of operations and financial condition.</w:t>
      </w:r>
    </w:p>
    <w:p>
      <w:pPr>
        <w:spacing w:after="0" w:line="121" w:lineRule="exact"/>
        <w:rPr>
          <w:sz w:val="20"/>
          <w:szCs w:val="20"/>
          <w:color w:val="auto"/>
        </w:rPr>
      </w:pPr>
    </w:p>
    <w:p>
      <w:pPr>
        <w:ind w:right="40" w:firstLine="511"/>
        <w:spacing w:after="0" w:line="253" w:lineRule="auto"/>
        <w:rPr>
          <w:sz w:val="20"/>
          <w:szCs w:val="20"/>
          <w:color w:val="auto"/>
        </w:rPr>
      </w:pPr>
      <w:r>
        <w:rPr>
          <w:rFonts w:ascii="Times New Roman" w:cs="Times New Roman" w:eastAsia="Times New Roman" w:hAnsi="Times New Roman"/>
          <w:sz w:val="18"/>
          <w:szCs w:val="18"/>
          <w:color w:val="auto"/>
        </w:rPr>
        <w:t>Our operations are characterized by the use of new technologies and services across multiple jurisdictions that implicate various statutes and a range of rules and regulations that may be subject to broad or creative interpretation. This may result in litigation, including class action lawsuits, the outcome of which may be difficult to assess or quantify due to the potential ambiguity inherent in these regulatory schemes and/or the nascence of our technologies and services. Plaintiffs may seek recovery of very large or indeterminate amounts, and the magnitude of the potential loss relating to such lawsuits may remain unknown for substantial periods of time. Any such claims or litigation may be time-consuming and costly, divert management resources, require us to change our products and services, or require us to pay significant monetary damages, which may have a material adverse effect on our results of operations. We also indemnify the directors and current and former officers who are defendants in Company litigation and in derivative lawsuits for their defense costs and any judgments resulting from such suits. In the future, we may be subject to additional securities class action or derivative litigation. From time to time, we may also be subject to other claims or litigation in the ordinary course of our business, including for example, claims related to employment matters. In February 2022, a competitor filed a patent infringement suit against us. Additionally, in December 2024, a competitor filed a suit against us and our subsidiaries alleging that we maintain an illegal monopoly over ATG broadband inflight connectivity products and services and have blocked the competitor from entering the market in violation of antitrust laws. For more information on this and other material ongoing litigation, see Note 15, “Commitments and Contingencies,” to our consolidated financial statements.</w:t>
      </w:r>
    </w:p>
    <w:p>
      <w:pPr>
        <w:spacing w:after="0" w:line="79"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In addition, costly and time-consuming litigation could be necessary to enforce our existing contracts and, even if successful, may have a material adverse effect on our business. In addition, litigation by or against any customer or supplier could have the effect of negatively impacting our reputation and goodwill with existing and potential customers and suppliers.</w:t>
      </w:r>
    </w:p>
    <w:p>
      <w:pPr>
        <w:spacing w:after="0" w:line="64" w:lineRule="exact"/>
        <w:rPr>
          <w:sz w:val="20"/>
          <w:szCs w:val="20"/>
          <w:color w:val="auto"/>
        </w:rPr>
      </w:pPr>
    </w:p>
    <w:p>
      <w:pPr>
        <w:ind w:right="6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and non-U.S. tax liabilities are dependent, in part, upon the distribution of income among various jurisdictions in which we operate, as well as changes in tax law or regulation.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34" w:name="page35"/>
    <w:bookmarkEnd w:id="34"/>
    <w:p>
      <w:pPr>
        <w:ind w:right="20" w:firstLine="511"/>
        <w:spacing w:after="0" w:line="273" w:lineRule="auto"/>
        <w:rPr>
          <w:sz w:val="20"/>
          <w:szCs w:val="20"/>
          <w:color w:val="auto"/>
        </w:rPr>
      </w:pPr>
      <w:r>
        <w:rPr>
          <w:rFonts w:ascii="Times New Roman" w:cs="Times New Roman" w:eastAsia="Times New Roman" w:hAnsi="Times New Roman"/>
          <w:sz w:val="17"/>
          <w:szCs w:val="17"/>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 In addition, our future effective tax rates could be subject to volatility or adversely affected by changes in tax laws, regulations, accounting principles, or interpretations thereof.</w:t>
      </w:r>
    </w:p>
    <w:p>
      <w:pPr>
        <w:spacing w:after="0" w:line="63" w:lineRule="exact"/>
        <w:rPr>
          <w:sz w:val="20"/>
          <w:szCs w:val="20"/>
          <w:color w:val="auto"/>
        </w:rPr>
      </w:pPr>
    </w:p>
    <w:p>
      <w:pPr>
        <w:ind w:right="160" w:firstLine="511"/>
        <w:spacing w:after="0" w:line="271"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(“OECD”)/G20 and other invited countries, developed a global tax framework inclusive of a 15% global minimum tax under the Pillar Two Global Anti-Base Erosion Rules (“Pillar Two”). In 2022, the Council of the European Union (“EU”) formally adopted the OECD’s framework to achieve a coordinated implementation amongst EU Member States consistent with EU law, with effective dates in 2024 and 2025. The EU is considering a side-by-side approach for U.S.-parented companies. We have assessed this framework and</w:t>
      </w:r>
    </w:p>
    <w:p>
      <w:pPr>
        <w:ind w:right="180"/>
        <w:spacing w:after="0" w:line="262" w:lineRule="auto"/>
        <w:rPr>
          <w:sz w:val="20"/>
          <w:szCs w:val="20"/>
          <w:color w:val="auto"/>
        </w:rPr>
      </w:pPr>
      <w:r>
        <w:rPr>
          <w:rFonts w:ascii="Times New Roman" w:cs="Times New Roman" w:eastAsia="Times New Roman" w:hAnsi="Times New Roman"/>
          <w:sz w:val="18"/>
          <w:szCs w:val="18"/>
          <w:color w:val="auto"/>
        </w:rPr>
        <w:t>determined, based upon available guidance, that these changes will not have a material impact to our results of operations. Any future changes in OECD guidance or interpretations, including local country tax legislative changes thereof and disparate treatment for U.S.-parented companies, could impact our initial assessment. As such, we will continue to monitor and refine our assessment as further guidance is made available.</w:t>
      </w:r>
    </w:p>
    <w:p>
      <w:pPr>
        <w:spacing w:after="0" w:line="68" w:lineRule="exact"/>
        <w:rPr>
          <w:sz w:val="20"/>
          <w:szCs w:val="20"/>
          <w:color w:val="auto"/>
        </w:rPr>
      </w:pPr>
    </w:p>
    <w:p>
      <w:pPr>
        <w:ind w:right="160" w:firstLine="51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U.S. government contractor to our military/government customers, we could be adversely affected by changes in various procurement and other laws and regulations applicable to our industry or any negative findings by the U.S. government as to our compliance with them, as well as by changes in our customers’ business practices globally.</w:t>
      </w:r>
    </w:p>
    <w:p>
      <w:pPr>
        <w:spacing w:after="0" w:line="67"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U.S. government contractors (including their subcontractors and others with whom they do business) must comply with various specific procurement laws, regulations, rules and other legal requirements, as well as ones more broadly applicable. These various legal requirements, although sometimes customary in government contracting, increase costs and risks. They have been and are evolving at a significant pace. The costs are not always fully recoverable. New laws or other requirements, or changes to existing ones (including, for example, related to cybersecurity, information protection, environment, sustainability, securities, competition, compensation costs, taxes, counterfeit parts, pensions, and use of certain non-U.S. equipment) or more expansive interpretations or other changes in how government agencies construe existing ones, can significantly increase our costs and risks and reduce our profitability.</w:t>
      </w:r>
    </w:p>
    <w:p>
      <w:pPr>
        <w:spacing w:after="0" w:line="81"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We operate in a highly regulated environment and are routinely audited and reviewed by the U.S. government and its agencies, such as the Defense Contract Audit Agency, Defense Contract Management Agency and the Department of Defense Office of Inspector General. These agencies review performance under our contracts, our cost structure and accounting, and our compliance, as well as the adequacy of our systems in meeting government requirements. Costs ultimately found to be unallowable or improperly allocated may not be reimbursed or may be refunded. When an audit uncovers improper or illegal activities, we are subject to possible civil and criminal penalties, sanctions, or suspension or debarment. Whether or not illegal activities are alleged, the U.S. government has the ability to decrease or withhold certain payments when it deems systems to be inadequate, with significant financial impact, regardless of the ultimate outcome. In addition, we risk serious reputational harm in situations involving allegations of impropriety made against us or our business partners.</w:t>
      </w:r>
    </w:p>
    <w:p>
      <w:pPr>
        <w:spacing w:after="0" w:line="84" w:lineRule="exact"/>
        <w:rPr>
          <w:sz w:val="20"/>
          <w:szCs w:val="20"/>
          <w:color w:val="auto"/>
        </w:rPr>
      </w:pPr>
    </w:p>
    <w:p>
      <w:pPr>
        <w:ind w:right="280" w:firstLine="511"/>
        <w:spacing w:after="0" w:line="255" w:lineRule="auto"/>
        <w:rPr>
          <w:sz w:val="20"/>
          <w:szCs w:val="20"/>
          <w:color w:val="auto"/>
        </w:rPr>
      </w:pPr>
      <w:r>
        <w:rPr>
          <w:rFonts w:ascii="Times New Roman" w:cs="Times New Roman" w:eastAsia="Times New Roman" w:hAnsi="Times New Roman"/>
          <w:sz w:val="18"/>
          <w:szCs w:val="18"/>
          <w:color w:val="auto"/>
        </w:rPr>
        <w:t>We (including our subcontractors and others with whom we do business) also are subject to, and expected to perform in compliance with, a vast array of federal, state and local laws, regulations, contract terms and requirements related to our industry, our products and the businesses we operate, as well as those more broadly applicable to our industry, such as securities laws and regulations. These requirements, whether specific to our industry or broadly applicable, may limit our ability to achieve our goals. If we are found to have violated any such requirements, or are found not to have acted responsibly, we may be subject to a wide array of actions, including contract modifications or termination, payment withholds, the loss of export/import privileges, administrative, civil or criminal judgments or penalties (including convictions, agreements, fines, damages and non-monetary relief), or suspension or debarment.</w:t>
      </w:r>
    </w:p>
    <w:p>
      <w:pPr>
        <w:spacing w:after="0" w:line="81" w:lineRule="exact"/>
        <w:rPr>
          <w:sz w:val="20"/>
          <w:szCs w:val="20"/>
          <w:color w:val="auto"/>
        </w:rPr>
      </w:pPr>
    </w:p>
    <w:p>
      <w:pPr>
        <w:jc w:val="both"/>
        <w:ind w:right="20" w:firstLine="511"/>
        <w:spacing w:after="0" w:line="266" w:lineRule="auto"/>
        <w:rPr>
          <w:sz w:val="20"/>
          <w:szCs w:val="20"/>
          <w:color w:val="auto"/>
        </w:rPr>
      </w:pPr>
      <w:r>
        <w:rPr>
          <w:rFonts w:ascii="Times New Roman" w:cs="Times New Roman" w:eastAsia="Times New Roman" w:hAnsi="Times New Roman"/>
          <w:sz w:val="18"/>
          <w:szCs w:val="18"/>
          <w:color w:val="auto"/>
        </w:rPr>
        <w:t>If we or those with whom we do business do not comply with the laws, regulations, rules, contract terms and processes to which we are subject or if customer business practices or requirements change significantly, including with respect to allowable costs, it could affect our ability to compete and have a material adverse effect on our financial position, results of operations and/or cash flows.</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21" w:lineRule="exact"/>
        <w:rPr>
          <w:sz w:val="20"/>
          <w:szCs w:val="20"/>
          <w:color w:val="auto"/>
        </w:rPr>
      </w:pPr>
    </w:p>
    <w:p>
      <w:pPr>
        <w:ind w:right="480" w:firstLine="511"/>
        <w:spacing w:after="0" w:line="282" w:lineRule="auto"/>
        <w:rPr>
          <w:sz w:val="20"/>
          <w:szCs w:val="20"/>
          <w:color w:val="auto"/>
        </w:rPr>
      </w:pPr>
      <w:r>
        <w:rPr>
          <w:rFonts w:ascii="Times New Roman" w:cs="Times New Roman" w:eastAsia="Times New Roman" w:hAnsi="Times New Roman"/>
          <w:sz w:val="18"/>
          <w:szCs w:val="18"/>
          <w:color w:val="auto"/>
        </w:rPr>
        <w:t>For definitions of capitalized terms used and not defined in the following Risk Factors, see “Item 7. Management's Discussion and Analysis of Financial Condition and Results of Operations” in this Annual Report on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35" w:name="page36"/>
    <w:bookmarkEnd w:id="35"/>
    <w:p>
      <w:pPr>
        <w:jc w:val="both"/>
        <w:ind w:firstLine="51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have substantial debt and may incur substantial additional debt in the future, which could adversely affect our financial health, reduce our profitability, limit our ability to obtain financing in the future and pursue certain business opportunities and reduce the value of your investment.</w:t>
      </w:r>
    </w:p>
    <w:p>
      <w:pPr>
        <w:spacing w:after="0" w:line="67"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8"/>
          <w:szCs w:val="18"/>
          <w:color w:val="auto"/>
        </w:rPr>
        <w:t>As of December 31, 2025, we had total consolidated indebtedness of approximately $848.3 million, which consists of $601.4 million borrowed under the 2021 Term Loan Facility and $246.9 million borrowed under the HPS Term Loan Facility. We and our subsidiaries may incur additional debt in the future, including up to $122.0 million under the Revolving Facility, which could increase the risks described below and lead to other risks. The amount of our indebtedness or such other obligations could have important consequences for holders of our common stock, including, but not limited to:</w:t>
      </w:r>
    </w:p>
    <w:p>
      <w:pPr>
        <w:spacing w:after="0" w:line="72" w:lineRule="exact"/>
        <w:rPr>
          <w:sz w:val="20"/>
          <w:szCs w:val="20"/>
          <w:color w:val="auto"/>
        </w:rPr>
      </w:pPr>
    </w:p>
    <w:p>
      <w:pPr>
        <w:ind w:left="1020" w:right="900" w:hanging="517"/>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meaningful portion of our cash flows from operations is expected to be dedicated to the payment of principal and interest on our indebtedness, thereby reducing the funds available to us for other purposes;</w:t>
      </w:r>
    </w:p>
    <w:p>
      <w:pPr>
        <w:spacing w:after="0" w:line="53" w:lineRule="exact"/>
        <w:rPr>
          <w:rFonts w:ascii="Times New Roman" w:cs="Times New Roman" w:eastAsia="Times New Roman" w:hAnsi="Times New Roman"/>
          <w:sz w:val="18"/>
          <w:szCs w:val="18"/>
          <w:color w:val="auto"/>
        </w:rPr>
      </w:pPr>
    </w:p>
    <w:p>
      <w:pPr>
        <w:ind w:left="1020" w:right="200" w:hanging="517"/>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additional financing for working capital, capital expenditures, acquisitions, debt service requirements or general corporate purposes may be limited, and our ability to satisfy our obligations with respect to our indebtedness may be impaired in the future;</w:t>
      </w:r>
    </w:p>
    <w:p>
      <w:pPr>
        <w:spacing w:after="0" w:line="31" w:lineRule="exact"/>
        <w:rPr>
          <w:rFonts w:ascii="Times New Roman" w:cs="Times New Roman" w:eastAsia="Times New Roman" w:hAnsi="Times New Roman"/>
          <w:sz w:val="17"/>
          <w:szCs w:val="17"/>
          <w:color w:val="auto"/>
        </w:rPr>
      </w:pPr>
    </w:p>
    <w:p>
      <w:pPr>
        <w:ind w:left="1020" w:right="500" w:hanging="517"/>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at a competitive disadvantage compared to our competitors with less indebtedness or with comparable indebtedness at more favorable interest rates and which, as a result, may be better positioned to withstand economic downturns;</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indebtedness may be limited or the associated costs may increase;</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in acquisitions without raising additional equity or obtaining additional debt financing may be impaired in the future;</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us to satisfy our obligations to our creditors, resulting in possible defaults on and acceleration of such indebtedness;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general adverse economic and industry conditions; and</w:t>
      </w:r>
    </w:p>
    <w:p>
      <w:pPr>
        <w:spacing w:after="0" w:line="117" w:lineRule="exact"/>
        <w:rPr>
          <w:rFonts w:ascii="Times New Roman" w:cs="Times New Roman" w:eastAsia="Times New Roman" w:hAnsi="Times New Roman"/>
          <w:sz w:val="18"/>
          <w:szCs w:val="18"/>
          <w:color w:val="auto"/>
        </w:rPr>
      </w:pPr>
    </w:p>
    <w:p>
      <w:pPr>
        <w:ind w:left="1020" w:right="60" w:hanging="517"/>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to adjust to changing market conditions and our ability to withstand competitive pressures could be limited, or we may be prevented from making capital investments that are necessary or important to our operations in general, our growth strategy and our efforts to improve operating margins of our business units.</w:t>
      </w:r>
    </w:p>
    <w:p>
      <w:pPr>
        <w:spacing w:after="0" w:line="64" w:lineRule="exact"/>
        <w:rPr>
          <w:sz w:val="20"/>
          <w:szCs w:val="20"/>
          <w:color w:val="auto"/>
        </w:rPr>
      </w:pPr>
    </w:p>
    <w:p>
      <w:pPr>
        <w:ind w:left="500" w:right="340"/>
        <w:spacing w:after="0" w:line="32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have future capital needs and may not be able to obtain additional financing to fund our capital needs on acceptable terms, or at all. </w:t>
      </w:r>
      <w:r>
        <w:rPr>
          <w:rFonts w:ascii="Times New Roman" w:cs="Times New Roman" w:eastAsia="Times New Roman" w:hAnsi="Times New Roman"/>
          <w:sz w:val="18"/>
          <w:szCs w:val="18"/>
          <w:color w:val="auto"/>
        </w:rPr>
        <w:t>We have from time to time evaluated, and we continue to evaluate, our potential capital needs in light of increasing demand for our services,</w:t>
      </w:r>
    </w:p>
    <w:p>
      <w:pPr>
        <w:spacing w:after="0" w:line="251" w:lineRule="auto"/>
        <w:rPr>
          <w:sz w:val="20"/>
          <w:szCs w:val="20"/>
          <w:color w:val="auto"/>
        </w:rPr>
      </w:pPr>
      <w:r>
        <w:rPr>
          <w:rFonts w:ascii="Times New Roman" w:cs="Times New Roman" w:eastAsia="Times New Roman" w:hAnsi="Times New Roman"/>
          <w:sz w:val="18"/>
          <w:szCs w:val="18"/>
          <w:color w:val="auto"/>
        </w:rPr>
        <w:t>limitations on bandwidth capacity and performance and generally evolving technology in our industry. We may utilize one or more types of capital raising in order to fund any initiative in this regard, including the issuance of new equity securities and new debt securities, including debt securities convertible into our common stock. Our ability to generate positive cash flows from operating activities and the extent and timing of certain capital and other necessary expenditures are subject to numerous variables, such as costs related to execution of our current technology roadmap, including continuing development and deployment of Gogo 5G, Gogo Galileo and other future technologies. The market conditions and the macroeconomic conditions that affect the markets in which we operate could have a material adverse effect on our ability to secure financing on acceptable terms, if at all. We may be unable to secure additional financing on favorable terms or at all or our operating cash flows may be insufficient to satisfy our financial obligations under the Credit Agreements and other indebtedness outstanding from time to time.</w:t>
      </w:r>
    </w:p>
    <w:p>
      <w:pPr>
        <w:spacing w:after="0" w:line="86"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8"/>
          <w:szCs w:val="18"/>
          <w:color w:val="auto"/>
        </w:rPr>
        <w:t>Our ability to obtain additional financing for working capital, capital expenditures, acquisitions, debt service requirements or general corporate purposes is limited by the Credit Agreements. In the future, if our subsidiaries are in compliance with certain incurrence ratios or other covenant exceptions set forth in the Credit Agreements, our subsidiaries may be able to incur additional indebtedness, which indebtedness may be secured or unsecured, the incurrence of which may increase the risks created by our current substantial indebtedness. Events beyond our control can affect our ability to comply with these requirements. The Credit Agreements also limit the ability of Gogo Inc. to incur additional indebtedness under certain circumstances.</w:t>
      </w:r>
    </w:p>
    <w:p>
      <w:pPr>
        <w:spacing w:after="0" w:line="75" w:lineRule="exact"/>
        <w:rPr>
          <w:sz w:val="20"/>
          <w:szCs w:val="20"/>
          <w:color w:val="auto"/>
        </w:rPr>
      </w:pPr>
    </w:p>
    <w:p>
      <w:pPr>
        <w:ind w:right="180" w:firstLine="511"/>
        <w:spacing w:after="0" w:line="258" w:lineRule="auto"/>
        <w:rPr>
          <w:sz w:val="20"/>
          <w:szCs w:val="20"/>
          <w:color w:val="auto"/>
        </w:rPr>
      </w:pPr>
      <w:r>
        <w:rPr>
          <w:rFonts w:ascii="Times New Roman" w:cs="Times New Roman" w:eastAsia="Times New Roman" w:hAnsi="Times New Roman"/>
          <w:sz w:val="18"/>
          <w:szCs w:val="18"/>
          <w:color w:val="auto"/>
        </w:rPr>
        <w:t>The terms of any additional financing may further limit our financial and operating flexibility. Our ability to satisfy our financial obligations will depend upon our future operating performance, the availability of credit generally, economic conditions and financial, business and other factors, many of which are beyond our control. Furthermore, if financing is not available when needed, or is not available on acceptable terms, we may be unable to take advantage of business opportunities or respond to competitive pressures, any of which may have a material adverse effect on our business, financial condition and results of operations. Even if we are able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obtain additional financing, we may be required to use the proceeds from any such financing to repay a portion of our outstanding indebtedness.</w:t>
      </w:r>
    </w:p>
    <w:p>
      <w:pPr>
        <w:spacing w:after="0" w:line="117"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8"/>
          <w:szCs w:val="18"/>
          <w:color w:val="auto"/>
        </w:rPr>
        <w:t>If we raise additional funds or seek to reduce our current levels of indebtedness through further issuances of equity, convertible debt securities or other securities convertible into equity, our existing stockholders could suffer significant dilution in their percentage ownership of our Company. In addition, any new securities we issue could have rights, preferences and privileges senior to those of holders of our common stock, and we may grant holders of such securities rights with respect to the governance and operations of our business. If we are unable to obtain adequate financing or financing on terms satisfactory to us, if and when we require it, our ability to grow or support our business and to respond to business challenges could be significantly limited.</w:t>
      </w:r>
    </w:p>
    <w:p>
      <w:pPr>
        <w:spacing w:after="0" w:line="75" w:lineRule="exact"/>
        <w:rPr>
          <w:sz w:val="20"/>
          <w:szCs w:val="20"/>
          <w:color w:val="auto"/>
        </w:rPr>
      </w:pPr>
    </w:p>
    <w:p>
      <w:pPr>
        <w:ind w:right="26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restrictions and limitations that could adversely impact our ability to operate our business.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Agreements contains covenants that, among other things, limit the ability of our subsidiaries and, in certain circumstances, us to:</w:t>
      </w:r>
    </w:p>
    <w:p>
      <w:pPr>
        <w:spacing w:after="0" w:line="117" w:lineRule="exact"/>
        <w:rPr>
          <w:sz w:val="20"/>
          <w:szCs w:val="20"/>
          <w:color w:val="auto"/>
        </w:rPr>
      </w:pPr>
    </w:p>
    <w:p>
      <w:pPr>
        <w:ind w:left="1020" w:hanging="517"/>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non-permitted indebtedness;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redeem stock or make other distributions;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other companies; and</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sz w:val="20"/>
          <w:szCs w:val="20"/>
          <w:color w:val="auto"/>
        </w:rPr>
      </w:pPr>
    </w:p>
    <w:p>
      <w:pPr>
        <w:ind w:right="80" w:firstLine="511"/>
        <w:spacing w:after="0" w:line="255" w:lineRule="auto"/>
        <w:rPr>
          <w:sz w:val="20"/>
          <w:szCs w:val="20"/>
          <w:color w:val="auto"/>
        </w:rPr>
      </w:pPr>
      <w:r>
        <w:rPr>
          <w:rFonts w:ascii="Times New Roman" w:cs="Times New Roman" w:eastAsia="Times New Roman" w:hAnsi="Times New Roman"/>
          <w:sz w:val="18"/>
          <w:szCs w:val="18"/>
          <w:color w:val="auto"/>
        </w:rPr>
        <w:t>Our ability to comply with the covenants and restrictions contained in the Credit Agreements may be affected by economic, financial and industry conditions beyond our control. Our failure to comply with obligations under the agreements and instruments governing our indebtedness may result in an event of default under such agreements and instruments. We cannot be certain that we will have funds available to remedy these defaults. A default, if not cured or waived, may permit acceleration of our indebtedness. If our indebtedness is accelerated, we cannot be certain that we will have sufficient funds available to pay the accelerated indebtedness or have the ability to refinance the accelerated indebtedness on terms favorable to us or at all. All of these covenants and restrictions could affect our ability to operate our business, may limit our ability in the future to satisfy currently outstanding obligations and may limit our ability to take advantage of potential business opportunities as they arise.</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would increase the cost of servicing our indebtedness and could reduce our profitability.</w:t>
      </w:r>
    </w:p>
    <w:p>
      <w:pPr>
        <w:spacing w:after="0" w:line="121"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Our indebtedness outstanding under the 2021 Term Loan Facility and HPS Term Loan Facility bears interest, and any indebtedness under our Revolving Facility would bear interest, at variable rates. While we have entered into interest rate caps to hedge a portion of our exposure, we remain subject to interest rate risk under these Facilities (as defined below). Increases in interest rates, including as the result of general economic inflation, would increase the cost of servicing our indebtedness and could materially reduce our profitability and cash flows.</w:t>
      </w:r>
    </w:p>
    <w:p>
      <w:pPr>
        <w:spacing w:after="0" w:line="68" w:lineRule="exact"/>
        <w:rPr>
          <w:sz w:val="20"/>
          <w:szCs w:val="20"/>
          <w:color w:val="auto"/>
        </w:rPr>
      </w:pPr>
    </w:p>
    <w:p>
      <w:pPr>
        <w:ind w:right="80" w:firstLine="51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Indebtedness under the Facilities is secured by substantially all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spacing w:after="0" w:line="72" w:lineRule="exact"/>
        <w:rPr>
          <w:sz w:val="20"/>
          <w:szCs w:val="20"/>
          <w:color w:val="auto"/>
        </w:rPr>
      </w:pPr>
    </w:p>
    <w:p>
      <w:pPr>
        <w:ind w:firstLine="511"/>
        <w:spacing w:after="0" w:line="272" w:lineRule="auto"/>
        <w:rPr>
          <w:sz w:val="20"/>
          <w:szCs w:val="20"/>
          <w:color w:val="auto"/>
        </w:rPr>
      </w:pPr>
      <w:r>
        <w:rPr>
          <w:rFonts w:ascii="Times New Roman" w:cs="Times New Roman" w:eastAsia="Times New Roman" w:hAnsi="Times New Roman"/>
          <w:sz w:val="17"/>
          <w:szCs w:val="17"/>
          <w:color w:val="auto"/>
        </w:rPr>
        <w:t>Indebtedness under the Facilities (as defined below) is secured by a lien on substantially all of our assets. Accordingly, if an event of default were to occur under any of the Credit Agreements, to the extent amounts were outstanding under the Facilities, the lenders party to such Credit Agreement would have a prior right to our assets, to the exclusion of our general creditors in the event of our bankruptcy, insolvency, liquidation, or reorganization. In that event, our assets would first be used to repay in full all indebtedness and other obligations under such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37" w:name="page38"/>
    <w:bookmarkEnd w:id="37"/>
    <w:p>
      <w:pPr>
        <w:ind w:right="2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rating assigned by a rating agency to us, our subsidiaries or our indebtedness, if any, could cause our cost of capital to increase.</w:t>
      </w:r>
    </w:p>
    <w:p>
      <w:pPr>
        <w:spacing w:after="0" w:line="51" w:lineRule="exact"/>
        <w:rPr>
          <w:sz w:val="20"/>
          <w:szCs w:val="20"/>
          <w:color w:val="auto"/>
        </w:rPr>
      </w:pPr>
    </w:p>
    <w:p>
      <w:pPr>
        <w:jc w:val="both"/>
        <w:ind w:right="60" w:firstLine="511"/>
        <w:spacing w:after="0" w:line="261" w:lineRule="auto"/>
        <w:rPr>
          <w:sz w:val="20"/>
          <w:szCs w:val="20"/>
          <w:color w:val="auto"/>
        </w:rPr>
      </w:pPr>
      <w:r>
        <w:rPr>
          <w:rFonts w:ascii="Times New Roman" w:cs="Times New Roman" w:eastAsia="Times New Roman" w:hAnsi="Times New Roman"/>
          <w:sz w:val="18"/>
          <w:szCs w:val="18"/>
          <w:color w:val="auto"/>
        </w:rPr>
        <w:t>Our 2021 Term Loan Facility and HPS Term Loan Facility have been rated by nationally recognized rating agencies and may in the future be rated by additional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future lowering of ratings may make it more difficult or more expensive for us to obtain additional debt financing.</w:t>
      </w:r>
    </w:p>
    <w:p>
      <w:pPr>
        <w:spacing w:after="0" w:line="2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the value of your investment could decline.</w:t>
      </w:r>
    </w:p>
    <w:p>
      <w:pPr>
        <w:spacing w:after="0" w:line="121"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historically been volatile. From our IPO date through February 20, 2026, the price of our common stock has ranged from a closing low of $1.40 per share to a closing high of $34.34 per share. In addition to the factors discussed in this Annual Report on Form 10-K, the trading price of our common stock has fluctuated and may continue to fluctuate widely in response to various factors, many of which are beyond our control. They include:</w:t>
      </w:r>
    </w:p>
    <w:p>
      <w:pPr>
        <w:spacing w:after="0" w:line="72" w:lineRule="exact"/>
        <w:rPr>
          <w:sz w:val="20"/>
          <w:szCs w:val="20"/>
          <w:color w:val="auto"/>
        </w:rPr>
      </w:pPr>
    </w:p>
    <w:p>
      <w:pPr>
        <w:ind w:left="1020" w:right="800" w:hanging="517"/>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aviation and telecommunications industry or general market conditions, including those related to disruptions to supply chains and installations;</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factors unrelated to our performance;</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or customer usage of Wi-Fi and Internet broadband services;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timely and efficiently roll out our technology roadmap;</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regulatory pronouncements and changes in regulatory guidelines;</w:t>
      </w:r>
    </w:p>
    <w:p>
      <w:pPr>
        <w:spacing w:after="0" w:line="117" w:lineRule="exact"/>
        <w:rPr>
          <w:rFonts w:ascii="Times New Roman" w:cs="Times New Roman" w:eastAsia="Times New Roman" w:hAnsi="Times New Roman"/>
          <w:sz w:val="18"/>
          <w:szCs w:val="18"/>
          <w:color w:val="auto"/>
        </w:rPr>
      </w:pPr>
    </w:p>
    <w:p>
      <w:pPr>
        <w:ind w:left="1020" w:right="40" w:hanging="517"/>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 and any inability to generate positive cash flows on a consolidated basis in the future or to obtain additional financing;</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publicly disclosed expectations as to our future financial performance, or failure to estimate them accurately;</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lack of research and reports by industry analysts;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institutional stockholders or other large stockholders, including future sales;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or other transactions involving derivatives of our securities;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and/or unfavorable reports by investors such as short sellers;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our industry;</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similar companies;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contracts, contract amendments, acquisitions or strategic partnerships;</w:t>
      </w:r>
    </w:p>
    <w:p>
      <w:pPr>
        <w:spacing w:after="0" w:line="117" w:lineRule="exact"/>
        <w:rPr>
          <w:rFonts w:ascii="Times New Roman" w:cs="Times New Roman" w:eastAsia="Times New Roman" w:hAnsi="Times New Roman"/>
          <w:sz w:val="18"/>
          <w:szCs w:val="18"/>
          <w:color w:val="auto"/>
        </w:rPr>
      </w:pPr>
    </w:p>
    <w:p>
      <w:pPr>
        <w:ind w:left="1020" w:right="360" w:hanging="517"/>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proprietary rights, including increases or decreases in litigation expenses associated with intellectual property lawsuits we may initiate, or in which we may be named as defendants;</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significant sales;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sales of our common stock or other securities;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our FCC licenses and our ability to obtain additional spectrum; and</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sz w:val="20"/>
          <w:szCs w:val="20"/>
          <w:color w:val="auto"/>
        </w:rPr>
      </w:pPr>
    </w:p>
    <w:p>
      <w:pPr>
        <w:ind w:firstLine="511"/>
        <w:spacing w:after="0" w:line="274" w:lineRule="auto"/>
        <w:rPr>
          <w:sz w:val="20"/>
          <w:szCs w:val="20"/>
          <w:color w:val="auto"/>
        </w:rPr>
      </w:pPr>
      <w:r>
        <w:rPr>
          <w:rFonts w:ascii="Times New Roman" w:cs="Times New Roman" w:eastAsia="Times New Roman" w:hAnsi="Times New Roman"/>
          <w:sz w:val="17"/>
          <w:szCs w:val="17"/>
          <w:color w:val="auto"/>
        </w:rPr>
        <w:t>In addition, the stock markets have experienced extreme price and volume fluctuations in recent years that have affected and continue to affect the market prices of equity securities of many technology companies. Stock prices of many such companies have fluctuated in a manner unrelated or disproportionate to the operating performance of those companies. These broad market fluctuations may adversely affect the trading price of our common stock. In the past, following periods of volatility in the market price of a company’s securities, class action litigation has often been instituted against such company. Any litigation of this type brought against us could result in substantial costs and a diversion of our management’s attention and resources, which may have a material adverse effect on our business, financial condition and results of operations. Additionally, given the volatility in the stock market in</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084" w:right="358" w:bottom="1440" w:gutter="0" w:footer="0" w:header="0"/>
        </w:sectPr>
      </w:pPr>
    </w:p>
    <w:bookmarkStart w:id="38" w:name="page39"/>
    <w:bookmarkEnd w:id="38"/>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general and in the trading price of our common stock in particular, we continue to actively monitor our common stock’s trading price. If the minimum bid price of our common stock were to fall below $1.00 for a period of more than 30 consecutive trading days, we would become deficient under the Nasdaq listing rules and would then have a period to cure before possibly becoming subject to delisting. Any future deficiency, or the perception among investors that we are at heightened risk of becoming deficient, could negatively affect the market price and trading volume of our common stock.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utilization of our tax losses could be substantially limited if we experienced an “ownership change” as defined in the Internal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w:t>
      </w:r>
    </w:p>
    <w:p>
      <w:pPr>
        <w:spacing w:after="0" w:line="99"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As of December 31, 2025, we had approximately $259 million in federal and $304 million in state net operating losses (“NOLs”). The federal and state NOLs will begin to expire in 2035 and 2027, respectively. Under Section 382 of the Code and corresponding provisions of state law, if a corporation undergoes an “ownership change,” which is generally defined as an increase of more than 50% of the value of the Company’s stock owned by certain “5-percent shareholders,” as such term is defined in Section 382 of the Code, in its equity ownership over a rolling three-year period, the corporation’s ability to use its pre-change NOLs and other pre-change tax attributes to offset its post-change income or taxes may be limited. To the extent there becomes a new 5-percent shareholder, we may experience an ownership change under Section 382 of the Code, which may result in the loss or impairment of some or all of our NOLs. The extent of any loss or impairment of our NOLs upon an ownership change would depend on several factors, including the nature of the NOLs, our stock price and extent of the ownership change. Our Section 382 Rights Agreement, which would have helped to prevent shareholders from becoming more than 5-percent shareholders, expired in September 2023, and we determined not to renew it. If an ownership change occurs and our ability to use our NOLs is materially limited, it would harm our future operating results by effectively increasing our future tax obligations.</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Future stock issuances could cause substantial dilution and a decline in our stock price.</w:t>
      </w:r>
    </w:p>
    <w:p>
      <w:pPr>
        <w:spacing w:after="0" w:line="121"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8"/>
          <w:szCs w:val="18"/>
          <w:color w:val="auto"/>
        </w:rPr>
        <w:t>We may issue additional shares of common stock or other equity or debt securities convertible into common stock from time to time in connection with a financing, acquisition, litigation settlement, employee arrangement, as consideration to third-party service or equipment providers or otherwise. Additional shares of common stock are also issuable upon exercise of outstanding stock options. We may also reserve additional shares of our common stock for issuance upon the exercise of stock options or other similar forms of equity incentives. We cannot predict the size of future issuances or the effect, if any, that they may have on the market price for our common stock. Any of these issuances could result in substantial dilution to our existing stockholders and could cause the trading price of our common stock to decline.</w:t>
      </w:r>
    </w:p>
    <w:p>
      <w:pPr>
        <w:spacing w:after="0" w:line="75" w:lineRule="exact"/>
        <w:rPr>
          <w:sz w:val="20"/>
          <w:szCs w:val="20"/>
          <w:color w:val="auto"/>
        </w:rPr>
      </w:pPr>
    </w:p>
    <w:p>
      <w:pPr>
        <w:jc w:val="both"/>
        <w:ind w:right="240" w:firstLine="51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few significant stockholders, including affiliates of Oakleigh Thorne, the chair of our Board, and GTCR LLC and its affiliates, could exert influence over our Company, and if the ownership of our common stock continues to be concentrated, or becomes more concentrated in the future, it could prevent our other stockholders from influencing significant corporate decisions.</w:t>
      </w:r>
    </w:p>
    <w:p>
      <w:pPr>
        <w:spacing w:after="0" w:line="67"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8"/>
          <w:szCs w:val="18"/>
          <w:color w:val="auto"/>
        </w:rPr>
        <w:t>As of December 31, 2025, Oakleigh Thorne, the chair of our Board of Directors, and the entities affiliated with Mr. Thorne (the “Thorne Entities”) beneficially owned approximately 21% of the outstanding shares of our common stock, and funds managed by GTCR LLC and its affiliates (“GTCR”) beneficially owned approximately 17% of the outstanding shares of our common stock. As a result, either the Thorne Entities or GTCR alone is able to exercise influence over all matters requiring stockholder approval for the foreseeable future, including approval of significant corporate transactions and the election of directors. Such ability to influence may reduce the market price of our common stock. In addition, together, GTCR and the Thorne Entities would be able to exercise control over such matters, which similarly may reduce the market price of our common stock.</w:t>
      </w:r>
    </w:p>
    <w:p>
      <w:pPr>
        <w:spacing w:after="0" w:line="79" w:lineRule="exact"/>
        <w:rPr>
          <w:sz w:val="20"/>
          <w:szCs w:val="20"/>
          <w:color w:val="auto"/>
        </w:rPr>
      </w:pPr>
    </w:p>
    <w:p>
      <w:pPr>
        <w:ind w:right="120" w:firstLine="511"/>
        <w:spacing w:after="0" w:line="266" w:lineRule="auto"/>
        <w:rPr>
          <w:sz w:val="20"/>
          <w:szCs w:val="20"/>
          <w:color w:val="auto"/>
        </w:rPr>
      </w:pPr>
      <w:r>
        <w:rPr>
          <w:rFonts w:ascii="Times New Roman" w:cs="Times New Roman" w:eastAsia="Times New Roman" w:hAnsi="Times New Roman"/>
          <w:sz w:val="18"/>
          <w:szCs w:val="18"/>
          <w:color w:val="auto"/>
        </w:rPr>
        <w:t>As a member of our Board of Directors, Mr. Thorne owes a fiduciary duty to our stockholders and must act in good faith in a manner he reasonably believes to be in the best interests of our stockholders. As a stockholder, Mr. Thorne is entitled to vote his shares, and shares over which he has voting control, in his own interest, which may not always be in the interests of stockholders generally.</w:t>
      </w:r>
    </w:p>
    <w:p>
      <w:pPr>
        <w:spacing w:after="0" w:line="68"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address potential conflicts between a director’s interests and our interests, and our code of business conduct, among other things, requires our employees and directors to avoid actions or relationships that might conflict or appear to conflict with their job responsibilities or our interests and to disclose their outside activities, financial interests or relationships that may present a possible conflict of interest or the appearance of a conflict to management or corporate counsel. These corporate governance guidelines and code of business ethics do not, by themselves, prohibit transactions with the Thorne Entities.</w:t>
      </w:r>
    </w:p>
    <w:p>
      <w:pPr>
        <w:spacing w:after="0" w:line="71" w:lineRule="exact"/>
        <w:rPr>
          <w:sz w:val="20"/>
          <w:szCs w:val="20"/>
          <w:color w:val="auto"/>
        </w:rPr>
      </w:pPr>
    </w:p>
    <w:p>
      <w:pPr>
        <w:ind w:right="20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Fulfilling our obligations associated with being a public company is expensive and time-consuming, and any delays or difficulties in satisfying these obligations may have a material adverse effect on our results of operations and our stock price.</w:t>
      </w:r>
    </w:p>
    <w:p>
      <w:pPr>
        <w:spacing w:after="0" w:line="5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As a public company, the Sarbanes-Oxley Act of 2002 (“Sarbanes-Oxley”), and the related rules and regulations of the SEC, as well as Nasdaq rules, require us to implement various corporate governance practices and adhere to a variety of reporting requirements and complex accounting rules. Compliance with these public company obligations requires us to devote significant time and resources and places significant additional demands on our finance and accounting staff and on our financial accounting and information systems. We are also required under Sarbanes-Oxley to document and test the effectiveness of our internal control over financial reporting, and our independent registered public accounting firm is required to provide an attestation report on the effectiveness of our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39" w:name="page40"/>
    <w:bookmarkEnd w:id="39"/>
    <w:p>
      <w:pPr>
        <w:ind w:right="40"/>
        <w:spacing w:after="0" w:line="271" w:lineRule="auto"/>
        <w:rPr>
          <w:sz w:val="20"/>
          <w:szCs w:val="20"/>
          <w:color w:val="auto"/>
        </w:rPr>
      </w:pPr>
      <w:r>
        <w:rPr>
          <w:rFonts w:ascii="Times New Roman" w:cs="Times New Roman" w:eastAsia="Times New Roman" w:hAnsi="Times New Roman"/>
          <w:sz w:val="17"/>
          <w:szCs w:val="17"/>
          <w:color w:val="auto"/>
        </w:rPr>
        <w:t>internal control over financial reporting. In addition, we are required under the Exchange Act to maintain disclosure controls and procedures and internal control over financial reporting. The applicable SEC rules are constantly evolving in response to market conditions and other developments, and we must update our disclosure controls and procedures quickly and effectively in order to produce appropriate disclosures. Any failure to maintain effective controls or implement required new or improved controls may materially adversely affect our results of operations or cause us to fail to meet our reporting obligations. For more information, see “—</w:t>
      </w:r>
      <w:r>
        <w:rPr>
          <w:rFonts w:ascii="Times New Roman" w:cs="Times New Roman" w:eastAsia="Times New Roman" w:hAnsi="Times New Roman"/>
          <w:sz w:val="17"/>
          <w:szCs w:val="17"/>
          <w:i w:val="1"/>
          <w:iCs w:val="1"/>
          <w:color w:val="auto"/>
        </w:rPr>
        <w:t>We have identified a material weakness in our internal control over financial reporting, which could, if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effectively remediated, result in material misstatements in our financial statements, and a failure to meet our reporting and financial obligations</w:t>
      </w:r>
      <w:r>
        <w:rPr>
          <w:rFonts w:ascii="Times New Roman" w:cs="Times New Roman" w:eastAsia="Times New Roman" w:hAnsi="Times New Roman"/>
          <w:sz w:val="17"/>
          <w:szCs w:val="17"/>
          <w:color w:val="auto"/>
        </w:rPr>
        <w:t>.” Failure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to comply with Sarbanes-Oxley could potentially subject us to sanctions or investigations by the SEC, Nasdaq, or other regulatory authorities. </w:t>
      </w:r>
      <w:r>
        <w:rPr>
          <w:rFonts w:ascii="Times New Roman" w:cs="Times New Roman" w:eastAsia="Times New Roman" w:hAnsi="Times New Roman"/>
          <w:sz w:val="17"/>
          <w:szCs w:val="17"/>
          <w:color w:val="212529"/>
        </w:rPr>
        <w:t>Additionally,</w:t>
      </w:r>
      <w:r>
        <w:rPr>
          <w:rFonts w:ascii="Times New Roman" w:cs="Times New Roman" w:eastAsia="Times New Roman" w:hAnsi="Times New Roman"/>
          <w:sz w:val="17"/>
          <w:szCs w:val="17"/>
          <w:color w:val="auto"/>
        </w:rPr>
        <w:t xml:space="preserve"> this failure could negatively affect the market price and trading liquidity of our common stock, restrict our access to the capital markets, cause investors to lose confidence in our reported financial information, and generally materially and adversely impact our business and financial condition.</w:t>
      </w:r>
    </w:p>
    <w:p>
      <w:pPr>
        <w:spacing w:after="0" w:line="61" w:lineRule="exact"/>
        <w:rPr>
          <w:sz w:val="20"/>
          <w:szCs w:val="20"/>
          <w:color w:val="auto"/>
        </w:rPr>
      </w:pPr>
    </w:p>
    <w:p>
      <w:pPr>
        <w:ind w:right="46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could, if not effectively remediated, result in material misstatements in our financial statements, and a failure to meet our reporting and financial obligations.</w:t>
      </w:r>
    </w:p>
    <w:p>
      <w:pPr>
        <w:spacing w:after="0" w:line="51"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prevent fraud and errors in our financial statements and operate successfully as a public company. As discussed in “Item 9A. Controls and Procedures,” our management and independent registered public accounting firm have concluded that we did not maintain effective internal control over financial reporting as of December 31, 2025. We are actively engaged in developing and implementing a remediation plan designed to address the underlying material weakness and are committed to remediating it as promptly as possible. However, we cannot be certain that the current material weakness in internal control will be remediated and our internal control over financial reporting will be considered effective going forward. Because of its inherent limitations, our system of internal control over financial reporting may not prevent or detect every misstatement.</w:t>
      </w:r>
    </w:p>
    <w:p>
      <w:pPr>
        <w:spacing w:after="0" w:line="81"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If we are unable to remediate the existing material weakness in our internal controls over financial reporting and achieve effective internal control, or if we identify additional material weaknesses in our internal control over financial reporting, we may be unable to accurately report our financial results, or report them within the timeframes required by the SEC. If this occurs, we also could become subject to sanctions or investigations by the SEC or other regulatory authorities. In addition,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This could result in a decrease in the value of our common stock.</w:t>
      </w:r>
    </w:p>
    <w:p>
      <w:pPr>
        <w:spacing w:after="0" w:line="81"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We also face risks associated with the cost of establishing effective internal control over financial reporting, insofar as we expect to continue to incur increased costs related to our internal control over financial reporting to remediate the above-described material weaknesses and improve further our internal control environment.</w:t>
      </w:r>
    </w:p>
    <w:p>
      <w:pPr>
        <w:spacing w:after="0" w:line="64" w:lineRule="exact"/>
        <w:rPr>
          <w:sz w:val="20"/>
          <w:szCs w:val="20"/>
          <w:color w:val="auto"/>
        </w:rPr>
      </w:pPr>
    </w:p>
    <w:p>
      <w:pPr>
        <w:ind w:right="14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and certain provisions in our existing and any future credit facility could discourage, delay or prevent a change in control of our Company and may affect the trading price of our common stock.</w:t>
      </w:r>
    </w:p>
    <w:p>
      <w:pPr>
        <w:spacing w:after="0" w:line="51" w:lineRule="exact"/>
        <w:rPr>
          <w:sz w:val="20"/>
          <w:szCs w:val="20"/>
          <w:color w:val="auto"/>
        </w:rPr>
      </w:pPr>
    </w:p>
    <w:p>
      <w:pPr>
        <w:ind w:right="180" w:firstLine="511"/>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a number of provisions that may discourage, delay or prevent a change in our management or control over us that stockholders may consider favorable. These provisions include:</w:t>
      </w:r>
    </w:p>
    <w:p>
      <w:pPr>
        <w:spacing w:after="0" w:line="54" w:lineRule="exact"/>
        <w:rPr>
          <w:sz w:val="20"/>
          <w:szCs w:val="20"/>
          <w:color w:val="auto"/>
        </w:rPr>
      </w:pPr>
    </w:p>
    <w:p>
      <w:pPr>
        <w:ind w:left="1020" w:hanging="517"/>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could be issued by our Board of Directors to thwart a takeover attempt;</w:t>
      </w:r>
    </w:p>
    <w:p>
      <w:pPr>
        <w:spacing w:after="0" w:line="117" w:lineRule="exact"/>
        <w:rPr>
          <w:rFonts w:ascii="Times New Roman" w:cs="Times New Roman" w:eastAsia="Times New Roman" w:hAnsi="Times New Roman"/>
          <w:sz w:val="18"/>
          <w:szCs w:val="18"/>
          <w:color w:val="auto"/>
        </w:rPr>
      </w:pPr>
    </w:p>
    <w:p>
      <w:pPr>
        <w:ind w:left="1020" w:right="520" w:hanging="517"/>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of Directors, as a result of which our board is divided into three classes, with each class serving for staggered three-year terms, which prevents stockholders from electing an entirely new Board of Directors at an annual meeting;</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only be removed from office for cause and only upon a supermajority stockholder vote;</w:t>
      </w:r>
    </w:p>
    <w:p>
      <w:pPr>
        <w:spacing w:after="0" w:line="117" w:lineRule="exact"/>
        <w:rPr>
          <w:rFonts w:ascii="Times New Roman" w:cs="Times New Roman" w:eastAsia="Times New Roman" w:hAnsi="Times New Roman"/>
          <w:sz w:val="18"/>
          <w:szCs w:val="18"/>
          <w:color w:val="auto"/>
        </w:rPr>
      </w:pPr>
    </w:p>
    <w:p>
      <w:pPr>
        <w:ind w:left="1020" w:hanging="517"/>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that vacancies on the Board of Directors, including newly-created directorships, may be filled only by a majority vote of directors then in office;</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who may call special meetings of stockholders;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thereby requiring all actions to be taken at a meeting of the stockholders; and</w:t>
      </w:r>
    </w:p>
    <w:p>
      <w:pPr>
        <w:spacing w:after="0" w:line="117" w:lineRule="exact"/>
        <w:rPr>
          <w:rFonts w:ascii="Times New Roman" w:cs="Times New Roman" w:eastAsia="Times New Roman" w:hAnsi="Times New Roman"/>
          <w:sz w:val="18"/>
          <w:szCs w:val="18"/>
          <w:color w:val="auto"/>
        </w:rPr>
      </w:pPr>
    </w:p>
    <w:p>
      <w:pPr>
        <w:ind w:left="1020" w:right="100" w:hanging="517"/>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supermajority stockholder voting to effect certain amendments to our amended and restated certificate of incorporation and amended and restated bylaws.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40" w:name="page41"/>
    <w:bookmarkEnd w:id="40"/>
    <w:p>
      <w:pPr>
        <w:ind w:right="280" w:firstLine="511"/>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Agreements, a takeover of our Company would allow the administrative agent and/or the lenders to terminate their commitments under the Credit Agreements and declare any and all outstanding amounts to be due and payable. This provision may have the effect of delaying or preventing a takeover of our Company that would otherwise be beneficial to our stockholders.</w:t>
      </w:r>
    </w:p>
    <w:p>
      <w:pPr>
        <w:spacing w:after="0" w:line="64" w:lineRule="exact"/>
        <w:rPr>
          <w:sz w:val="20"/>
          <w:szCs w:val="20"/>
          <w:color w:val="auto"/>
        </w:rPr>
      </w:pPr>
    </w:p>
    <w:p>
      <w:pPr>
        <w:ind w:right="140" w:firstLine="51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charter and bylaws include provisions limiting ownership by non-U.S. citizens, including the power of our Board of Directors to redeem shares of our common stock from non-U.S. citizens.</w:t>
      </w:r>
    </w:p>
    <w:p>
      <w:pPr>
        <w:spacing w:after="0" w:line="5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 xml:space="preserve">The Communications Act and FCC regulations impose restrictions on foreign ownership of FCC licensees, as described in the above risk factor, “— </w:t>
      </w:r>
      <w:r>
        <w:rPr>
          <w:rFonts w:ascii="Times New Roman" w:cs="Times New Roman" w:eastAsia="Times New Roman" w:hAnsi="Times New Roman"/>
          <w:sz w:val="18"/>
          <w:szCs w:val="18"/>
          <w:i w:val="1"/>
          <w:iCs w:val="1"/>
          <w:color w:val="auto"/>
        </w:rPr>
        <w:t>If we fail to comply with the Communications Act and FCC regulations limiting ownership and voting of our capital stock by non-U.S. persons we could lose our FCC license</w:t>
      </w:r>
      <w:r>
        <w:rPr>
          <w:rFonts w:ascii="Times New Roman" w:cs="Times New Roman" w:eastAsia="Times New Roman" w:hAnsi="Times New Roman"/>
          <w:sz w:val="18"/>
          <w:szCs w:val="18"/>
          <w:color w:val="auto"/>
        </w:rPr>
        <w:t>.” Our corporate charter and bylaws include provisions that permit our Board of Directors to take certain actions in order to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FCC regulations regarding foreign ownership, including but not limited to, a right to redeem shares of common stock from non-U.S. citizens at prices at or below fair market value. Non-U.S. citizens should consider carefully the redemption provisions in our certificate of incorporation prior to investing in our common stock.</w:t>
      </w:r>
    </w:p>
    <w:p>
      <w:pPr>
        <w:spacing w:after="0" w:line="79"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8"/>
          <w:szCs w:val="18"/>
          <w:color w:val="auto"/>
        </w:rPr>
        <w:t>These restrictions may also decrease the liquidity and value of our stock by reducing the pool of potential investors in our Company and making the acquisition of control of us by third parties more difficult. In addition, these restrictions could adversely affect our ability to attract equity financing or consummate an acquisition of a foreign entity using shares of our capital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1088" w:right="378"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ind w:right="320" w:firstLine="511"/>
        <w:spacing w:after="0" w:line="261" w:lineRule="auto"/>
        <w:rPr>
          <w:sz w:val="20"/>
          <w:szCs w:val="20"/>
          <w:color w:val="auto"/>
        </w:rPr>
      </w:pPr>
      <w:r>
        <w:rPr>
          <w:rFonts w:ascii="Times New Roman" w:cs="Times New Roman" w:eastAsia="Times New Roman" w:hAnsi="Times New Roman"/>
          <w:sz w:val="18"/>
          <w:szCs w:val="18"/>
          <w:color w:val="auto"/>
        </w:rPr>
        <w:t>We prioritize the management of cybersecurity risk and the protection of information across our enterprise by embedding data protection and cybersecurity risk management in our operations. Our processes for assessing, identifying, and managing material risks from cybersecurity threats have been integrated into our overall risk management system and processes and are designed to protect the confidentiality, integrity, and availability of our information systems, safeguard our intellectual property and sensitive data, and ensure the resilience of our services.</w:t>
      </w:r>
    </w:p>
    <w:p>
      <w:pPr>
        <w:spacing w:after="0" w:line="72"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As a foundation of this approach, we have implemented a layered governance structure to help assess, identify, manage and report cybersecurity risks. Our cybersecurity program leverages the NIST Framework, which outlines the core components and responsibilities necessary to sustain a healthy and well-balanced cybersecurity program. To protect our network and information systems from cybersecurity threats, we use various security tools and policies that help prevent, identify, escalate, investigate, resolve and recover from identified vulnerabilities and security incidents in a timely manner. These include, but are not limited to, internal reporting, monitoring and detection tools and a unified Security Information and Event Management (“SIEM”) platform, which aggregates and analyzes log data from across our entire environment.</w:t>
      </w:r>
    </w:p>
    <w:p>
      <w:pPr>
        <w:spacing w:after="0" w:line="79" w:lineRule="exact"/>
        <w:rPr>
          <w:sz w:val="20"/>
          <w:szCs w:val="20"/>
          <w:color w:val="auto"/>
        </w:rPr>
      </w:pPr>
    </w:p>
    <w:p>
      <w:pPr>
        <w:ind w:right="160" w:firstLine="511"/>
        <w:spacing w:after="0" w:line="258" w:lineRule="auto"/>
        <w:rPr>
          <w:sz w:val="20"/>
          <w:szCs w:val="20"/>
          <w:color w:val="auto"/>
        </w:rPr>
      </w:pPr>
      <w:r>
        <w:rPr>
          <w:rFonts w:ascii="Times New Roman" w:cs="Times New Roman" w:eastAsia="Times New Roman" w:hAnsi="Times New Roman"/>
          <w:sz w:val="18"/>
          <w:szCs w:val="18"/>
          <w:color w:val="auto"/>
        </w:rPr>
        <w:t>We have a number of policies and procedures supporting the cybersecurity program, including a robust enterprise cybersecurity incident response plan, which is activated in the event of a cybersecurity incident. The incident response plan is a detailed playbook that specifies how Gogo classifies, responds to, and recovers from cybersecurity incidents and includes notification procedures that vary depending on the significance of the incident. When warranted by the severity of the incident, the Board, the Audit Committee, the Chief Executive Officer and other senior executives are part of the notification chain.</w:t>
      </w:r>
    </w:p>
    <w:p>
      <w:pPr>
        <w:spacing w:after="0" w:line="75" w:lineRule="exact"/>
        <w:rPr>
          <w:sz w:val="20"/>
          <w:szCs w:val="20"/>
          <w:color w:val="auto"/>
        </w:rPr>
      </w:pPr>
    </w:p>
    <w:p>
      <w:pPr>
        <w:ind w:right="240" w:firstLine="511"/>
        <w:spacing w:after="0" w:line="261" w:lineRule="auto"/>
        <w:rPr>
          <w:sz w:val="20"/>
          <w:szCs w:val="20"/>
          <w:color w:val="auto"/>
        </w:rPr>
      </w:pPr>
      <w:r>
        <w:rPr>
          <w:rFonts w:ascii="Times New Roman" w:cs="Times New Roman" w:eastAsia="Times New Roman" w:hAnsi="Times New Roman"/>
          <w:sz w:val="18"/>
          <w:szCs w:val="18"/>
          <w:color w:val="auto"/>
        </w:rPr>
        <w:t>We conduct regular reviews and tests of our cybersecurity program, which includes tabletop exercises, penetration and vulnerability testing, simulations, and other exercises, as well as leverage audits by our internal audit team to evaluate the effectiveness of our cybersecurity program and controls and improve our security measures and planning. We also engage external auditors to review our cybersecurity program and controls, as well as engage third parties to perform penetration testing and vulnerability scanning of our public and private assets.</w:t>
      </w:r>
    </w:p>
    <w:p>
      <w:pPr>
        <w:spacing w:after="0" w:line="72"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With respect to third-party service providers, including our Cloud Service Providers (“CSPs”), we obligate our vendors to adhere to privacy and cybersecurity measures through various contractual provisions to the extent possible, and we perform risk assessments of vendors as appropriate from time to time, which includes a vendor’s ability to protect data from unauthorized access, and ongoing monitoring to ensure our vendors adhere to our security standards. We define and manage a shared responsibility model with our CSPs to ensure there are no gaps in security coverage and review their System and Organization Controls (“SOC”) 2 reports as part of our due diligence process.</w:t>
      </w:r>
    </w:p>
    <w:p>
      <w:pPr>
        <w:spacing w:after="0" w:line="75" w:lineRule="exact"/>
        <w:rPr>
          <w:sz w:val="20"/>
          <w:szCs w:val="20"/>
          <w:color w:val="auto"/>
        </w:rPr>
      </w:pPr>
    </w:p>
    <w:p>
      <w:pPr>
        <w:ind w:right="200" w:firstLine="511"/>
        <w:spacing w:after="0" w:line="255" w:lineRule="auto"/>
        <w:rPr>
          <w:sz w:val="20"/>
          <w:szCs w:val="20"/>
          <w:color w:val="auto"/>
        </w:rPr>
      </w:pPr>
      <w:r>
        <w:rPr>
          <w:rFonts w:ascii="Times New Roman" w:cs="Times New Roman" w:eastAsia="Times New Roman" w:hAnsi="Times New Roman"/>
          <w:sz w:val="18"/>
          <w:szCs w:val="18"/>
          <w:color w:val="auto"/>
        </w:rPr>
        <w:t>We face ongoing risks from certain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 </w:t>
      </w:r>
      <w:r>
        <w:rPr>
          <w:rFonts w:ascii="Times New Roman" w:cs="Times New Roman" w:eastAsia="Times New Roman" w:hAnsi="Times New Roman"/>
          <w:sz w:val="18"/>
          <w:szCs w:val="18"/>
          <w:i w:val="1"/>
          <w:iCs w:val="1"/>
          <w:color w:val="auto"/>
        </w:rPr>
        <w:t>We periodically are and could in the future be adversely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affected if we or our third party suppliers or service providers suffer service interruptions or delays, technology failures, damage to equipment or system disruptions or failures arising from, among other things, force majeure events, cybersecurity incidents or other malicious activities.</w:t>
      </w:r>
      <w:r>
        <w:rPr>
          <w:rFonts w:ascii="Times New Roman" w:cs="Times New Roman" w:eastAsia="Times New Roman" w:hAnsi="Times New Roman"/>
          <w:sz w:val="18"/>
          <w:szCs w:val="18"/>
          <w:color w:val="auto"/>
        </w:rPr>
        <w:t>” We have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cover certain expenses relating to cybersecurity incidents; however, damage and claims arising from a cybersecurity incident may exceed the amount of any insurance available. While we have experienced cybersecurity incidents, to date, we do not believe that we experienced a material cybersecurity incident during the fiscal year ended December 31, 2025.</w:t>
      </w:r>
    </w:p>
    <w:p>
      <w:pPr>
        <w:spacing w:after="0" w:line="81"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The sophistication of cybersecurity threats, including through the use of AI, continues to increase, and the controls and preventative actions we take to reduce the risk of cybersecurity incidents and protect our systems, including the regular testing of our cybersecurity incident response plan, may be insufficient. In addition, new technology that could result in greater operational efficiency such as our contemplated use of AI may further expose our computer systems to the risk of cybersecurity incidents.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8"/>
          <w:szCs w:val="18"/>
          <w:color w:val="auto"/>
        </w:rPr>
        <w:t>Our cybersecurity governance model, aligned with the NIST Cybersecurity Framework 2.0, provides for robust oversight from both the Board of Directors and senior management, ensuring that cybersecurity risk is managed as a critical component of our enterprise risk. As part of our overall risk management approach, we prioritize the identification and management of cybersecurity risk at several levels, which involves Board and Audit Committee oversight, senior and department executive leadership focus and commitment, and employee training. Our Audit Committee, comprised entirely of independent directors from our Board, oversees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192" w:right="358" w:bottom="1440" w:gutter="0" w:footer="0" w:header="0"/>
        </w:sectPr>
      </w:pPr>
    </w:p>
    <w:bookmarkStart w:id="42" w:name="page43"/>
    <w:bookmarkEnd w:id="42"/>
    <w:p>
      <w:pPr>
        <w:ind w:right="140"/>
        <w:spacing w:after="0" w:line="258" w:lineRule="auto"/>
        <w:rPr>
          <w:sz w:val="20"/>
          <w:szCs w:val="20"/>
          <w:color w:val="auto"/>
        </w:rPr>
      </w:pPr>
      <w:r>
        <w:rPr>
          <w:rFonts w:ascii="Times New Roman" w:cs="Times New Roman" w:eastAsia="Times New Roman" w:hAnsi="Times New Roman"/>
          <w:sz w:val="18"/>
          <w:szCs w:val="18"/>
          <w:color w:val="auto"/>
        </w:rPr>
        <w:t>Board’s responsibilities relating to the operational (including information technology (“IT”) risks, business continuity and data security) risk affairs of the Company. Our Audit Committee is informed of such risks through annual assessments, quarterly reporting and regular updates from members of the Company’s executive leadership team, cybersecurity and data privacy leadership team, as well as the Internal Audit team. The Audit Committee reports to the Board of Directors regarding its activities, including those related to cybersecurity, and may request the CISO to brief the Board of Directors on the status of cybersecurity and risk management programs, as well as relevant cyber-incidents and threats.</w:t>
      </w:r>
    </w:p>
    <w:p>
      <w:pPr>
        <w:spacing w:after="0" w:line="75"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Our Senior Vice President, Chief Information Security Officer (“CISO”), leads our cybersecurity team and has over 16 years of experience establishing and leading comprehensive cybersecurity programs. Our CISO retired from the United States Navy, where he served in various roles with increasing responsibility, most recently serving as the Director of Operations – Navy Cyber Defense Operations Command. In that role, our CISO led a team of 450 personnel overseeing networks with more than 800,000 endpoints and more than 200 IT, Cloud, Legacy, and Operational Technology networks globally. We believe that our CISO’s technical expertise and background assists us with the navigation of the extensive regulatory framework to which we are subject as a federal contractor, including the achievement of the Cybersecurity Maturity Model Certification (“CMMC”) program. We believe we are well-positioned to meet the requirements of CMMC and are preparing for certification.</w:t>
      </w:r>
    </w:p>
    <w:p>
      <w:pPr>
        <w:spacing w:after="0" w:line="81" w:lineRule="exact"/>
        <w:rPr>
          <w:sz w:val="20"/>
          <w:szCs w:val="20"/>
          <w:color w:val="auto"/>
        </w:rPr>
      </w:pPr>
    </w:p>
    <w:p>
      <w:pPr>
        <w:ind w:right="20" w:firstLine="511"/>
        <w:spacing w:after="0" w:line="282" w:lineRule="auto"/>
        <w:rPr>
          <w:sz w:val="20"/>
          <w:szCs w:val="20"/>
          <w:color w:val="auto"/>
        </w:rPr>
      </w:pPr>
      <w:r>
        <w:rPr>
          <w:rFonts w:ascii="Times New Roman" w:cs="Times New Roman" w:eastAsia="Times New Roman" w:hAnsi="Times New Roman"/>
          <w:sz w:val="18"/>
          <w:szCs w:val="18"/>
          <w:color w:val="auto"/>
        </w:rPr>
        <w:t>We also have management level committees and a cybersecurity incident team who support our processes to assess and manage cybersecurity risk as follows:</w:t>
      </w:r>
    </w:p>
    <w:p>
      <w:pPr>
        <w:spacing w:after="0" w:line="54" w:lineRule="exact"/>
        <w:rPr>
          <w:sz w:val="20"/>
          <w:szCs w:val="20"/>
          <w:color w:val="auto"/>
        </w:rPr>
      </w:pPr>
    </w:p>
    <w:p>
      <w:pPr>
        <w:ind w:left="1020" w:right="20" w:hanging="517"/>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Cross Functional Team (the “Cybersecurity CFT”), led by our CISO, brings together IT, legal, compliance and other function heads. The Cybersecurity CFT meets at least quarterly (or more frequently as needed) and provides a forum for these cross-functional members of management to: consider emerging technologies, such as artificial intelligence and emerging cybersecurity risks; review cybersecurity and privacy regulations; approve, review and update policies and standards as appropriate; and promote cross-functional collaboration to manage cybersecurity and privacy risks across the enterprise.</w:t>
      </w:r>
    </w:p>
    <w:p>
      <w:pPr>
        <w:spacing w:after="0" w:line="75" w:lineRule="exact"/>
        <w:rPr>
          <w:rFonts w:ascii="Times New Roman" w:cs="Times New Roman" w:eastAsia="Times New Roman" w:hAnsi="Times New Roman"/>
          <w:sz w:val="18"/>
          <w:szCs w:val="18"/>
          <w:color w:val="auto"/>
        </w:rPr>
      </w:pPr>
    </w:p>
    <w:p>
      <w:pPr>
        <w:ind w:left="1020" w:hanging="517"/>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Gogo Executive Cybersecurity Committee (the “GECC”) is comprised of executive leadership and members of the cybersecurity, operations, risk, legal, and internal audit teams. The GECC liaises with the Cybersecurity CFT and provides oversight of all aspects of Gogo’s cybersecurity program and, at regular intervals through the year, evaluates key cybersecurity metrics as well as planned and ongoing initiatives to reduce cybersecurity risks.</w:t>
      </w:r>
    </w:p>
    <w:p>
      <w:pPr>
        <w:spacing w:after="0" w:line="71" w:lineRule="exact"/>
        <w:rPr>
          <w:rFonts w:ascii="Times New Roman" w:cs="Times New Roman" w:eastAsia="Times New Roman" w:hAnsi="Times New Roman"/>
          <w:sz w:val="18"/>
          <w:szCs w:val="18"/>
          <w:color w:val="auto"/>
        </w:rPr>
      </w:pPr>
    </w:p>
    <w:p>
      <w:pPr>
        <w:ind w:left="1020" w:right="140" w:hanging="517"/>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Incident Response Management Team (the “IRMT”), which includes senior executives and members of our cybersecurity leadership team, was established to support our incident response plan and reports into the GECC. Members of the IRMT are alerted as appropriate to cybersecurity incidents, natural disasters and business outages. The IRMT annually assesses its communication plan to confirm that its members can be alerted quickly in the event of an actual crisis and meet as a team to discuss the event and response options. The IRMT also engages with the Company’s Board and the Audit Committee depending on the severity of the cybersecurity incident.</w:t>
      </w:r>
    </w:p>
    <w:p>
      <w:pPr>
        <w:spacing w:after="0" w:line="75" w:lineRule="exact"/>
        <w:rPr>
          <w:sz w:val="20"/>
          <w:szCs w:val="20"/>
          <w:color w:val="auto"/>
        </w:rPr>
      </w:pPr>
    </w:p>
    <w:p>
      <w:pPr>
        <w:ind w:right="360" w:firstLine="511"/>
        <w:spacing w:after="0" w:line="282" w:lineRule="auto"/>
        <w:rPr>
          <w:sz w:val="20"/>
          <w:szCs w:val="20"/>
          <w:color w:val="auto"/>
        </w:rPr>
      </w:pPr>
      <w:r>
        <w:rPr>
          <w:rFonts w:ascii="Times New Roman" w:cs="Times New Roman" w:eastAsia="Times New Roman" w:hAnsi="Times New Roman"/>
          <w:sz w:val="18"/>
          <w:szCs w:val="18"/>
          <w:color w:val="auto"/>
        </w:rPr>
        <w:t>The output of each of the foregoing committees are collected and analyzed on a regular basis and our CISO briefs the Audit Committee, through quarterly updates as well as on an ad hoc basis between regular updates to the extent needed.</w:t>
      </w:r>
    </w:p>
    <w:p>
      <w:pPr>
        <w:spacing w:after="0" w:line="54"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8"/>
          <w:szCs w:val="18"/>
          <w:color w:val="auto"/>
        </w:rPr>
        <w:t>At the employee level, we maintain an experienced IT team tasked with implementing our privacy and cybersecurity program and supporting our cybersecurity leader in carrying out reporting, security and mitigation functions. We continuously seek to promote awareness of cybersecurity risk through communication and education of our employee population, and have a mandatory training program which covers privacy and cybersecurity (including phishing tests) and records and information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8"/>
          <w:szCs w:val="18"/>
          <w:color w:val="auto"/>
        </w:rPr>
        <w:t>The Company operates from a combination of owned and leased properties. We lease our corporate headquarters office located in Broomfield, Colorado, which is used by our senior management as well as for sales, research and development, customer service and administrative purposes. The Company also leases a warehouse in Broomfield, an engineering and manufacturing facility in Ottawa, Canada, three business offices in the United States, and seven business offices internationally. The Broomfield headquarters lease expires in 2029.</w:t>
      </w:r>
    </w:p>
    <w:p>
      <w:pPr>
        <w:spacing w:after="0" w:line="72" w:lineRule="exact"/>
        <w:rPr>
          <w:sz w:val="20"/>
          <w:szCs w:val="20"/>
          <w:color w:val="auto"/>
        </w:rPr>
      </w:pPr>
    </w:p>
    <w:p>
      <w:pPr>
        <w:ind w:right="500" w:firstLine="511"/>
        <w:spacing w:after="0" w:line="282" w:lineRule="auto"/>
        <w:rPr>
          <w:sz w:val="20"/>
          <w:szCs w:val="20"/>
          <w:color w:val="auto"/>
        </w:rPr>
      </w:pPr>
      <w:r>
        <w:rPr>
          <w:rFonts w:ascii="Times New Roman" w:cs="Times New Roman" w:eastAsia="Times New Roman" w:hAnsi="Times New Roman"/>
          <w:sz w:val="18"/>
          <w:szCs w:val="18"/>
          <w:color w:val="auto"/>
        </w:rPr>
        <w:t>The Company owns and occupies two properties in Melbourne, Florida, which house a corporate facility and a data center. Both properties are currently listed for sale.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our current facilities are adequate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00" w:firstLine="511"/>
        <w:spacing w:after="0" w:line="282" w:lineRule="auto"/>
        <w:rPr>
          <w:sz w:val="20"/>
          <w:szCs w:val="20"/>
          <w:color w:val="auto"/>
        </w:rPr>
      </w:pPr>
      <w:r>
        <w:rPr>
          <w:rFonts w:ascii="Times New Roman" w:cs="Times New Roman" w:eastAsia="Times New Roman" w:hAnsi="Times New Roman"/>
          <w:sz w:val="18"/>
          <w:szCs w:val="18"/>
          <w:color w:val="auto"/>
        </w:rPr>
        <w:t>We are subject to several lawsuits arising out of the conduct of our business. See Note 17, “Commitments and Contingencies,” to our consolidated financial statements for a discussion of litigation matters.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43" w:name="page44"/>
    <w:bookmarkEnd w:id="43"/>
    <w:p>
      <w:pPr>
        <w:ind w:firstLine="511"/>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44" w:name="page45"/>
    <w:bookmarkEnd w:id="44"/>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has been listed on the NASDAQ Global Select Market (“NASDAQ”) under the symbol “GOGO” since June 21, 2013.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As of February 20, 2026, there were 25 stockholders of record of our common stock, and the closing price of our common stock was $4.39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11"/>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information regarding securities authorized for issuance.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119" w:lineRule="exact"/>
        <w:rPr>
          <w:sz w:val="20"/>
          <w:szCs w:val="20"/>
          <w:color w:val="auto"/>
        </w:rPr>
      </w:pPr>
    </w:p>
    <w:p>
      <w:pPr>
        <w:jc w:val="both"/>
        <w:ind w:firstLine="511"/>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Gogo Inc. under the Securities Act of 1933, as amended (the “Securities Act”), or the Exchange Act.</w:t>
      </w:r>
    </w:p>
    <w:p>
      <w:pPr>
        <w:spacing w:after="0" w:line="67" w:lineRule="exact"/>
        <w:rPr>
          <w:sz w:val="20"/>
          <w:szCs w:val="20"/>
          <w:color w:val="auto"/>
        </w:rPr>
      </w:pPr>
    </w:p>
    <w:p>
      <w:pPr>
        <w:jc w:val="both"/>
        <w:ind w:firstLine="511"/>
        <w:spacing w:after="0" w:line="256"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return for our common stock, the Nasdaq Composite Index (“NASDAQ Composite”) and Standard &amp; Poor’s SmallCap 600 Index (“S&amp;P SmallCap 600”) for the period from December 31, 2020 through December 31, 2025, the last trading day of 2025. The graph assumes that $100 was invested at the market close on December 31, 2020 in our common stock, the NASDAQ Composite and the S&amp;P SmallCap 600 and assumes reinvestments of dividends, if any. The S&amp;P SmallCap 600 was chosen because we do not believe we can reasonably identify an industry index or specific peer issuer that would offer a meaningful comparison. The S&amp;P SmallCap 600 represents a broad-based index of companies with similar market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capitalization. 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45720</wp:posOffset>
            </wp:positionV>
            <wp:extent cx="6172200" cy="4474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11"/>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consolidated financial statements and the related notes contained in this Annual Report on Form 10-K.</w:t>
      </w:r>
    </w:p>
    <w:p>
      <w:pPr>
        <w:spacing w:after="0" w:line="65"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this report. Our actual results may differ materially from those contained in or implied by any forward-looking statements.</w:t>
      </w:r>
    </w:p>
    <w:p>
      <w:pPr>
        <w:spacing w:after="0" w:line="72" w:lineRule="exact"/>
        <w:rPr>
          <w:sz w:val="20"/>
          <w:szCs w:val="20"/>
          <w:color w:val="auto"/>
        </w:rPr>
      </w:pPr>
    </w:p>
    <w:p>
      <w:pPr>
        <w:ind w:right="20" w:firstLine="511"/>
        <w:spacing w:after="0" w:line="284"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8"/>
          <w:szCs w:val="18"/>
          <w:color w:val="auto"/>
        </w:rPr>
        <w:t>The Company is the only multi-orbit, multi-band in-flight connectivity provider offering connectivity technology purpose-built for business and military/government aviation. We have a holistic approach of providing broadband connectivity services to our customers from small to large aircraft and heavy jets through our ATG technology and integrated LEO and GEO satellite solutions provided by multiple satellite constellations owned by our satellite network partners. We aim to deliver to our customers consistent, global tip-to-tail connectivity with a suite of software, hardware, and advanced infrastructure supported by a 24/7/365 in-person customer support team to fit their every need.</w:t>
      </w:r>
    </w:p>
    <w:p>
      <w:pPr>
        <w:spacing w:after="0" w:line="75" w:lineRule="exact"/>
        <w:rPr>
          <w:sz w:val="20"/>
          <w:szCs w:val="20"/>
          <w:color w:val="auto"/>
        </w:rPr>
      </w:pPr>
    </w:p>
    <w:p>
      <w:pPr>
        <w:ind w:right="220" w:firstLine="511"/>
        <w:spacing w:after="0" w:line="266" w:lineRule="auto"/>
        <w:rPr>
          <w:sz w:val="20"/>
          <w:szCs w:val="20"/>
          <w:color w:val="auto"/>
        </w:rPr>
      </w:pPr>
      <w:r>
        <w:rPr>
          <w:rFonts w:ascii="Times New Roman" w:cs="Times New Roman" w:eastAsia="Times New Roman" w:hAnsi="Times New Roman"/>
          <w:sz w:val="18"/>
          <w:szCs w:val="18"/>
          <w:color w:val="auto"/>
        </w:rPr>
        <w:t>Our Company’s chief operating decision maker (“CODM”), who is the Chief Executive Officer, makes resource and operating decisions by evaluating the performance and business results on a consolidated basis. As we do not have multiple segments, we do not present segment information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and military/government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8" w:lineRule="exact"/>
        <w:rPr>
          <w:sz w:val="20"/>
          <w:szCs w:val="20"/>
          <w:color w:val="auto"/>
        </w:rPr>
      </w:pPr>
    </w:p>
    <w:p>
      <w:pPr>
        <w:ind w:left="1020" w:right="420" w:hanging="517"/>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on a timely basis and costs associated with the ongoing implementation of our technology roadmap, including installation of and/or upgrades to the ATG Broadband technologies we currently offer, Gogo 5G, Gogo Galileo, LTE and any other next generation or other new technology that we develop or acquire;</w:t>
      </w:r>
    </w:p>
    <w:p>
      <w:pPr>
        <w:spacing w:after="0" w:line="67" w:lineRule="exact"/>
        <w:rPr>
          <w:rFonts w:ascii="Times New Roman" w:cs="Times New Roman" w:eastAsia="Times New Roman" w:hAnsi="Times New Roman"/>
          <w:sz w:val="18"/>
          <w:szCs w:val="18"/>
          <w:color w:val="auto"/>
        </w:rPr>
      </w:pPr>
    </w:p>
    <w:p>
      <w:pPr>
        <w:ind w:left="1020" w:right="320" w:hanging="516"/>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and technological shifts, failures or delays on the part of antenna, chipset, and other equipment developers and providers or satellite network providers, some of which are single-source;</w:t>
      </w:r>
    </w:p>
    <w:p>
      <w:pPr>
        <w:spacing w:after="0" w:line="67" w:lineRule="exact"/>
        <w:rPr>
          <w:rFonts w:ascii="Times New Roman" w:cs="Times New Roman" w:eastAsia="Times New Roman" w:hAnsi="Times New Roman"/>
          <w:sz w:val="18"/>
          <w:szCs w:val="18"/>
          <w:color w:val="auto"/>
        </w:rPr>
      </w:pPr>
    </w:p>
    <w:p>
      <w:pPr>
        <w:ind w:left="1020" w:right="740" w:hanging="516"/>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ATG network and operations as technology and user expectations change;</w:t>
      </w:r>
    </w:p>
    <w:p>
      <w:pPr>
        <w:spacing w:after="0" w:line="53"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aircraft in service in our markets, including consolidations or changes in fleet size by one or more of our large-fleet customers;</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in the aviation industry and installations of our equipment driven by, among other things, labor shortages;</w:t>
      </w:r>
    </w:p>
    <w:p>
      <w:pPr>
        <w:spacing w:after="0" w:line="117" w:lineRule="exact"/>
        <w:rPr>
          <w:rFonts w:ascii="Times New Roman" w:cs="Times New Roman" w:eastAsia="Times New Roman" w:hAnsi="Times New Roman"/>
          <w:sz w:val="18"/>
          <w:szCs w:val="18"/>
          <w:color w:val="auto"/>
        </w:rPr>
      </w:pPr>
    </w:p>
    <w:p>
      <w:pPr>
        <w:ind w:left="1020" w:right="520" w:hanging="516"/>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6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w:t>
      </w:r>
    </w:p>
    <w:p>
      <w:pPr>
        <w:spacing w:after="0" w:line="117" w:lineRule="exact"/>
        <w:rPr>
          <w:rFonts w:ascii="Times New Roman" w:cs="Times New Roman" w:eastAsia="Times New Roman" w:hAnsi="Times New Roman"/>
          <w:sz w:val="18"/>
          <w:szCs w:val="18"/>
          <w:color w:val="auto"/>
        </w:rPr>
      </w:pPr>
    </w:p>
    <w:p>
      <w:pPr>
        <w:ind w:left="1020" w:right="640" w:hanging="516"/>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policies and interpretations affecting our business, the business of our customers and suppliers globally, including changes that impact the design of our equipment and our ability to obtain required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976" w:right="338" w:bottom="1440" w:gutter="0" w:footer="0" w:header="0"/>
        </w:sectPr>
      </w:pPr>
    </w:p>
    <w:bookmarkStart w:id="47" w:name="page48"/>
    <w:bookmarkEnd w:id="47"/>
    <w:p>
      <w:pPr>
        <w:ind w:left="1020" w:right="120"/>
        <w:spacing w:after="0" w:line="289" w:lineRule="auto"/>
        <w:rPr>
          <w:sz w:val="20"/>
          <w:szCs w:val="20"/>
          <w:color w:val="auto"/>
        </w:rPr>
      </w:pPr>
      <w:r>
        <w:rPr>
          <w:rFonts w:ascii="Times New Roman" w:cs="Times New Roman" w:eastAsia="Times New Roman" w:hAnsi="Times New Roman"/>
          <w:sz w:val="17"/>
          <w:szCs w:val="17"/>
          <w:color w:val="auto"/>
        </w:rPr>
        <w:t>certifications for our equipment and services, and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and Gogo 5G, and expand our service offerings and manage our network; and</w:t>
      </w:r>
    </w:p>
    <w:p>
      <w:pPr>
        <w:spacing w:after="0" w:line="50" w:lineRule="exact"/>
        <w:rPr>
          <w:sz w:val="20"/>
          <w:szCs w:val="20"/>
          <w:color w:val="auto"/>
        </w:rPr>
      </w:pPr>
    </w:p>
    <w:p>
      <w:pPr>
        <w:ind w:left="1020" w:right="100" w:hanging="516"/>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and proposals for, trade protection measures by the United States as well as other countries (including United States “reciprocal” tariffs that began in April 2025), including increases or changes in tariffs and trade barriers, changes in government policies and international trade arrangements, geopolitical volatility, and global macroeconomic conditions, or uncertainty regarding the impact of proposed or future trade protection measures, may affect our results of operations in some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20" w:firstLine="511"/>
        <w:spacing w:after="0" w:line="266"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 Certain of these business metrics may be added, removed or updated from time to time as our business evolves.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ATG aircraft online (at period end)</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AVANCE</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19"/>
                <w:szCs w:val="19"/>
                <w:color w:val="auto"/>
              </w:rPr>
            </w:pPr>
          </w:p>
        </w:tc>
      </w:tr>
      <w:tr>
        <w:trPr>
          <w:trHeight w:val="229"/>
        </w:trPr>
        <w:tc>
          <w:tcPr>
            <w:tcW w:w="5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Gogo Biz</w:t>
            </w:r>
          </w:p>
        </w:tc>
        <w:tc>
          <w:tcPr>
            <w:tcW w:w="5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ATG</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GEO aircraft online</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Gogo Galileo aircraft online</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monthly connectivity service revenue per ATG aircraft online</w:t>
            </w:r>
          </w:p>
        </w:tc>
        <w:tc>
          <w:tcPr>
            <w:tcW w:w="14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FF0FC"/>
          </w:tcPr>
          <w:p>
            <w:pPr>
              <w:spacing w:after="0"/>
              <w:rPr>
                <w:sz w:val="19"/>
                <w:szCs w:val="19"/>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ATG units sold</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-739775</wp:posOffset>
            </wp:positionV>
            <wp:extent cx="7747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-739775</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-739775</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82550</wp:posOffset>
            </wp:positionV>
            <wp:extent cx="21170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44" w:lineRule="exact"/>
        <w:rPr>
          <w:sz w:val="20"/>
          <w:szCs w:val="20"/>
          <w:color w:val="auto"/>
        </w:rPr>
      </w:pPr>
    </w:p>
    <w:p>
      <w:pPr>
        <w:ind w:left="1020" w:right="120" w:hanging="516"/>
        <w:spacing w:after="0" w:line="28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AVANCE aircraft online. </w:t>
      </w:r>
      <w:r>
        <w:rPr>
          <w:rFonts w:ascii="Times New Roman" w:cs="Times New Roman" w:eastAsia="Times New Roman" w:hAnsi="Times New Roman"/>
          <w:sz w:val="18"/>
          <w:szCs w:val="18"/>
          <w:color w:val="auto"/>
        </w:rPr>
        <w:t>We define AVANCE aircraft online as the total number of business aircraft equipped with our AVANCE L5 or L3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for which we provide ATG services in the last month of the period presented.</w:t>
      </w:r>
    </w:p>
    <w:p>
      <w:pPr>
        <w:spacing w:after="0" w:line="50" w:lineRule="exact"/>
        <w:rPr>
          <w:rFonts w:ascii="Times New Roman" w:cs="Times New Roman" w:eastAsia="Times New Roman" w:hAnsi="Times New Roman"/>
          <w:sz w:val="18"/>
          <w:szCs w:val="18"/>
          <w:color w:val="auto"/>
        </w:rPr>
      </w:pPr>
    </w:p>
    <w:p>
      <w:pPr>
        <w:jc w:val="both"/>
        <w:ind w:left="1020" w:right="120" w:hanging="516"/>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Gogo Biz aircraft online. </w:t>
      </w:r>
      <w:r>
        <w:rPr>
          <w:rFonts w:ascii="Times New Roman" w:cs="Times New Roman" w:eastAsia="Times New Roman" w:hAnsi="Times New Roman"/>
          <w:sz w:val="18"/>
          <w:szCs w:val="18"/>
          <w:color w:val="auto"/>
        </w:rPr>
        <w:t>We define Gogo Biz aircraft online as the total number of business aircraft not equipped with our AVANCE L5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L3 system for which we provide ATG services in the last month of the period presented. This number excludes commercial aircraft operated by Intelsat’s airline customers receiving ATG service.</w:t>
      </w:r>
    </w:p>
    <w:p>
      <w:pPr>
        <w:spacing w:after="0" w:line="65" w:lineRule="exact"/>
        <w:rPr>
          <w:rFonts w:ascii="Times New Roman" w:cs="Times New Roman" w:eastAsia="Times New Roman" w:hAnsi="Times New Roman"/>
          <w:sz w:val="18"/>
          <w:szCs w:val="18"/>
          <w:color w:val="auto"/>
        </w:rPr>
      </w:pPr>
    </w:p>
    <w:p>
      <w:pPr>
        <w:ind w:left="1020" w:right="20" w:hanging="517"/>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GEO aircraft online</w:t>
      </w:r>
      <w:r>
        <w:rPr>
          <w:rFonts w:ascii="Times New Roman" w:cs="Times New Roman" w:eastAsia="Times New Roman" w:hAnsi="Times New Roman"/>
          <w:sz w:val="18"/>
          <w:szCs w:val="18"/>
          <w:color w:val="auto"/>
        </w:rPr>
        <w:t>. We define GEO aircraft online as the total number of aircraft for which we provide GEO broadband services to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aviation customers as of the last day of each period presented. This number excludes aircraft receiving services through GEO satellite networks that are end-of-life and military/government GEO aircraft online.</w:t>
      </w:r>
    </w:p>
    <w:p>
      <w:pPr>
        <w:spacing w:after="0" w:line="65" w:lineRule="exact"/>
        <w:rPr>
          <w:rFonts w:ascii="Times New Roman" w:cs="Times New Roman" w:eastAsia="Times New Roman" w:hAnsi="Times New Roman"/>
          <w:sz w:val="18"/>
          <w:szCs w:val="18"/>
          <w:color w:val="auto"/>
        </w:rPr>
      </w:pPr>
    </w:p>
    <w:p>
      <w:pPr>
        <w:ind w:left="1020" w:right="80" w:hanging="517"/>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Gogo Galileo aircraft online</w:t>
      </w:r>
      <w:r>
        <w:rPr>
          <w:rFonts w:ascii="Times New Roman" w:cs="Times New Roman" w:eastAsia="Times New Roman" w:hAnsi="Times New Roman"/>
          <w:sz w:val="18"/>
          <w:szCs w:val="18"/>
          <w:color w:val="auto"/>
        </w:rPr>
        <w:t>. We define Gogo Galileo aircraft online as the total number of aircraft for which we provide Gogo Galileo LEO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broadband services in the last month of the period presented. This number excludes military/government Gogo Galileo aircraft online. This metric was not presented prior to the fiscal year ended December 31, 2025, as Gogo Galileo was only first deployed in that year.</w:t>
      </w:r>
    </w:p>
    <w:p>
      <w:pPr>
        <w:spacing w:after="0" w:line="65" w:lineRule="exact"/>
        <w:rPr>
          <w:rFonts w:ascii="Times New Roman" w:cs="Times New Roman" w:eastAsia="Times New Roman" w:hAnsi="Times New Roman"/>
          <w:sz w:val="18"/>
          <w:szCs w:val="18"/>
          <w:color w:val="auto"/>
        </w:rPr>
      </w:pPr>
    </w:p>
    <w:p>
      <w:pPr>
        <w:ind w:left="1020" w:right="40" w:hanging="516"/>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(“ARPU”). </w:t>
      </w:r>
      <w:r>
        <w:rPr>
          <w:rFonts w:ascii="Times New Roman" w:cs="Times New Roman" w:eastAsia="Times New Roman" w:hAnsi="Times New Roman"/>
          <w:sz w:val="18"/>
          <w:szCs w:val="18"/>
          <w:color w:val="auto"/>
        </w:rPr>
        <w:t>We define ARPU as the aggregate ATG connectivity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spacing w:after="0" w:line="71"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ATG units sold</w:t>
      </w:r>
      <w:r>
        <w:rPr>
          <w:rFonts w:ascii="Times New Roman" w:cs="Times New Roman" w:eastAsia="Times New Roman" w:hAnsi="Times New Roman"/>
          <w:sz w:val="18"/>
          <w:szCs w:val="18"/>
          <w:color w:val="auto"/>
        </w:rPr>
        <w:t>. We define units sold as the number of ATG units for which we recognized revenue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briefly describes certain key components of revenue and expenses as presented in our consolidated statements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generate two types of revenue: service revenue and equipment revenue. The Company has three main connectivity solutions, each with its own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solution: Satellite Broadband, ATG Broadband and Narrowband.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48" w:name="page49"/>
    <w:bookmarkEnd w:id="48"/>
    <w:p>
      <w:pPr>
        <w:ind w:right="260" w:firstLine="511"/>
        <w:spacing w:after="0" w:line="282" w:lineRule="auto"/>
        <w:rPr>
          <w:sz w:val="20"/>
          <w:szCs w:val="20"/>
          <w:color w:val="auto"/>
        </w:rPr>
      </w:pPr>
      <w:r>
        <w:rPr>
          <w:rFonts w:ascii="Times New Roman" w:cs="Times New Roman" w:eastAsia="Times New Roman" w:hAnsi="Times New Roman"/>
          <w:sz w:val="18"/>
          <w:szCs w:val="18"/>
          <w:color w:val="auto"/>
        </w:rPr>
        <w:t>Service revenue primarily consists of subscription and usage fees paid by aircraft owners and operators for telecommunication, data, and in-flight entertainment services. Service revenue is recognized as the services which are provided to the customer.</w:t>
      </w:r>
    </w:p>
    <w:p>
      <w:pPr>
        <w:spacing w:after="0" w:line="54" w:lineRule="exact"/>
        <w:rPr>
          <w:sz w:val="20"/>
          <w:szCs w:val="20"/>
          <w:color w:val="auto"/>
        </w:rPr>
      </w:pPr>
    </w:p>
    <w:p>
      <w:pPr>
        <w:ind w:right="120" w:firstLine="511"/>
        <w:spacing w:after="0" w:line="282" w:lineRule="auto"/>
        <w:rPr>
          <w:sz w:val="20"/>
          <w:szCs w:val="20"/>
          <w:color w:val="auto"/>
        </w:rPr>
      </w:pPr>
      <w:r>
        <w:rPr>
          <w:rFonts w:ascii="Times New Roman" w:cs="Times New Roman" w:eastAsia="Times New Roman" w:hAnsi="Times New Roman"/>
          <w:sz w:val="18"/>
          <w:szCs w:val="18"/>
          <w:color w:val="auto"/>
        </w:rPr>
        <w:t>Equipment revenue primarily consists of proceeds from the sale of ATG and satellite connectivity equipment and is recognized when control of the equipment is transferred to the customer, which generally occurs when the equipment is shipped.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9" w:lineRule="exact"/>
        <w:rPr>
          <w:sz w:val="20"/>
          <w:szCs w:val="20"/>
          <w:color w:val="auto"/>
        </w:rPr>
      </w:pPr>
    </w:p>
    <w:p>
      <w:pPr>
        <w:ind w:right="540" w:firstLine="511"/>
        <w:spacing w:after="0" w:line="282" w:lineRule="auto"/>
        <w:rPr>
          <w:sz w:val="20"/>
          <w:szCs w:val="20"/>
          <w:color w:val="auto"/>
        </w:rPr>
      </w:pPr>
      <w:r>
        <w:rPr>
          <w:rFonts w:ascii="Times New Roman" w:cs="Times New Roman" w:eastAsia="Times New Roman" w:hAnsi="Times New Roman"/>
          <w:sz w:val="18"/>
          <w:szCs w:val="18"/>
          <w:color w:val="auto"/>
        </w:rPr>
        <w:t>Cost of service revenue consists of ATG network costs, satellite network provider service costs, transaction costs and costs related to network operations.</w:t>
      </w:r>
    </w:p>
    <w:p>
      <w:pPr>
        <w:spacing w:after="0" w:line="54" w:lineRule="exact"/>
        <w:rPr>
          <w:sz w:val="20"/>
          <w:szCs w:val="20"/>
          <w:color w:val="auto"/>
        </w:rPr>
      </w:pPr>
    </w:p>
    <w:p>
      <w:pPr>
        <w:ind w:right="700" w:firstLine="511"/>
        <w:spacing w:after="0" w:line="282" w:lineRule="auto"/>
        <w:rPr>
          <w:sz w:val="20"/>
          <w:szCs w:val="20"/>
          <w:color w:val="auto"/>
        </w:rPr>
      </w:pPr>
      <w:r>
        <w:rPr>
          <w:rFonts w:ascii="Times New Roman" w:cs="Times New Roman" w:eastAsia="Times New Roman" w:hAnsi="Times New Roman"/>
          <w:sz w:val="18"/>
          <w:szCs w:val="18"/>
          <w:color w:val="auto"/>
        </w:rPr>
        <w:t>Cost of equipment revenue primarily consists of the costs of purchasing component parts used in the manufacture of our equipment and the production, installation, technical support and quality assurance costs associated with the equipment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Design and Development Expenses:</w:t>
      </w:r>
    </w:p>
    <w:p>
      <w:pPr>
        <w:spacing w:after="0" w:line="119" w:lineRule="exact"/>
        <w:rPr>
          <w:sz w:val="20"/>
          <w:szCs w:val="20"/>
          <w:color w:val="auto"/>
        </w:rPr>
      </w:pPr>
    </w:p>
    <w:p>
      <w:pPr>
        <w:ind w:right="60" w:firstLine="511"/>
        <w:spacing w:after="0" w:line="261" w:lineRule="auto"/>
        <w:rPr>
          <w:sz w:val="20"/>
          <w:szCs w:val="20"/>
          <w:color w:val="auto"/>
        </w:rPr>
      </w:pPr>
      <w:r>
        <w:rPr>
          <w:rFonts w:ascii="Times New Roman" w:cs="Times New Roman" w:eastAsia="Times New Roman" w:hAnsi="Times New Roman"/>
          <w:sz w:val="18"/>
          <w:szCs w:val="18"/>
          <w:color w:val="auto"/>
        </w:rPr>
        <w:t>Engineering, design and development expenses include the costs incurred to design and develop our technologies and products. This includes the design, development and integration of our ATG Broadband and satellite network technologies, the design and development of products and enhancements thereto, and program management activities. Engineering, design and development expenses also include costs associated with enhancements to existing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220" w:firstLine="511"/>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costs associated with activities related to customer sales (including sales commissions), digital marketing and lead generation, advertising and promotions, product management, trade shows and customer service support for end users.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740" w:firstLine="51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personnel and related operating costs of the business support functions, including finance and accounting, legal, human resources, administrative, information technology and cybersecurity, facilities and executive groups.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80" w:firstLine="511"/>
        <w:spacing w:after="0" w:line="266" w:lineRule="auto"/>
        <w:rPr>
          <w:sz w:val="20"/>
          <w:szCs w:val="20"/>
          <w:color w:val="auto"/>
        </w:rPr>
      </w:pPr>
      <w:r>
        <w:rPr>
          <w:rFonts w:ascii="Times New Roman" w:cs="Times New Roman" w:eastAsia="Times New Roman" w:hAnsi="Times New Roman"/>
          <w:sz w:val="18"/>
          <w:szCs w:val="18"/>
          <w:color w:val="auto"/>
        </w:rPr>
        <w:t>Depreciation expenses include expenses associated with the depreciation of our network equipment, buildings, office equipment and furniture, fixtures and leasehold improvements, which are recorded over their estimated useful lives. Amortization expense includes the amortization of our finite-lived intangible assets on a straight-line basis over their estimated useful lives.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of America (“GAAP”). The preparation of our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81" w:lineRule="exact"/>
        <w:rPr>
          <w:sz w:val="20"/>
          <w:szCs w:val="20"/>
          <w:color w:val="auto"/>
        </w:rPr>
      </w:pPr>
    </w:p>
    <w:p>
      <w:pPr>
        <w:ind w:right="40" w:firstLine="511"/>
        <w:spacing w:after="0" w:line="261"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goodwill impairment analysis and the fair value of the earnout liability associated with the Transaction have the greatest potential impact on and are the most critical to fully understanding and evaluating our reported financial results, and that they require our most difficult, subjective or complex judgments. For a discussion of our significant accounting policies to which many of these estimates relate, see Note 1, “Summary of Significant Accounting Policies,” to our consolidated financial statements.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119"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We assess goodwill for impairment on an annual basis as of October 1st of each year or more often if deemed necessary. To determine whether goodwill is impaired, we are required to assess the fair value of the reporting unit and compare it to the carrying value of goodwill. We have one reportable segment which is also our only operating segment and reporting unit. We assess qualitative and quantitative factors to determine the likelihood of impairment.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49" w:name="page50"/>
    <w:bookmarkEnd w:id="49"/>
    <w:p>
      <w:pPr>
        <w:ind w:right="40" w:firstLine="511"/>
        <w:spacing w:after="0" w:line="261" w:lineRule="auto"/>
        <w:rPr>
          <w:sz w:val="20"/>
          <w:szCs w:val="20"/>
          <w:color w:val="auto"/>
        </w:rPr>
      </w:pPr>
      <w:r>
        <w:rPr>
          <w:rFonts w:ascii="Times New Roman" w:cs="Times New Roman" w:eastAsia="Times New Roman" w:hAnsi="Times New Roman"/>
          <w:sz w:val="18"/>
          <w:szCs w:val="18"/>
          <w:color w:val="auto"/>
        </w:rPr>
        <w:t>Our qualitative analysis includes, but is not limited to, assessing the changes in macroeconomic conditions, regulatory environment, industry and market conditions, financial performance versus budget and any other events or circumstances specific to the reporting unit. If it is more likely than not that the fair value of the reporting unit is greater than the carrying value of goodwill, no further testing is required. If our qualitative analysis indicates more testing is required, or if we elect not to perform a qualitative analysis, we will apply the quantitative impairment test method.</w:t>
      </w:r>
    </w:p>
    <w:p>
      <w:pPr>
        <w:spacing w:after="0" w:line="72"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Our quantitative impairment assessment considers both the market and income approaches to estimate fair value. The market approach estimates fair value using financial multiples of comparable companies. The income approach estimates fair value based upon projections of future revenues, expenses, and cash flows discounted to their respective present values.</w:t>
      </w:r>
    </w:p>
    <w:p>
      <w:pPr>
        <w:spacing w:after="0" w:line="68" w:lineRule="exact"/>
        <w:rPr>
          <w:sz w:val="20"/>
          <w:szCs w:val="20"/>
          <w:color w:val="auto"/>
        </w:rPr>
      </w:pPr>
    </w:p>
    <w:p>
      <w:pPr>
        <w:ind w:right="460" w:firstLine="511"/>
        <w:spacing w:after="0" w:line="266" w:lineRule="auto"/>
        <w:rPr>
          <w:sz w:val="20"/>
          <w:szCs w:val="20"/>
          <w:color w:val="auto"/>
        </w:rPr>
      </w:pPr>
      <w:r>
        <w:rPr>
          <w:rFonts w:ascii="Times New Roman" w:cs="Times New Roman" w:eastAsia="Times New Roman" w:hAnsi="Times New Roman"/>
          <w:sz w:val="18"/>
          <w:szCs w:val="18"/>
          <w:color w:val="auto"/>
        </w:rPr>
        <w:t>We make significant estimates and assumptions to determine the fair value of the reporting unit. Critical estimates in valuing the reporting unit include, but are not limited to forecasted revenue growth rates, forecasted earnings before income taxes, depreciation and amortization (“EBITDA”) margins, the discount rate, long-term growth rate, and the selection of financial multiples of comparable companies.</w:t>
      </w:r>
    </w:p>
    <w:p>
      <w:pPr>
        <w:spacing w:after="0" w:line="68"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For 2025, the Company engaged a third-party valuation advisor to assist in estimating the fair value of the reporting unit, including the selection of valuation methodologies. Our estimates are based on assumptions the Company believes to be reasonable and are inherently uncertain. Any material changes in these assumptions could result in significant fluctuations in the fair value of the reporting unit, potentially affecting future impairment assessments. Such adverse impacts may be material. We completed our annual goodwill impairment assessment for 2025 and determined that the fair value of the reporting unit exceeded its carrying value, indicating no impairment.</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Fair Value - Earnout Liability</w:t>
      </w:r>
    </w:p>
    <w:p>
      <w:pPr>
        <w:spacing w:after="0" w:line="119"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a portion of the purchase consideration consists of contingent consideration payable based on the achievement of specified performance targets. The contingent consideration is recorded at fair value on the acquisition date and is remeasured at fair value as of the balance sheet date, with changes in fair value recognized in earnings.</w:t>
      </w:r>
    </w:p>
    <w:p>
      <w:pPr>
        <w:spacing w:after="0" w:line="68" w:lineRule="exact"/>
        <w:rPr>
          <w:sz w:val="20"/>
          <w:szCs w:val="20"/>
          <w:color w:val="auto"/>
        </w:rPr>
      </w:pPr>
    </w:p>
    <w:p>
      <w:pPr>
        <w:ind w:right="120" w:firstLine="511"/>
        <w:spacing w:after="0" w:line="266" w:lineRule="auto"/>
        <w:rPr>
          <w:sz w:val="20"/>
          <w:szCs w:val="20"/>
          <w:color w:val="auto"/>
        </w:rPr>
      </w:pPr>
      <w:r>
        <w:rPr>
          <w:rFonts w:ascii="Times New Roman" w:cs="Times New Roman" w:eastAsia="Times New Roman" w:hAnsi="Times New Roman"/>
          <w:sz w:val="18"/>
          <w:szCs w:val="18"/>
          <w:color w:val="auto"/>
        </w:rPr>
        <w:t>The fair value of the earnout liability is determined using a Monte Carlo simulation model to estimate the range of potential outcomes and the likelihood of achieving the applicable performance targets. This valuation technique requires the Company to make significant estimates and assumptions, including projected future gross profit of Satcom Direct, and the selection of an appropriate risk-adjusted discount rate.</w:t>
      </w:r>
    </w:p>
    <w:p>
      <w:pPr>
        <w:spacing w:after="0" w:line="68" w:lineRule="exact"/>
        <w:rPr>
          <w:sz w:val="20"/>
          <w:szCs w:val="20"/>
          <w:color w:val="auto"/>
        </w:rPr>
      </w:pPr>
    </w:p>
    <w:p>
      <w:pPr>
        <w:ind w:right="280" w:firstLine="511"/>
        <w:spacing w:after="0" w:line="266" w:lineRule="auto"/>
        <w:rPr>
          <w:sz w:val="20"/>
          <w:szCs w:val="20"/>
          <w:color w:val="auto"/>
        </w:rPr>
      </w:pPr>
      <w:r>
        <w:rPr>
          <w:rFonts w:ascii="Times New Roman" w:cs="Times New Roman" w:eastAsia="Times New Roman" w:hAnsi="Times New Roman"/>
          <w:sz w:val="18"/>
          <w:szCs w:val="18"/>
          <w:color w:val="auto"/>
        </w:rPr>
        <w:t>In developing the forecasted gross profit projections, management considers historical performance, including aircraft retention rates, contractual arrangements, and anticipated market and economic conditions. These projections are inherently uncertain and are sensitive to changes in business performance, market conditions, and other factors that may affect future operating results.</w:t>
      </w:r>
    </w:p>
    <w:p>
      <w:pPr>
        <w:spacing w:after="0" w:line="68" w:lineRule="exact"/>
        <w:rPr>
          <w:sz w:val="20"/>
          <w:szCs w:val="20"/>
          <w:color w:val="auto"/>
        </w:rPr>
      </w:pPr>
    </w:p>
    <w:p>
      <w:pPr>
        <w:ind w:firstLine="511"/>
        <w:spacing w:after="0" w:line="266" w:lineRule="auto"/>
        <w:rPr>
          <w:sz w:val="20"/>
          <w:szCs w:val="20"/>
          <w:color w:val="auto"/>
        </w:rPr>
      </w:pPr>
      <w:r>
        <w:rPr>
          <w:rFonts w:ascii="Times New Roman" w:cs="Times New Roman" w:eastAsia="Times New Roman" w:hAnsi="Times New Roman"/>
          <w:sz w:val="18"/>
          <w:szCs w:val="18"/>
          <w:color w:val="auto"/>
        </w:rPr>
        <w:t>The discount rate used in the valuation reflects the time value of money and the risks associated with achieving the projected results and realizing the contingent payments. The Company evaluates the reasonableness of the discount rate and other key assumptions, including by considering observable market data, industry conditions, and company-specific risk factors.</w:t>
      </w:r>
    </w:p>
    <w:p>
      <w:pPr>
        <w:spacing w:after="0" w:line="68" w:lineRule="exact"/>
        <w:rPr>
          <w:sz w:val="20"/>
          <w:szCs w:val="20"/>
          <w:color w:val="auto"/>
        </w:rPr>
      </w:pPr>
    </w:p>
    <w:p>
      <w:pPr>
        <w:ind w:firstLine="511"/>
        <w:spacing w:after="0" w:line="258" w:lineRule="auto"/>
        <w:rPr>
          <w:sz w:val="20"/>
          <w:szCs w:val="20"/>
          <w:color w:val="auto"/>
        </w:rPr>
      </w:pPr>
      <w:r>
        <w:rPr>
          <w:rFonts w:ascii="Times New Roman" w:cs="Times New Roman" w:eastAsia="Times New Roman" w:hAnsi="Times New Roman"/>
          <w:sz w:val="18"/>
          <w:szCs w:val="18"/>
          <w:color w:val="auto"/>
        </w:rPr>
        <w:t>For 2025, the Company engaged a third-party valuation advisor to assist in estimating the fair value of the earnout liability, including the selection of valuation methodologies and key assumptions. The Company believes the assumptions used in the valuation are reasonable, however, these estimates are inherently uncertain and actual results may differ from those assumed in the valuation model. Changes in forecasted gross profit, discount rates, or other significant assumptions could result in material adjustments to the fair value of the earnout liability in future periods, and such adjustments could be material to the Company’s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1, “Summary of Significant Accounting Policies,” to our consolidated financial statements for additional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0"/>
          </w:cols>
          <w:pgMar w:left="340" w:top="1088" w:right="338"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presented, certain data from our consolidated statements of operations. The information contained in the table below should be read in conjunction with our consolidated financial statements and related notes. The acquisition of Satcom Direct was completed in the fourth quarter of 2024, and as a result, its results of operations are not reflected in our financial statements prior to such date.</w:t>
      </w:r>
    </w:p>
    <w:p>
      <w:pPr>
        <w:spacing w:after="0" w:line="28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8"/>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16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774,393</w:t>
            </w:r>
          </w:p>
        </w:tc>
        <w:tc>
          <w:tcPr>
            <w:tcW w:w="180" w:type="dxa"/>
            <w:vAlign w:val="bottom"/>
          </w:tcPr>
          <w:p>
            <w:pPr>
              <w:spacing w:after="0"/>
              <w:rPr>
                <w:sz w:val="19"/>
                <w:szCs w:val="19"/>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364,270</w:t>
            </w:r>
          </w:p>
        </w:tc>
        <w:tc>
          <w:tcPr>
            <w:tcW w:w="180" w:type="dxa"/>
            <w:vAlign w:val="bottom"/>
          </w:tcPr>
          <w:p>
            <w:pPr>
              <w:spacing w:after="0"/>
              <w:rPr>
                <w:sz w:val="19"/>
                <w:szCs w:val="19"/>
                <w:color w:val="auto"/>
              </w:rPr>
            </w:pPr>
          </w:p>
        </w:tc>
        <w:tc>
          <w:tcPr>
            <w:tcW w:w="5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318,015</w:t>
            </w:r>
          </w:p>
        </w:tc>
        <w:tc>
          <w:tcPr>
            <w:tcW w:w="100" w:type="dxa"/>
            <w:vAlign w:val="bottom"/>
          </w:tcPr>
          <w:p>
            <w:pPr>
              <w:spacing w:after="0"/>
              <w:rPr>
                <w:sz w:val="19"/>
                <w:szCs w:val="19"/>
                <w:color w:val="auto"/>
              </w:rPr>
            </w:pPr>
          </w:p>
        </w:tc>
      </w:tr>
      <w:tr>
        <w:trPr>
          <w:trHeight w:val="229"/>
        </w:trPr>
        <w:tc>
          <w:tcPr>
            <w:tcW w:w="5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Equipment revenue</w:t>
            </w:r>
          </w:p>
        </w:tc>
        <w:tc>
          <w:tcPr>
            <w:tcW w:w="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136,098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80,439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910,491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397,577</w:t>
            </w:r>
          </w:p>
        </w:tc>
        <w:tc>
          <w:tcPr>
            <w:tcW w:w="100" w:type="dxa"/>
            <w:vAlign w:val="bottom"/>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 (exclusive of items shown below)</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372,728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69,568</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equipment revenue (exclusive of items shown below)</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134,676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36,683</w:t>
            </w:r>
          </w:p>
        </w:tc>
        <w:tc>
          <w:tcPr>
            <w:tcW w:w="100" w:type="dxa"/>
            <w:vAlign w:val="bottom"/>
          </w:tcPr>
          <w:p>
            <w:pPr>
              <w:spacing w:after="0"/>
              <w:rPr>
                <w:sz w:val="19"/>
                <w:szCs w:val="19"/>
                <w:color w:val="auto"/>
              </w:rPr>
            </w:pPr>
          </w:p>
        </w:tc>
      </w:tr>
      <w:tr>
        <w:trPr>
          <w:trHeight w:val="216"/>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29,797</w:t>
            </w:r>
          </w:p>
        </w:tc>
        <w:tc>
          <w:tcPr>
            <w:tcW w:w="100" w:type="dxa"/>
            <w:vAlign w:val="bottom"/>
            <w:shd w:val="clear" w:color="auto" w:fill="CFF0FC"/>
          </w:tcPr>
          <w:p>
            <w:pPr>
              <w:spacing w:after="0"/>
              <w:rPr>
                <w:sz w:val="18"/>
                <w:szCs w:val="18"/>
                <w:color w:val="auto"/>
              </w:rPr>
            </w:pPr>
          </w:p>
        </w:tc>
      </w:tr>
      <w:tr>
        <w:trPr>
          <w:trHeight w:val="22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116,741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57,280</w:t>
            </w:r>
          </w:p>
        </w:tc>
        <w:tc>
          <w:tcPr>
            <w:tcW w:w="100" w:type="dxa"/>
            <w:vAlign w:val="bottom"/>
          </w:tcPr>
          <w:p>
            <w:pPr>
              <w:spacing w:after="0"/>
              <w:rPr>
                <w:sz w:val="19"/>
                <w:szCs w:val="19"/>
                <w:color w:val="auto"/>
              </w:rPr>
            </w:pPr>
          </w:p>
        </w:tc>
      </w:tr>
      <w:tr>
        <w:trPr>
          <w:trHeight w:val="230"/>
        </w:trPr>
        <w:tc>
          <w:tcPr>
            <w:tcW w:w="5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796,408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273,412</w:t>
            </w:r>
          </w:p>
        </w:tc>
        <w:tc>
          <w:tcPr>
            <w:tcW w:w="100" w:type="dxa"/>
            <w:vAlign w:val="bottom"/>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114,083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(7,403)</w:t>
            </w:r>
          </w:p>
        </w:tc>
      </w:tr>
      <w:tr>
        <w:trPr>
          <w:trHeight w:val="22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(1,315)</w:t>
            </w:r>
          </w:p>
        </w:tc>
      </w:tr>
      <w:tr>
        <w:trPr>
          <w:trHeight w:val="223"/>
        </w:trPr>
        <w:tc>
          <w:tcPr>
            <w:tcW w:w="5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700" w:type="dxa"/>
            <w:vAlign w:val="bottom"/>
            <w:tcBorders>
              <w:top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Borders>
              <w:top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97,603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(48,075)</w:t>
            </w:r>
          </w:p>
        </w:tc>
      </w:tr>
      <w:tr>
        <w:trPr>
          <w:trHeight w:val="26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-2999740</wp:posOffset>
            </wp:positionV>
            <wp:extent cx="685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-2999740</wp:posOffset>
            </wp:positionV>
            <wp:extent cx="6858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-2999740</wp:posOffset>
            </wp:positionV>
            <wp:extent cx="685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-1824990</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-1824990</wp:posOffset>
            </wp:positionV>
            <wp:extent cx="685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-1824990</wp:posOffset>
            </wp:positionV>
            <wp:extent cx="6858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-1516380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-1516380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-1516380</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-633730</wp:posOffset>
            </wp:positionV>
            <wp:extent cx="685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-633730</wp:posOffset>
            </wp:positionV>
            <wp:extent cx="685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-633730</wp:posOffset>
            </wp:positionV>
            <wp:extent cx="6858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Below is a discussion of changes in the results in operations for the years ended 2025 and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Revenue and percent change for the years ended December 31, 2025 and 2024 were as follows </w:t>
      </w:r>
      <w:r>
        <w:rPr>
          <w:rFonts w:ascii="Times New Roman" w:cs="Times New Roman" w:eastAsia="Times New Roman" w:hAnsi="Times New Roman"/>
          <w:sz w:val="18"/>
          <w:szCs w:val="18"/>
          <w:i w:val="1"/>
          <w:iCs w:val="1"/>
          <w:color w:val="auto"/>
        </w:rPr>
        <w:t>(in thousands, except for percent change)</w:t>
      </w:r>
      <w:r>
        <w:rPr>
          <w:rFonts w:ascii="Times New Roman" w:cs="Times New Roman" w:eastAsia="Times New Roman" w:hAnsi="Times New Roman"/>
          <w:sz w:val="18"/>
          <w:szCs w:val="18"/>
          <w:color w:val="auto"/>
        </w:rPr>
        <w:t>:</w:t>
      </w:r>
    </w:p>
    <w:p>
      <w:pPr>
        <w:spacing w:after="0" w:line="48"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3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over 2024</w:t>
            </w:r>
          </w:p>
        </w:tc>
        <w:tc>
          <w:tcPr>
            <w:tcW w:w="160" w:type="dxa"/>
            <w:vAlign w:val="bottom"/>
          </w:tcPr>
          <w:p>
            <w:pPr>
              <w:spacing w:after="0"/>
              <w:rPr>
                <w:sz w:val="19"/>
                <w:szCs w:val="19"/>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774,393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364,270</w:t>
            </w: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Equipment revenue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80,439</w:t>
            </w:r>
          </w:p>
        </w:tc>
        <w:tc>
          <w:tcPr>
            <w:tcW w:w="1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r>
      <w:tr>
        <w:trPr>
          <w:trHeight w:val="20"/>
        </w:trPr>
        <w:tc>
          <w:tcPr>
            <w:tcW w:w="3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910,491</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444,709</w:t>
            </w: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104.7%</w:t>
            </w: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-24765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-8255</wp:posOffset>
            </wp:positionV>
            <wp:extent cx="51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-24765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-8255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5979160</wp:posOffset>
            </wp:positionH>
            <wp:positionV relativeFrom="paragraph">
              <wp:posOffset>-24765</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5979160</wp:posOffset>
            </wp:positionH>
            <wp:positionV relativeFrom="paragraph">
              <wp:posOffset>-8255</wp:posOffset>
            </wp:positionV>
            <wp:extent cx="102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revenue increased to $910.5 million for the year ended December 31, 2025, as compared with $444.7 million for the prior year.</w:t>
      </w:r>
    </w:p>
    <w:p>
      <w:pPr>
        <w:spacing w:after="0" w:line="117" w:lineRule="exact"/>
        <w:rPr>
          <w:sz w:val="20"/>
          <w:szCs w:val="20"/>
          <w:color w:val="auto"/>
        </w:rPr>
      </w:pPr>
    </w:p>
    <w:p>
      <w:pPr>
        <w:ind w:right="240" w:firstLine="511"/>
        <w:spacing w:after="0" w:line="282" w:lineRule="auto"/>
        <w:rPr>
          <w:sz w:val="20"/>
          <w:szCs w:val="20"/>
          <w:color w:val="auto"/>
        </w:rPr>
      </w:pPr>
      <w:r>
        <w:rPr>
          <w:rFonts w:ascii="Times New Roman" w:cs="Times New Roman" w:eastAsia="Times New Roman" w:hAnsi="Times New Roman"/>
          <w:sz w:val="18"/>
          <w:szCs w:val="18"/>
          <w:color w:val="auto"/>
        </w:rPr>
        <w:t>Service revenue increased to $774.4 million for the year ended December 31, 2025, as compared with $364.3 million for the prior year, due to the current year including service revenue earned as a result of the acquisition of Satcom Direct.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51" w:name="page52"/>
    <w:bookmarkEnd w:id="51"/>
    <w:p>
      <w:pPr>
        <w:jc w:val="both"/>
        <w:ind w:right="140" w:firstLine="511"/>
        <w:spacing w:after="0" w:line="266" w:lineRule="auto"/>
        <w:rPr>
          <w:sz w:val="20"/>
          <w:szCs w:val="20"/>
          <w:color w:val="auto"/>
        </w:rPr>
      </w:pPr>
      <w:r>
        <w:rPr>
          <w:rFonts w:ascii="Times New Roman" w:cs="Times New Roman" w:eastAsia="Times New Roman" w:hAnsi="Times New Roman"/>
          <w:sz w:val="18"/>
          <w:szCs w:val="18"/>
          <w:color w:val="auto"/>
        </w:rPr>
        <w:t>Equipment revenue increased to $136.1 million for the year ended December 31, 2025, as compared with $80.4 million for the prior year, due to an increase in equipment revenue earned as a result of the acquisition of Satcom Direct of $26.2 million and an increase of $21.4 million due to Gogo Galileo shipments.</w:t>
      </w:r>
    </w:p>
    <w:p>
      <w:pPr>
        <w:spacing w:after="0" w:line="68"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We expect service revenue to decline in the near term as a result of the expected decline in ATG services sold and increase in the future as additional aircraft come online for Gogo 5G and Gogo Galileo. We expect equipment revenue to increase in the future driven by growth in sales of Gogo 5G and Gogo Galileo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460" w:firstLine="511"/>
        <w:spacing w:after="0" w:line="284" w:lineRule="auto"/>
        <w:rPr>
          <w:sz w:val="20"/>
          <w:szCs w:val="20"/>
          <w:color w:val="auto"/>
        </w:rPr>
      </w:pPr>
      <w:r>
        <w:rPr>
          <w:rFonts w:ascii="Times New Roman" w:cs="Times New Roman" w:eastAsia="Times New Roman" w:hAnsi="Times New Roman"/>
          <w:sz w:val="18"/>
          <w:szCs w:val="18"/>
          <w:color w:val="auto"/>
        </w:rPr>
        <w:t xml:space="preserve">Cost of service revenue and percent change for the years ended December 31, 2025 and 2024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97"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20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8"/>
        </w:trPr>
        <w:tc>
          <w:tcPr>
            <w:tcW w:w="4640" w:type="dxa"/>
            <w:vAlign w:val="bottom"/>
          </w:tcPr>
          <w:p>
            <w:pPr>
              <w:spacing w:after="0"/>
              <w:rPr>
                <w:sz w:val="20"/>
                <w:szCs w:val="20"/>
                <w:color w:val="auto"/>
              </w:rPr>
            </w:pPr>
          </w:p>
        </w:tc>
        <w:tc>
          <w:tcPr>
            <w:tcW w:w="20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01"/>
        </w:trPr>
        <w:tc>
          <w:tcPr>
            <w:tcW w:w="46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2025 over</w:t>
            </w:r>
          </w:p>
        </w:tc>
        <w:tc>
          <w:tcPr>
            <w:tcW w:w="180" w:type="dxa"/>
            <w:vAlign w:val="bottom"/>
          </w:tcPr>
          <w:p>
            <w:pPr>
              <w:spacing w:after="0"/>
              <w:rPr>
                <w:sz w:val="17"/>
                <w:szCs w:val="17"/>
                <w:color w:val="auto"/>
              </w:rPr>
            </w:pPr>
          </w:p>
        </w:tc>
      </w:tr>
      <w:tr>
        <w:trPr>
          <w:trHeight w:val="238"/>
        </w:trPr>
        <w:tc>
          <w:tcPr>
            <w:tcW w:w="464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372,728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99,042</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276.3%</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67,561</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99.3%</w:t>
            </w:r>
          </w:p>
        </w:tc>
      </w:tr>
    </w:tbl>
    <w:p>
      <w:pPr>
        <w:spacing w:after="0" w:line="85" w:lineRule="exact"/>
        <w:rPr>
          <w:sz w:val="20"/>
          <w:szCs w:val="20"/>
          <w:color w:val="auto"/>
        </w:rPr>
      </w:pPr>
    </w:p>
    <w:p>
      <w:pPr>
        <w:ind w:right="300" w:firstLine="511"/>
        <w:spacing w:after="0" w:line="282" w:lineRule="auto"/>
        <w:rPr>
          <w:sz w:val="20"/>
          <w:szCs w:val="20"/>
          <w:color w:val="auto"/>
        </w:rPr>
      </w:pPr>
      <w:r>
        <w:rPr>
          <w:rFonts w:ascii="Times New Roman" w:cs="Times New Roman" w:eastAsia="Times New Roman" w:hAnsi="Times New Roman"/>
          <w:sz w:val="18"/>
          <w:szCs w:val="18"/>
          <w:color w:val="auto"/>
        </w:rPr>
        <w:t>Cost of service revenue increased 276.3% to $372.7 million for the year ended December 31, 2025, as compared with $99.0 million for the prior year, due to the current year including cost of service revenue as a result of the acquisition of Satcom Direct.</w:t>
      </w:r>
    </w:p>
    <w:p>
      <w:pPr>
        <w:spacing w:after="0" w:line="54" w:lineRule="exact"/>
        <w:rPr>
          <w:sz w:val="20"/>
          <w:szCs w:val="20"/>
          <w:color w:val="auto"/>
        </w:rPr>
      </w:pPr>
    </w:p>
    <w:p>
      <w:pPr>
        <w:jc w:val="both"/>
        <w:ind w:right="200" w:firstLine="511"/>
        <w:spacing w:after="0" w:line="266" w:lineRule="auto"/>
        <w:rPr>
          <w:sz w:val="20"/>
          <w:szCs w:val="20"/>
          <w:color w:val="auto"/>
        </w:rPr>
      </w:pPr>
      <w:r>
        <w:rPr>
          <w:rFonts w:ascii="Times New Roman" w:cs="Times New Roman" w:eastAsia="Times New Roman" w:hAnsi="Times New Roman"/>
          <w:sz w:val="18"/>
          <w:szCs w:val="18"/>
          <w:color w:val="auto"/>
        </w:rPr>
        <w:t>Cost of equipment revenue increased 99.3% to $134.7 million for the year ended December 31, 2025, as compared with $67.6 million for the prior year due an increase in cost of equipment revenue as a result of the acquisition of Satcom Direct of $21.1 million and an increase of $27.6 million due to Gogo Galileo shipments.</w:t>
      </w:r>
    </w:p>
    <w:p>
      <w:pPr>
        <w:spacing w:after="0" w:line="68" w:lineRule="exact"/>
        <w:rPr>
          <w:sz w:val="20"/>
          <w:szCs w:val="20"/>
          <w:color w:val="auto"/>
        </w:rPr>
      </w:pPr>
    </w:p>
    <w:p>
      <w:pPr>
        <w:ind w:right="120" w:firstLine="511"/>
        <w:spacing w:after="0" w:line="282" w:lineRule="auto"/>
        <w:rPr>
          <w:sz w:val="20"/>
          <w:szCs w:val="20"/>
          <w:color w:val="auto"/>
        </w:rPr>
      </w:pPr>
      <w:r>
        <w:rPr>
          <w:rFonts w:ascii="Times New Roman" w:cs="Times New Roman" w:eastAsia="Times New Roman" w:hAnsi="Times New Roman"/>
          <w:sz w:val="18"/>
          <w:szCs w:val="18"/>
          <w:color w:val="auto"/>
        </w:rPr>
        <w:t>We expect that our cost of equipment revenue will increase with growth in units sold, including Gogo 5G and Gogo Galileo units, due to the launch of those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right="300" w:firstLine="511"/>
        <w:spacing w:after="0" w:line="282" w:lineRule="auto"/>
        <w:rPr>
          <w:sz w:val="20"/>
          <w:szCs w:val="20"/>
          <w:color w:val="auto"/>
        </w:rPr>
      </w:pPr>
      <w:r>
        <w:rPr>
          <w:rFonts w:ascii="Times New Roman" w:cs="Times New Roman" w:eastAsia="Times New Roman" w:hAnsi="Times New Roman"/>
          <w:sz w:val="18"/>
          <w:szCs w:val="18"/>
          <w:color w:val="auto"/>
        </w:rPr>
        <w:t>Engineering, design and development expenses increased 25.4% to $56.1 million for the year ended December 31, 2025, as compared with $44.8 million for the prior year as a result of the acquisition of Satcom Direct.</w:t>
      </w:r>
    </w:p>
    <w:p>
      <w:pPr>
        <w:spacing w:after="0" w:line="54" w:lineRule="exact"/>
        <w:rPr>
          <w:sz w:val="20"/>
          <w:szCs w:val="20"/>
          <w:color w:val="auto"/>
        </w:rPr>
      </w:pPr>
    </w:p>
    <w:p>
      <w:pPr>
        <w:ind w:right="400" w:firstLine="511"/>
        <w:spacing w:after="0" w:line="282" w:lineRule="auto"/>
        <w:rPr>
          <w:sz w:val="20"/>
          <w:szCs w:val="20"/>
          <w:color w:val="auto"/>
        </w:rPr>
      </w:pPr>
      <w:r>
        <w:rPr>
          <w:rFonts w:ascii="Times New Roman" w:cs="Times New Roman" w:eastAsia="Times New Roman" w:hAnsi="Times New Roman"/>
          <w:sz w:val="18"/>
          <w:szCs w:val="18"/>
          <w:color w:val="auto"/>
        </w:rPr>
        <w:t>We expect engineering, design and development expenses to decrease, driven by Gogo Galileo development costs and Gogo 5G program spend nearing completion.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80" w:firstLine="511"/>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46.9% to $55.8 million for the year ended December 31, 2025, as compared with $38.0 million for the prior year as a result of the acquisition of Satcom Direct.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sales and marketing expenses to increase due to the launch and market adoption of the Gogo 5G and Gogo Galileo offerings.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firstLine="51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6.7% to $116.7 million for the year ended December 31, 2025, as compared with $125.1 million for the prior year due to the acquisition costs for Satcom Direct in the prior year.</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general and administrative expenses to decrease over time as acquisition and integration activities complete.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160" w:firstLine="511"/>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217.7% to $60.3 million for the year ended December 31, 2025, as compared with $19.0 million for the prior year due to amortization expenses related to intangible assets obtained in the acquisition of Satcom Direct.</w:t>
      </w:r>
    </w:p>
    <w:p>
      <w:pPr>
        <w:spacing w:after="0" w:line="5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We expect that our depreciation and amortization expenses will increase in the future as we begin depreciation for our Gogo 5G network.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right="420" w:firstLine="511"/>
        <w:spacing w:after="0" w:line="271" w:lineRule="auto"/>
        <w:rPr>
          <w:sz w:val="20"/>
          <w:szCs w:val="20"/>
          <w:color w:val="auto"/>
        </w:rPr>
      </w:pPr>
      <w:r>
        <w:rPr>
          <w:rFonts w:ascii="Times New Roman" w:cs="Times New Roman" w:eastAsia="Times New Roman" w:hAnsi="Times New Roman"/>
          <w:sz w:val="18"/>
          <w:szCs w:val="18"/>
          <w:color w:val="auto"/>
        </w:rPr>
        <w:t xml:space="preserve">Other (income) expense and percent change for the years ended December 31, 2025 and 2024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r>
      <w:tr>
        <w:trPr>
          <w:trHeight w:val="156"/>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2025 over</w:t>
            </w:r>
          </w:p>
        </w:tc>
      </w:tr>
      <w:tr>
        <w:trPr>
          <w:trHeight w:val="156"/>
        </w:trPr>
        <w:tc>
          <w:tcPr>
            <w:tcW w:w="45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9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w:t>
            </w: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292.2%</w:t>
            </w:r>
          </w:p>
        </w:tc>
      </w:tr>
      <w:tr>
        <w:trPr>
          <w:trHeight w:val="20"/>
        </w:trPr>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163.4%</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-24765</wp:posOffset>
            </wp:positionV>
            <wp:extent cx="155194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51940" cy="222885"/>
                    </a:xfrm>
                    <a:prstGeom prst="rect">
                      <a:avLst/>
                    </a:prstGeom>
                    <a:noFill/>
                  </pic:spPr>
                </pic:pic>
              </a:graphicData>
            </a:graphic>
          </wp:anchor>
        </w:drawing>
      </w:r>
    </w:p>
    <w:p>
      <w:pPr>
        <w:ind w:left="1680"/>
        <w:spacing w:after="0" w:line="231" w:lineRule="auto"/>
        <w:rPr>
          <w:sz w:val="20"/>
          <w:szCs w:val="20"/>
          <w:color w:val="auto"/>
        </w:rPr>
      </w:pPr>
      <w:r>
        <w:rPr>
          <w:rFonts w:ascii="Times New Roman" w:cs="Times New Roman" w:eastAsia="Times New Roman" w:hAnsi="Times New Roman"/>
          <w:sz w:val="14"/>
          <w:szCs w:val="14"/>
          <w:color w:val="auto"/>
        </w:rPr>
        <w:t>Percentage changes that are considered not meaningful are denoted with</w:t>
      </w:r>
    </w:p>
    <w:p>
      <w:pPr>
        <w:ind w:left="1680"/>
        <w:spacing w:after="0"/>
        <w:rPr>
          <w:sz w:val="20"/>
          <w:szCs w:val="20"/>
          <w:color w:val="auto"/>
        </w:rPr>
      </w:pPr>
      <w:r>
        <w:rPr>
          <w:rFonts w:ascii="Times New Roman" w:cs="Times New Roman" w:eastAsia="Times New Roman" w:hAnsi="Times New Roman"/>
          <w:sz w:val="14"/>
          <w:szCs w:val="14"/>
          <w:color w:val="auto"/>
        </w:rPr>
        <w:t>nm.</w:t>
      </w:r>
    </w:p>
    <w:p>
      <w:pPr>
        <w:spacing w:after="0" w:line="84" w:lineRule="exact"/>
        <w:rPr>
          <w:sz w:val="20"/>
          <w:szCs w:val="20"/>
          <w:color w:val="auto"/>
        </w:rPr>
      </w:pPr>
    </w:p>
    <w:p>
      <w:pPr>
        <w:ind w:right="340" w:firstLine="511"/>
        <w:spacing w:after="0" w:line="282" w:lineRule="auto"/>
        <w:rPr>
          <w:sz w:val="20"/>
          <w:szCs w:val="20"/>
          <w:color w:val="auto"/>
        </w:rPr>
      </w:pPr>
      <w:r>
        <w:rPr>
          <w:rFonts w:ascii="Times New Roman" w:cs="Times New Roman" w:eastAsia="Times New Roman" w:hAnsi="Times New Roman"/>
          <w:sz w:val="18"/>
          <w:szCs w:val="18"/>
          <w:color w:val="auto"/>
        </w:rPr>
        <w:t>Total other expense increased to $87.3 million for the year ended December 31, 2025, as compared with $33.1 million for the prior year. Interest expense increased due to the HPS Term Loan Facility and other expense, net increased due to litigation settlement accrual expense.</w:t>
      </w:r>
    </w:p>
    <w:p>
      <w:pPr>
        <w:spacing w:after="0" w:line="54"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We expect the change in fair value of the earnout liability to fluctuate in the future depending on performance of the Satcom Direct business. We expect our interest expense to fluctuate in the future based on changes in the variable rates associated with our indebtedness. The benefit we receive from our interest rate caps will decrease over time as our hedge notional amount decreases and the strike rate increases. See Note 9, “Long-Term Debt and Other Liabilities,” to our Unaudited Condensed Consolidated Financial Statements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11"/>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year ended December 31, 2025 was 51.8%, as compared with 24.2% for the prior year. The income tax provision was $13.9 million for the year ended December 31, 2025 due to pre-tax income, nondeductible officer’s compensation, stock-based compensation, foreign inclusions and the establishment of valuation allowances on foreign net operating loss carryforwards. The income tax provision was $4.4 million for the year ended December 31, 2024, due to pre-tax income. See Note 15, “Income Tax,” to our consolidated financial statements for additional information.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our income tax provision to increase in the long term as we continue to generate positive pre-tax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p>
      <w:pPr>
        <w:spacing w:after="0" w:line="121" w:lineRule="exact"/>
        <w:rPr>
          <w:sz w:val="20"/>
          <w:szCs w:val="20"/>
          <w:color w:val="auto"/>
        </w:rPr>
      </w:pPr>
    </w:p>
    <w:p>
      <w:pPr>
        <w:ind w:right="40" w:firstLine="511"/>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5">
        <w:r>
          <w:rPr>
            <w:rFonts w:ascii="Times New Roman" w:cs="Times New Roman" w:eastAsia="Times New Roman" w:hAnsi="Times New Roman"/>
            <w:sz w:val="18"/>
            <w:szCs w:val="18"/>
            <w:u w:val="single" w:color="auto"/>
            <w:color w:val="0000FF"/>
          </w:rPr>
          <w:t>Item 7. Management’s Discussion and Analysis of Financial Condition and Results of Operations</w:t>
        </w:r>
      </w:hyperlink>
      <w:r>
        <w:rPr>
          <w:rFonts w:ascii="Times New Roman" w:cs="Times New Roman" w:eastAsia="Times New Roman" w:hAnsi="Times New Roman"/>
          <w:sz w:val="18"/>
          <w:szCs w:val="18"/>
          <w:color w:val="auto"/>
        </w:rPr>
        <w:t>” of our Annual Report on Form 10-K for the year ended December 31, 2024, filed with the SEC on March 14, 2025 and incorporated by reference herein, includes a discussion of changes in our results of operations from fiscal year 2023 to fiscal year 2024 which was for the legacy pre-acquisition results of the Company (“Gogo 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-313055</wp:posOffset>
            </wp:positionV>
            <wp:extent cx="44583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4458335"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Reconciliation of Non-GAAP Measures</w:t>
      </w:r>
    </w:p>
    <w:p>
      <w:pPr>
        <w:spacing w:after="0" w:line="121" w:lineRule="exact"/>
        <w:rPr>
          <w:sz w:val="20"/>
          <w:szCs w:val="20"/>
          <w:color w:val="auto"/>
        </w:rPr>
      </w:pPr>
    </w:p>
    <w:p>
      <w:pPr>
        <w:ind w:right="860" w:firstLine="511"/>
        <w:spacing w:after="0" w:line="282"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attributable to common stock before interest expense, interest income, income taxes and depreciation and amortization expense.</w:t>
      </w:r>
    </w:p>
    <w:p>
      <w:pPr>
        <w:spacing w:after="0" w:line="54" w:lineRule="exact"/>
        <w:rPr>
          <w:sz w:val="20"/>
          <w:szCs w:val="20"/>
          <w:color w:val="auto"/>
        </w:rPr>
      </w:pPr>
    </w:p>
    <w:p>
      <w:pPr>
        <w:ind w:right="240" w:firstLine="511"/>
        <w:spacing w:after="0" w:line="282"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represents EBITDA adjusted for (i) stock-based compensation expense, (ii) acquisition and integration-related costs, including amortization of acquisition-related inventory step-up costs and changes in fair value of the earnout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53" w:name="page54"/>
    <w:bookmarkEnd w:id="53"/>
    <w:p>
      <w:pPr>
        <w:ind w:left="7" w:hanging="7"/>
        <w:spacing w:after="0" w:line="258" w:lineRule="auto"/>
        <w:tabs>
          <w:tab w:leader="none" w:pos="3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settlement accrual costs, (iv) change in fair value of convertible note and gain on sale of equity investment and (v)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5" w:lineRule="exact"/>
        <w:rPr>
          <w:sz w:val="20"/>
          <w:szCs w:val="20"/>
          <w:color w:val="auto"/>
        </w:rPr>
      </w:pPr>
    </w:p>
    <w:p>
      <w:pPr>
        <w:ind w:left="7" w:right="20" w:firstLine="511"/>
        <w:spacing w:after="0" w:line="258"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75" w:lineRule="exact"/>
        <w:rPr>
          <w:sz w:val="20"/>
          <w:szCs w:val="20"/>
          <w:color w:val="auto"/>
        </w:rPr>
      </w:pPr>
    </w:p>
    <w:p>
      <w:pPr>
        <w:ind w:left="7" w:right="120" w:firstLine="511"/>
        <w:spacing w:after="0" w:line="261" w:lineRule="auto"/>
        <w:rPr>
          <w:sz w:val="20"/>
          <w:szCs w:val="20"/>
          <w:color w:val="auto"/>
        </w:rPr>
      </w:pPr>
      <w:r>
        <w:rPr>
          <w:rFonts w:ascii="Times New Roman" w:cs="Times New Roman" w:eastAsia="Times New Roman" w:hAnsi="Times New Roman"/>
          <w:sz w:val="18"/>
          <w:szCs w:val="18"/>
          <w:color w:val="auto"/>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infrequent, are outside of the ordinary course of our operations and do not reflect our operating performance.</w:t>
      </w:r>
    </w:p>
    <w:p>
      <w:pPr>
        <w:spacing w:after="0" w:line="72" w:lineRule="exact"/>
        <w:rPr>
          <w:sz w:val="20"/>
          <w:szCs w:val="20"/>
          <w:color w:val="auto"/>
        </w:rPr>
      </w:pPr>
    </w:p>
    <w:p>
      <w:pPr>
        <w:ind w:left="7" w:right="220" w:firstLine="511"/>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changes in fair value of the earnout liability related to the acquisition of Satcom Direct from Adjusted EBITDA because this activity is outside of the ordinary course of our operations and does not reflect our operating performance.</w:t>
      </w:r>
    </w:p>
    <w:p>
      <w:pPr>
        <w:spacing w:after="0" w:line="68" w:lineRule="exact"/>
        <w:rPr>
          <w:sz w:val="20"/>
          <w:szCs w:val="20"/>
          <w:color w:val="auto"/>
        </w:rPr>
      </w:pPr>
    </w:p>
    <w:p>
      <w:pPr>
        <w:ind w:left="7" w:right="420" w:firstLine="511"/>
        <w:spacing w:after="0" w:line="282"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litigation settlement accrual costs from Adjusted EBITDA because this activity is outside of the ordinary course of our operations and does not reflect our operating performance.</w:t>
      </w:r>
    </w:p>
    <w:p>
      <w:pPr>
        <w:spacing w:after="0" w:line="54" w:lineRule="exact"/>
        <w:rPr>
          <w:sz w:val="20"/>
          <w:szCs w:val="20"/>
          <w:color w:val="auto"/>
        </w:rPr>
      </w:pPr>
    </w:p>
    <w:p>
      <w:pPr>
        <w:ind w:left="7" w:right="120" w:firstLine="511"/>
        <w:spacing w:after="0" w:line="282"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change in fair value of convertible note and gain on sale of equity investment from Adjusted EBITDA because this activity is not related to our operating performance.</w:t>
      </w:r>
    </w:p>
    <w:p>
      <w:pPr>
        <w:spacing w:after="0" w:line="54" w:lineRule="exact"/>
        <w:rPr>
          <w:sz w:val="20"/>
          <w:szCs w:val="20"/>
          <w:color w:val="auto"/>
        </w:rPr>
      </w:pPr>
    </w:p>
    <w:p>
      <w:pPr>
        <w:ind w:left="7" w:right="360" w:firstLine="511"/>
        <w:spacing w:after="0" w:line="282"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loss on extinguishment of debt from Adjusted EBITDA because of the infrequently occurring nature of this activity.</w:t>
      </w:r>
    </w:p>
    <w:p>
      <w:pPr>
        <w:spacing w:after="0" w:line="54" w:lineRule="exact"/>
        <w:rPr>
          <w:sz w:val="20"/>
          <w:szCs w:val="20"/>
          <w:color w:val="auto"/>
        </w:rPr>
      </w:pPr>
    </w:p>
    <w:p>
      <w:pPr>
        <w:ind w:left="7" w:right="220" w:firstLine="511"/>
        <w:spacing w:after="0" w:line="266"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68" w:lineRule="exact"/>
        <w:rPr>
          <w:sz w:val="20"/>
          <w:szCs w:val="20"/>
          <w:color w:val="auto"/>
        </w:rPr>
      </w:pPr>
    </w:p>
    <w:p>
      <w:pPr>
        <w:ind w:left="7" w:right="220" w:firstLine="511"/>
        <w:spacing w:after="0" w:line="277" w:lineRule="auto"/>
        <w:rPr>
          <w:sz w:val="20"/>
          <w:szCs w:val="20"/>
          <w:color w:val="auto"/>
        </w:rPr>
      </w:pPr>
      <w:r>
        <w:rPr>
          <w:rFonts w:ascii="Times New Roman" w:cs="Times New Roman" w:eastAsia="Times New Roman" w:hAnsi="Times New Roman"/>
          <w:sz w:val="17"/>
          <w:szCs w:val="17"/>
          <w:u w:val="single" w:color="auto"/>
          <w:color w:val="auto"/>
        </w:rPr>
        <w:t>Free Cash Flow</w:t>
      </w:r>
      <w:r>
        <w:rPr>
          <w:rFonts w:ascii="Times New Roman" w:cs="Times New Roman" w:eastAsia="Times New Roman" w:hAnsi="Times New Roman"/>
          <w:sz w:val="17"/>
          <w:szCs w:val="17"/>
          <w:color w:val="auto"/>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spacing w:after="0" w:line="16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8" w:right="318"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common stock (GAAP)</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(8,336)</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(7,403)</w:t>
            </w:r>
          </w:p>
        </w:tc>
      </w:tr>
      <w:tr>
        <w:trPr>
          <w:trHeight w:val="23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(48,075)</w:t>
            </w: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00" w:type="dxa"/>
            <w:vAlign w:val="bottom"/>
          </w:tcPr>
          <w:p>
            <w:pPr>
              <w:spacing w:after="0"/>
              <w:rPr>
                <w:sz w:val="19"/>
                <w:szCs w:val="19"/>
                <w:color w:val="auto"/>
              </w:rPr>
            </w:pPr>
          </w:p>
        </w:tc>
      </w:tr>
      <w:tr>
        <w:trPr>
          <w:trHeight w:val="223"/>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139,957</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100" w:type="dxa"/>
            <w:vAlign w:val="bottom"/>
          </w:tcPr>
          <w:p>
            <w:pPr>
              <w:spacing w:after="0"/>
              <w:rPr>
                <w:sz w:val="19"/>
                <w:szCs w:val="19"/>
                <w:color w:val="auto"/>
              </w:rPr>
            </w:pPr>
          </w:p>
        </w:tc>
      </w:tr>
      <w:tr>
        <w:trPr>
          <w:trHeight w:val="216"/>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Acquisition and integration-related costs</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acquisition-related inventory step-up costs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settlement accrual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 in fair value of convertible note and gain on sale of equity investment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(1,343)</w:t>
            </w:r>
          </w:p>
        </w:tc>
      </w:tr>
      <w:tr>
        <w:trPr>
          <w:trHeight w:val="22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9"/>
                <w:szCs w:val="19"/>
                <w:color w:val="auto"/>
              </w:rPr>
            </w:pPr>
          </w:p>
        </w:tc>
      </w:tr>
      <w:tr>
        <w:trPr>
          <w:trHeight w:val="26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217,756</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142,496</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 (GAAP)</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124,490</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41,421</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78,970</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(75,161)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(27,055)</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(24,088)</w:t>
            </w: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FCC Reimbursement Program for property, equipment and intangibles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r>
      <w:tr>
        <w:trPr>
          <w:trHeight w:val="230"/>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interest rate caps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23,181</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89,181</w:t>
            </w:r>
          </w:p>
        </w:tc>
        <w:tc>
          <w:tcPr>
            <w:tcW w:w="160" w:type="dxa"/>
            <w:vAlign w:val="bottom"/>
          </w:tcPr>
          <w:p>
            <w:pPr>
              <w:spacing w:after="0"/>
              <w:rPr>
                <w:sz w:val="19"/>
                <w:szCs w:val="19"/>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41,942</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82,687</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-1079500</wp:posOffset>
            </wp:positionV>
            <wp:extent cx="209994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99945" cy="17145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-179705</wp:posOffset>
            </wp:positionV>
            <wp:extent cx="6858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-179705</wp:posOffset>
            </wp:positionV>
            <wp:extent cx="7683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-179705</wp:posOffset>
            </wp:positionV>
            <wp:extent cx="68580" cy="18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7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8"/>
          <w:szCs w:val="18"/>
          <w:color w:val="auto"/>
        </w:rPr>
        <w:t>For the year ended December 31, 2025, consists of integration-related advisory fees of $6.3 million and severance and other compensation-related costs of $8.1 million. For the year ended December 31, 2024, consists of change-in-control bonuses of $29.7 million, severance and other compensation-related costs of $3.8 million, and due diligence and advisory fees of $20.0 million.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limitations of Non-GAAP measures</w:t>
      </w:r>
    </w:p>
    <w:p>
      <w:pPr>
        <w:spacing w:after="0" w:line="121" w:lineRule="exact"/>
        <w:rPr>
          <w:sz w:val="20"/>
          <w:szCs w:val="20"/>
          <w:color w:val="auto"/>
        </w:rPr>
      </w:pPr>
    </w:p>
    <w:p>
      <w:pPr>
        <w:ind w:right="180" w:firstLine="511"/>
        <w:spacing w:after="0" w:line="266"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17" w:lineRule="exact"/>
        <w:rPr>
          <w:sz w:val="20"/>
          <w:szCs w:val="20"/>
          <w:color w:val="auto"/>
        </w:rPr>
      </w:pPr>
    </w:p>
    <w:p>
      <w:pPr>
        <w:ind w:left="1020" w:hanging="516"/>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17" w:lineRule="exact"/>
        <w:rPr>
          <w:sz w:val="20"/>
          <w:szCs w:val="20"/>
          <w:color w:val="auto"/>
        </w:rPr>
      </w:pPr>
    </w:p>
    <w:p>
      <w:pPr>
        <w:ind w:left="1020" w:hanging="516"/>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17" w:lineRule="exact"/>
        <w:rPr>
          <w:rFonts w:ascii="Times New Roman" w:cs="Times New Roman" w:eastAsia="Times New Roman" w:hAnsi="Times New Roman"/>
          <w:sz w:val="18"/>
          <w:szCs w:val="18"/>
          <w:color w:val="auto"/>
        </w:rPr>
      </w:pPr>
    </w:p>
    <w:p>
      <w:pPr>
        <w:ind w:left="1020" w:right="20" w:hanging="516"/>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53"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change in the fair value of the earnout liability from the Satcom Direct acquisition;</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acquisition and integration-related costs;</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amortization of acquisition-related inventory step-up costs;</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litigation settlement accrual costs;</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change in fair value of convertible note and gain on sale of equity investment;</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loss on extinguishment of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55" w:name="page56"/>
    <w:bookmarkEnd w:id="55"/>
    <w:p>
      <w:pPr>
        <w:ind w:left="1020" w:hanging="516"/>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7" w:lineRule="exact"/>
        <w:rPr>
          <w:rFonts w:ascii="Times New Roman" w:cs="Times New Roman" w:eastAsia="Times New Roman" w:hAnsi="Times New Roman"/>
          <w:sz w:val="18"/>
          <w:szCs w:val="18"/>
          <w:color w:val="auto"/>
        </w:rPr>
      </w:pPr>
    </w:p>
    <w:p>
      <w:pPr>
        <w:ind w:left="1020" w:right="780" w:hanging="516"/>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industries related to ours may calculate these measures differently from the way we do, their usefulness as comparative measures may be limited.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79" w:lineRule="exact"/>
        <w:rPr>
          <w:sz w:val="20"/>
          <w:szCs w:val="20"/>
          <w:color w:val="auto"/>
        </w:rPr>
      </w:pPr>
    </w:p>
    <w:p>
      <w:pPr>
        <w:ind w:right="140" w:firstLine="511"/>
        <w:spacing w:after="0" w:line="282" w:lineRule="auto"/>
        <w:rPr>
          <w:sz w:val="20"/>
          <w:szCs w:val="20"/>
          <w:color w:val="auto"/>
        </w:rPr>
      </w:pPr>
      <w:r>
        <w:rPr>
          <w:rFonts w:ascii="Times New Roman" w:cs="Times New Roman" w:eastAsia="Times New Roman" w:hAnsi="Times New Roman"/>
          <w:sz w:val="18"/>
          <w:szCs w:val="18"/>
          <w:color w:val="auto"/>
        </w:rPr>
        <w:t>See the disclosure below under the heading “Debt Instruments” for the definitions of the debt and convertible debt instruments to which we refer in this section, as well as the indentures and other agreements that govern them.</w:t>
      </w:r>
    </w:p>
    <w:p>
      <w:pPr>
        <w:spacing w:after="0" w:line="54" w:lineRule="exact"/>
        <w:rPr>
          <w:sz w:val="20"/>
          <w:szCs w:val="20"/>
          <w:color w:val="auto"/>
        </w:rPr>
      </w:pPr>
    </w:p>
    <w:p>
      <w:pPr>
        <w:ind w:firstLine="511"/>
        <w:spacing w:after="0" w:line="266"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the Revolving Facility and capital markets will be sufficient to meet the cash requirements of our business, capital expenditure requirements and debt maturities for at least the next twelve months and thereafter for the foreseeable future.</w:t>
      </w:r>
    </w:p>
    <w:p>
      <w:pPr>
        <w:spacing w:after="0" w:line="68"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No shares were repurchased during the year ended December 31, 2025. During the years ended December 31, 2024 and 2023, we repurchased an aggregate 4.0 million shares and 0.5 million shares, respectively, of our common stock for $33.2 million and $4.8 million, respectively. As of December 31, 2025, approximately $12.1 million remains available under the share repurchase program.</w:t>
      </w:r>
    </w:p>
    <w:p>
      <w:pPr>
        <w:spacing w:after="0" w:line="86"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As detailed in Note 9, “Long-Term Debt and Other Liabilities,” on April 30, 2021, GIH entered into the 2021 Credit Agreement with Gogo, the lenders and issuing banks party thereto and Morgan Stanley Senior Funding, Inc., as administrative agent, which provides for the 2021 Term Loan Facility in an aggregate principal amount of $725.0 million, issued with a discount of 0.5%, and the Revolving Facility, which includes a letter of credit sub-facility. The 2021 Term Loan Facility matures on April 30, 2028.</w:t>
      </w:r>
    </w:p>
    <w:p>
      <w:pPr>
        <w:spacing w:after="0" w:line="72"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On December 3, 2024, Gogo and GIH entered into a second amendment to the 2021 Credit Agreement with Morgan Stanley Senior Funding, Inc., as administrative agent, and the lenders party thereto 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 The 2021 Term Loan Facility amortizes in quarterly installments equal to 1% of the aggregate initial principal amount thereof per annum, with the remaining balance payable upon final maturity of the 2021 Term Loan Facility. There are no amortization payments under the Revolving Facility. On May 3, 2023, the Company prepaid $100 million of the outstanding principal amount of the 2021 Term Loan Facility. This prepayment satisfied the required amortization payments for the remaining term of the 2021 Term Loan Facility.</w:t>
      </w:r>
    </w:p>
    <w:p>
      <w:pPr>
        <w:spacing w:after="0" w:line="80" w:lineRule="exact"/>
        <w:rPr>
          <w:sz w:val="20"/>
          <w:szCs w:val="20"/>
          <w:color w:val="auto"/>
        </w:rPr>
      </w:pPr>
    </w:p>
    <w:p>
      <w:pPr>
        <w:ind w:right="160" w:firstLine="511"/>
        <w:spacing w:after="0" w:line="258" w:lineRule="auto"/>
        <w:rPr>
          <w:sz w:val="20"/>
          <w:szCs w:val="20"/>
          <w:color w:val="auto"/>
        </w:rPr>
      </w:pPr>
      <w:r>
        <w:rPr>
          <w:rFonts w:ascii="Times New Roman" w:cs="Times New Roman" w:eastAsia="Times New Roman" w:hAnsi="Times New Roman"/>
          <w:sz w:val="18"/>
          <w:szCs w:val="18"/>
          <w:color w:val="auto"/>
        </w:rPr>
        <w:t>As detailed in Note 9, “Long-Term Debt and Other Liabilities,” on December 3, 2024, the Company and GIH entered into a credit agreement (the “HPS Credit Agreement” and together with the 2021 Credit Agreement, the “Credit Agreements”) with HPS Investment Partners, LLC, as the administrative agent, and the party thereto, which provides for a term loan credit facility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spacing w:after="0" w:line="75" w:lineRule="exact"/>
        <w:rPr>
          <w:sz w:val="20"/>
          <w:szCs w:val="20"/>
          <w:color w:val="auto"/>
        </w:rPr>
      </w:pPr>
    </w:p>
    <w:p>
      <w:pPr>
        <w:ind w:right="100" w:firstLine="511"/>
        <w:spacing w:after="0" w:line="266" w:lineRule="auto"/>
        <w:rPr>
          <w:sz w:val="20"/>
          <w:szCs w:val="20"/>
          <w:color w:val="auto"/>
        </w:rPr>
      </w:pPr>
      <w:r>
        <w:rPr>
          <w:rFonts w:ascii="Times New Roman" w:cs="Times New Roman" w:eastAsia="Times New Roman" w:hAnsi="Times New Roman"/>
          <w:sz w:val="18"/>
          <w:szCs w:val="18"/>
          <w:color w:val="auto"/>
        </w:rPr>
        <w:t>The Credit Agreements contain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56" w:name="page57"/>
    <w:bookmarkEnd w:id="56"/>
    <w:p>
      <w:pPr>
        <w:ind w:firstLine="511"/>
        <w:spacing w:after="0" w:line="258" w:lineRule="auto"/>
        <w:rPr>
          <w:sz w:val="20"/>
          <w:szCs w:val="20"/>
          <w:color w:val="auto"/>
        </w:rPr>
      </w:pPr>
      <w:r>
        <w:rPr>
          <w:rFonts w:ascii="Times New Roman" w:cs="Times New Roman" w:eastAsia="Times New Roman" w:hAnsi="Times New Roman"/>
          <w:sz w:val="18"/>
          <w:szCs w:val="18"/>
          <w:color w:val="auto"/>
        </w:rPr>
        <w:t>The Credit Agreements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75"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We receive payments in the amount calculated pursuant to the caps for any period in which the daily compounded secured overnight financing rate as administered by the Federal Reserve Bank of New York (“SOFR”) plus a credit spread adjustment recommended by the Alternative Reference Rates Committees of 0.26% increases beyond the applicable strike rate. The termination date of the cap agreements is July 31, 2027. The aggregate notional amount of the interest rate caps as of December 31, 2025 is $250.0 million. The notional amounts of the interest rate caps periodically decrease over the life of the caps with the latest reduction of $100.0 million having occurred on July 31, 2025.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 For additional information on the interest rate caps, see Note 10, “Derivative Instruments and Hedging Activities,” to our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60" w:firstLine="511"/>
        <w:spacing w:after="0" w:line="270" w:lineRule="auto"/>
        <w:rPr>
          <w:sz w:val="20"/>
          <w:szCs w:val="20"/>
          <w:color w:val="auto"/>
        </w:rPr>
      </w:pPr>
      <w:r>
        <w:rPr>
          <w:rFonts w:ascii="Times New Roman" w:cs="Times New Roman" w:eastAsia="Times New Roman" w:hAnsi="Times New Roman"/>
          <w:sz w:val="18"/>
          <w:szCs w:val="18"/>
          <w:color w:val="auto"/>
        </w:rPr>
        <w:t xml:space="preserve">The following table summarizes our contractual obligations, comprised of our material future cash requirements and deferred revenue arrangements, as of December 31,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3-5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4"/>
                <w:szCs w:val="14"/>
                <w:color w:val="auto"/>
              </w:rPr>
            </w:pPr>
          </w:p>
        </w:tc>
      </w:tr>
      <w:tr>
        <w:trPr>
          <w:trHeight w:val="173"/>
        </w:trPr>
        <w:tc>
          <w:tcPr>
            <w:tcW w:w="5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5"/>
                <w:szCs w:val="15"/>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Lease obligations</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591,169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244,782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2021 Term Loan Facility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HPS Term Loan Facility </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244,375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Interest and fees on the Facilities</w:t>
            </w:r>
            <w:r>
              <w:rPr>
                <w:rFonts w:ascii="Times New Roman" w:cs="Times New Roman" w:eastAsia="Times New Roman" w:hAnsi="Times New Roman"/>
                <w:sz w:val="24"/>
                <w:szCs w:val="24"/>
                <w:color w:val="auto"/>
                <w:vertAlign w:val="superscript"/>
              </w:rPr>
              <w:t>(3)(4)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Deferred revenue arrangements </w:t>
            </w:r>
            <w:r>
              <w:rPr>
                <w:rFonts w:ascii="Times New Roman" w:cs="Times New Roman" w:eastAsia="Times New Roman" w:hAnsi="Times New Roman"/>
                <w:sz w:val="24"/>
                <w:szCs w:val="24"/>
                <w:color w:val="auto"/>
                <w:vertAlign w:val="superscript"/>
              </w:rPr>
              <w:t>(5)</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Estimated earnout obligation </w:t>
            </w:r>
            <w:r>
              <w:rPr>
                <w:rFonts w:ascii="Times New Roman" w:cs="Times New Roman" w:eastAsia="Times New Roman" w:hAnsi="Times New Roman"/>
                <w:sz w:val="24"/>
                <w:szCs w:val="24"/>
                <w:color w:val="auto"/>
                <w:vertAlign w:val="superscript"/>
              </w:rPr>
              <w:t>(6)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5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long-term obligations </w:t>
            </w:r>
            <w:r>
              <w:rPr>
                <w:rFonts w:ascii="Times New Roman" w:cs="Times New Roman" w:eastAsia="Times New Roman" w:hAnsi="Times New Roman"/>
                <w:sz w:val="24"/>
                <w:szCs w:val="24"/>
                <w:color w:val="auto"/>
                <w:vertAlign w:val="superscript"/>
              </w:rPr>
              <w:t>(7)</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46,745</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1,815,191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525,572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1,225,332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34,346</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-179705</wp:posOffset>
            </wp:positionV>
            <wp:extent cx="68580"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4710430</wp:posOffset>
            </wp:positionH>
            <wp:positionV relativeFrom="paragraph">
              <wp:posOffset>-179705</wp:posOffset>
            </wp:positionV>
            <wp:extent cx="6858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5499100</wp:posOffset>
            </wp:positionH>
            <wp:positionV relativeFrom="paragraph">
              <wp:posOffset>-179705</wp:posOffset>
            </wp:positionV>
            <wp:extent cx="7747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6287770</wp:posOffset>
            </wp:positionH>
            <wp:positionV relativeFrom="paragraph">
              <wp:posOffset>-179705</wp:posOffset>
            </wp:positionV>
            <wp:extent cx="7747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-179705</wp:posOffset>
            </wp:positionV>
            <wp:extent cx="6858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24" w:lineRule="exact"/>
        <w:rPr>
          <w:sz w:val="20"/>
          <w:szCs w:val="20"/>
          <w:color w:val="auto"/>
        </w:rPr>
      </w:pPr>
    </w:p>
    <w:p>
      <w:pPr>
        <w:ind w:left="740" w:hanging="371"/>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 “Leases,” to our consolidated financial statements for more information.</w:t>
      </w:r>
    </w:p>
    <w:p>
      <w:pPr>
        <w:spacing w:after="0" w:line="27" w:lineRule="exact"/>
        <w:rPr>
          <w:rFonts w:ascii="Times New Roman" w:cs="Times New Roman" w:eastAsia="Times New Roman" w:hAnsi="Times New Roman"/>
          <w:sz w:val="18"/>
          <w:szCs w:val="18"/>
          <w:color w:val="auto"/>
        </w:rPr>
      </w:pPr>
    </w:p>
    <w:p>
      <w:pPr>
        <w:ind w:left="740" w:right="160" w:hanging="371"/>
        <w:spacing w:after="0" w:line="250"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our outstanding purchase obligations represented obligations to vendors incurred in order to meet operational requirements in the normal course of business, including Gogo 5G, Gogo Galileo, information technology, research and development, sales and marketing, general and administrative and production related activities.</w:t>
      </w:r>
    </w:p>
    <w:p>
      <w:pPr>
        <w:spacing w:after="0" w:line="1" w:lineRule="exact"/>
        <w:rPr>
          <w:rFonts w:ascii="Times New Roman" w:cs="Times New Roman" w:eastAsia="Times New Roman" w:hAnsi="Times New Roman"/>
          <w:sz w:val="18"/>
          <w:szCs w:val="18"/>
          <w:color w:val="auto"/>
        </w:rPr>
      </w:pPr>
    </w:p>
    <w:p>
      <w:pPr>
        <w:ind w:left="740" w:hanging="371"/>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“Long-Term Debt and Other Liabilities,” to our consolidated financial statements for more information.</w:t>
      </w:r>
    </w:p>
    <w:p>
      <w:pPr>
        <w:spacing w:after="0" w:line="9" w:lineRule="exact"/>
        <w:rPr>
          <w:rFonts w:ascii="Times New Roman" w:cs="Times New Roman" w:eastAsia="Times New Roman" w:hAnsi="Times New Roman"/>
          <w:sz w:val="18"/>
          <w:szCs w:val="18"/>
          <w:color w:val="auto"/>
        </w:rPr>
      </w:pPr>
    </w:p>
    <w:p>
      <w:pPr>
        <w:ind w:left="740" w:right="80" w:hanging="371"/>
        <w:spacing w:after="0" w:line="250"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variable rate debt is calculated for future periods using the interest rate in effect as of December 31, 2025 and excludes the impact of our interest rate caps.</w:t>
      </w:r>
    </w:p>
    <w:p>
      <w:pPr>
        <w:ind w:left="740" w:hanging="371"/>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obligations to provide services for which we have already received cash from our customers.</w:t>
      </w:r>
    </w:p>
    <w:p>
      <w:pPr>
        <w:spacing w:after="0" w:line="9" w:lineRule="exact"/>
        <w:rPr>
          <w:rFonts w:ascii="Times New Roman" w:cs="Times New Roman" w:eastAsia="Times New Roman" w:hAnsi="Times New Roman"/>
          <w:sz w:val="18"/>
          <w:szCs w:val="18"/>
          <w:color w:val="auto"/>
        </w:rPr>
      </w:pPr>
    </w:p>
    <w:p>
      <w:pPr>
        <w:ind w:left="740" w:right="20" w:hanging="371"/>
        <w:spacing w:after="0" w:line="250"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estimated payment that has been earned based on actual performance through December 31, 2025 and excludes contingent consideration that may be payable based on the achievement of future performance targets.</w:t>
      </w:r>
    </w:p>
    <w:p>
      <w:pPr>
        <w:jc w:val="both"/>
        <w:ind w:left="740" w:right="40" w:hanging="371"/>
        <w:spacing w:after="0" w:line="255"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obligations consist of estimated payments (undiscounted) for our asset retirement obligations, network transmission services and monthly payments of C$0.1 million (using the December 31, 2025 exchange rate) to the licensor of our Canadian ATG spectrum license over the estimated 25-year term of the agreement. Other long-term obligations exclude tax liability payments due to the uncertainty of their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-1798320</wp:posOffset>
            </wp:positionV>
            <wp:extent cx="21170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56" w:lineRule="exact"/>
        <w:rPr>
          <w:sz w:val="20"/>
          <w:szCs w:val="20"/>
          <w:color w:val="auto"/>
        </w:rPr>
      </w:pPr>
    </w:p>
    <w:p>
      <w:pPr>
        <w:ind w:right="320" w:firstLine="51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w:t>
      </w:r>
      <w:r>
        <w:rPr>
          <w:rFonts w:ascii="Times New Roman" w:cs="Times New Roman" w:eastAsia="Times New Roman" w:hAnsi="Times New Roman"/>
          <w:sz w:val="18"/>
          <w:szCs w:val="18"/>
          <w:color w:val="auto"/>
        </w:rPr>
        <w:t>We have agreements with various vendors under which we have remaining commitments to purchase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 See Note 17, “Commitments and Contingencies,” to our consolidated financial statements for additional information.</w:t>
      </w:r>
    </w:p>
    <w:p>
      <w:pPr>
        <w:spacing w:after="0" w:line="65" w:lineRule="exact"/>
        <w:rPr>
          <w:sz w:val="20"/>
          <w:szCs w:val="20"/>
          <w:color w:val="auto"/>
        </w:rPr>
      </w:pPr>
    </w:p>
    <w:p>
      <w:pPr>
        <w:ind w:right="280" w:firstLine="51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16, “Leases,” to our consolidated financial statements for additional information.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57" w:name="page58"/>
    <w:bookmarkEnd w:id="57"/>
    <w:p>
      <w:pPr>
        <w:ind w:right="20" w:firstLine="511"/>
        <w:spacing w:after="0" w:line="261" w:lineRule="auto"/>
        <w:rPr>
          <w:sz w:val="20"/>
          <w:szCs w:val="20"/>
          <w:color w:val="auto"/>
        </w:rPr>
      </w:pPr>
      <w:r>
        <w:rPr>
          <w:rFonts w:ascii="Times New Roman" w:cs="Times New Roman" w:eastAsia="Times New Roman" w:hAnsi="Times New Roman"/>
          <w:sz w:val="18"/>
          <w:szCs w:val="18"/>
          <w:i w:val="1"/>
          <w:iCs w:val="1"/>
          <w:color w:val="auto"/>
        </w:rPr>
        <w:t>Indemnifications and Guarantees</w:t>
      </w:r>
      <w:r>
        <w:rPr>
          <w:rFonts w:ascii="Times New Roman" w:cs="Times New Roman" w:eastAsia="Times New Roman" w:hAnsi="Times New Roman"/>
          <w:sz w:val="18"/>
          <w:szCs w:val="18"/>
          <w:color w:val="auto"/>
        </w:rPr>
        <w:t>: In accordance with Delaware law, we indemnify our officers and directors for certain events or occurrences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74" w:lineRule="exact"/>
        <w:rPr>
          <w:sz w:val="20"/>
          <w:szCs w:val="20"/>
          <w:color w:val="auto"/>
        </w:rPr>
      </w:pPr>
    </w:p>
    <w:p>
      <w:pPr>
        <w:jc w:val="both"/>
        <w:ind w:right="200" w:firstLine="511"/>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68" w:lineRule="exact"/>
        <w:rPr>
          <w:sz w:val="20"/>
          <w:szCs w:val="20"/>
          <w:color w:val="auto"/>
        </w:rPr>
      </w:pPr>
    </w:p>
    <w:p>
      <w:pPr>
        <w:ind w:right="440" w:firstLine="511"/>
        <w:spacing w:after="0" w:line="261" w:lineRule="auto"/>
        <w:rPr>
          <w:sz w:val="20"/>
          <w:szCs w:val="20"/>
          <w:color w:val="auto"/>
        </w:rPr>
      </w:pPr>
      <w:r>
        <w:rPr>
          <w:rFonts w:ascii="Times New Roman" w:cs="Times New Roman" w:eastAsia="Times New Roman" w:hAnsi="Times New Roman"/>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consolidated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41,421</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(337,203)</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198,691</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(120,434)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(97,062)</w:t>
            </w: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139,366</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150,880</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125,690</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6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125,690</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42,304</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125,206</w:t>
            </w:r>
          </w:p>
        </w:tc>
        <w:tc>
          <w:tcPr>
            <w:tcW w:w="16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41,765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-744855</wp:posOffset>
            </wp:positionV>
            <wp:extent cx="2099945"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99945" cy="16256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-170815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-170815</wp:posOffset>
            </wp:positionV>
            <wp:extent cx="7683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-170815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Following is a discussion of the year-over-year changes in cash flow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from operations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56,179</w:t>
            </w: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(4,410)</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(28,504)</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(62,298)</w:t>
            </w:r>
          </w:p>
        </w:tc>
      </w:tr>
      <w:tr>
        <w:trPr>
          <w:trHeight w:val="210"/>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124,490</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41,421</w:t>
            </w: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78,970</w:t>
            </w:r>
          </w:p>
        </w:tc>
        <w:tc>
          <w:tcPr>
            <w:tcW w:w="100" w:type="dxa"/>
            <w:vAlign w:val="bottom"/>
            <w:tcBorders>
              <w:top w:val="single" w:sz="8" w:color="CFF0FC"/>
            </w:tcBorders>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-170815</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-170815</wp:posOffset>
            </wp:positionV>
            <wp:extent cx="7683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-170815</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2025, cash provided by operating activities was $124.5 million, as compared with $41.4 million for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contributors to the increase in operating cash flows were:</w:t>
      </w:r>
    </w:p>
    <w:p>
      <w:pPr>
        <w:spacing w:after="0" w:line="99" w:lineRule="exact"/>
        <w:rPr>
          <w:sz w:val="20"/>
          <w:szCs w:val="20"/>
          <w:color w:val="auto"/>
        </w:rPr>
      </w:pPr>
    </w:p>
    <w:p>
      <w:pPr>
        <w:ind w:left="1020" w:hanging="516"/>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$61.9 million increase in net income and non-cash charges and credits, as noted above under “—Results of Operations.”</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$21.1 million improvement in cash flows related to operating assets and liabilities resulting from:</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increase in cash flows due to the following:</w:t>
      </w:r>
    </w:p>
    <w:p>
      <w:pPr>
        <w:spacing w:after="0" w:line="117" w:lineRule="exact"/>
        <w:rPr>
          <w:rFonts w:ascii="Times New Roman" w:cs="Times New Roman" w:eastAsia="Times New Roman" w:hAnsi="Times New Roman"/>
          <w:sz w:val="18"/>
          <w:szCs w:val="18"/>
          <w:color w:val="auto"/>
        </w:rPr>
      </w:pPr>
    </w:p>
    <w:p>
      <w:pPr>
        <w:ind w:left="2040" w:hanging="513"/>
        <w:spacing w:after="0"/>
        <w:tabs>
          <w:tab w:leader="none" w:pos="2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inventories due to an increase in equipment revenue and a decrease in purchases; and</w:t>
      </w:r>
    </w:p>
    <w:p>
      <w:pPr>
        <w:spacing w:after="0" w:line="117" w:lineRule="exact"/>
        <w:rPr>
          <w:rFonts w:ascii="Times New Roman" w:cs="Times New Roman" w:eastAsia="Times New Roman" w:hAnsi="Times New Roman"/>
          <w:sz w:val="18"/>
          <w:szCs w:val="18"/>
          <w:color w:val="auto"/>
        </w:rPr>
      </w:pPr>
    </w:p>
    <w:p>
      <w:pPr>
        <w:ind w:left="2040" w:hanging="513"/>
        <w:spacing w:after="0"/>
        <w:tabs>
          <w:tab w:leader="none" w:pos="20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payable and accrued liabilities due to the timing of payments;</w:t>
      </w:r>
    </w:p>
    <w:p>
      <w:pPr>
        <w:spacing w:after="0" w:line="117" w:lineRule="exact"/>
        <w:rPr>
          <w:sz w:val="20"/>
          <w:szCs w:val="20"/>
          <w:color w:val="auto"/>
        </w:rPr>
      </w:pPr>
    </w:p>
    <w:p>
      <w:pPr>
        <w:ind w:left="1520" w:hanging="504"/>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cash flows due to the following:</w:t>
      </w:r>
    </w:p>
    <w:p>
      <w:pPr>
        <w:spacing w:after="0" w:line="117" w:lineRule="exact"/>
        <w:rPr>
          <w:rFonts w:ascii="Times New Roman" w:cs="Times New Roman" w:eastAsia="Times New Roman" w:hAnsi="Times New Roman"/>
          <w:sz w:val="18"/>
          <w:szCs w:val="18"/>
          <w:color w:val="auto"/>
        </w:rPr>
      </w:pPr>
    </w:p>
    <w:p>
      <w:pPr>
        <w:ind w:left="2240" w:hanging="368"/>
        <w:spacing w:after="0"/>
        <w:tabs>
          <w:tab w:leader="none" w:pos="22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receivable due to the timing of payments;</w:t>
      </w:r>
    </w:p>
    <w:p>
      <w:pPr>
        <w:spacing w:after="0" w:line="117" w:lineRule="exact"/>
        <w:rPr>
          <w:rFonts w:ascii="Times New Roman" w:cs="Times New Roman" w:eastAsia="Times New Roman" w:hAnsi="Times New Roman"/>
          <w:sz w:val="18"/>
          <w:szCs w:val="18"/>
          <w:color w:val="auto"/>
        </w:rPr>
      </w:pPr>
    </w:p>
    <w:p>
      <w:pPr>
        <w:ind w:left="2240" w:right="260" w:hanging="368"/>
        <w:spacing w:after="0" w:line="282" w:lineRule="auto"/>
        <w:tabs>
          <w:tab w:leader="none" w:pos="22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assets due to additional promotional sales programs in the current year as compared to the prior year;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6" w:right="318" w:bottom="1440" w:gutter="0" w:footer="0" w:header="0"/>
        </w:sectPr>
      </w:pPr>
    </w:p>
    <w:bookmarkStart w:id="58" w:name="page59"/>
    <w:bookmarkEnd w:id="58"/>
    <w:p>
      <w:pPr>
        <w:ind w:left="2240" w:right="160" w:hanging="368"/>
        <w:spacing w:after="0" w:line="282" w:lineRule="auto"/>
        <w:tabs>
          <w:tab w:leader="none" w:pos="2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deferred revenue due to the recognition of revenue for transactions in which customer payment was previously received.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2024, cash provided by operating activities was $41.4 million, as compared with $79.0 million for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contributors to the decrease in operating cash flows were:</w:t>
      </w:r>
    </w:p>
    <w:p>
      <w:pPr>
        <w:spacing w:after="0" w:line="99" w:lineRule="exact"/>
        <w:rPr>
          <w:sz w:val="20"/>
          <w:szCs w:val="20"/>
          <w:color w:val="auto"/>
        </w:rPr>
      </w:pPr>
    </w:p>
    <w:p>
      <w:pPr>
        <w:ind w:left="1020" w:hanging="516"/>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$71.3 million decrease in net income and non-cash charges and credits, as noted above under “—Results of Operations.”</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$33.8 million improvement in cash flows related to operating assets and liabilities resulting from:</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increase in cash flows due to the following:</w:t>
      </w:r>
    </w:p>
    <w:p>
      <w:pPr>
        <w:spacing w:after="0" w:line="117" w:lineRule="exact"/>
        <w:rPr>
          <w:rFonts w:ascii="Times New Roman" w:cs="Times New Roman" w:eastAsia="Times New Roman" w:hAnsi="Times New Roman"/>
          <w:sz w:val="18"/>
          <w:szCs w:val="18"/>
          <w:color w:val="auto"/>
        </w:rPr>
      </w:pPr>
    </w:p>
    <w:p>
      <w:pPr>
        <w:ind w:left="2040" w:hanging="513"/>
        <w:spacing w:after="0"/>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prepaid expenses and other current assets related to the FCC Reimbursement Program; and</w:t>
      </w:r>
    </w:p>
    <w:p>
      <w:pPr>
        <w:spacing w:after="0" w:line="117" w:lineRule="exact"/>
        <w:rPr>
          <w:rFonts w:ascii="Times New Roman" w:cs="Times New Roman" w:eastAsia="Times New Roman" w:hAnsi="Times New Roman"/>
          <w:sz w:val="18"/>
          <w:szCs w:val="18"/>
          <w:color w:val="auto"/>
        </w:rPr>
      </w:pPr>
    </w:p>
    <w:p>
      <w:pPr>
        <w:ind w:left="2040" w:hanging="513"/>
        <w:spacing w:after="0"/>
        <w:tabs>
          <w:tab w:leader="none" w:pos="2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interest due to the change in timing of payments.</w:t>
      </w:r>
    </w:p>
    <w:p>
      <w:pPr>
        <w:spacing w:after="0" w:line="117" w:lineRule="exact"/>
        <w:rPr>
          <w:sz w:val="20"/>
          <w:szCs w:val="20"/>
          <w:color w:val="auto"/>
        </w:rPr>
      </w:pPr>
    </w:p>
    <w:p>
      <w:pPr>
        <w:ind w:left="1520" w:hanging="504"/>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cash flows due to the following:</w:t>
      </w:r>
    </w:p>
    <w:p>
      <w:pPr>
        <w:spacing w:after="0" w:line="117" w:lineRule="exact"/>
        <w:rPr>
          <w:rFonts w:ascii="Times New Roman" w:cs="Times New Roman" w:eastAsia="Times New Roman" w:hAnsi="Times New Roman"/>
          <w:sz w:val="18"/>
          <w:szCs w:val="18"/>
          <w:color w:val="auto"/>
        </w:rPr>
      </w:pPr>
    </w:p>
    <w:p>
      <w:pPr>
        <w:ind w:left="2240" w:hanging="368"/>
        <w:spacing w:after="0"/>
        <w:tabs>
          <w:tab w:leader="none" w:pos="2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payable due to the timing of payments; and</w:t>
      </w:r>
    </w:p>
    <w:p>
      <w:pPr>
        <w:spacing w:after="0" w:line="117" w:lineRule="exact"/>
        <w:rPr>
          <w:rFonts w:ascii="Times New Roman" w:cs="Times New Roman" w:eastAsia="Times New Roman" w:hAnsi="Times New Roman"/>
          <w:sz w:val="18"/>
          <w:szCs w:val="18"/>
          <w:color w:val="auto"/>
        </w:rPr>
      </w:pPr>
    </w:p>
    <w:p>
      <w:pPr>
        <w:ind w:left="2240" w:hanging="368"/>
        <w:spacing w:after="0"/>
        <w:tabs>
          <w:tab w:leader="none" w:pos="2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assets due to additional promotional sales programs in the current year as compared to the prior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121"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$39.9 million for the year ended December 31, 2025, due to $75.2 million of capital expenditures noted below, partially offset by $29.3 million received from the FCC Reimbursement Program for capital expenditures and $10.6 million of proceeds from interest rate caps.</w:t>
      </w:r>
    </w:p>
    <w:p>
      <w:pPr>
        <w:spacing w:after="0" w:line="68" w:lineRule="exact"/>
        <w:rPr>
          <w:sz w:val="20"/>
          <w:szCs w:val="20"/>
          <w:color w:val="auto"/>
        </w:rPr>
      </w:pPr>
    </w:p>
    <w:p>
      <w:pPr>
        <w:ind w:right="20" w:firstLine="511"/>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$337.2 million for the year ended December 31, 2024, due to $332.7 million of cash consideration for the acquisition of Satcom Direct as well as $27.1 million of capital expenditures noted below and a $5.0 million convertible note investment, partially offset by $23.2 million of proceeds from interest rate caps and $4.4 million received from the FCC Reimbursement Program for capital expenditures.</w:t>
      </w:r>
    </w:p>
    <w:p>
      <w:pPr>
        <w:spacing w:after="0" w:line="68" w:lineRule="exact"/>
        <w:rPr>
          <w:sz w:val="20"/>
          <w:szCs w:val="20"/>
          <w:color w:val="auto"/>
        </w:rPr>
      </w:pPr>
    </w:p>
    <w:p>
      <w:pPr>
        <w:ind w:right="180" w:firstLine="511"/>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$29.9 million for the year ended December 31, 2023, due to $26.7 million of proceeds from interest rate caps, $24.8 million in net redemptions of short-term investments, $1.3 million in net proceeds from the sale of an equity investment and $1.1 million received from the FCC Reimbursement Program for capital expenditures, partially offset by $24.1 million of capital expenditures noted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21" w:lineRule="exact"/>
        <w:rPr>
          <w:sz w:val="20"/>
          <w:szCs w:val="20"/>
          <w:color w:val="auto"/>
        </w:rPr>
      </w:pPr>
    </w:p>
    <w:p>
      <w:pPr>
        <w:ind w:right="20" w:firstLine="511"/>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2025 was $1.4 million, due to principal payments on the HPS Term Loan Facility, offset in part by stock-based compensation activities.</w:t>
      </w:r>
    </w:p>
    <w:p>
      <w:pPr>
        <w:spacing w:after="0" w:line="54" w:lineRule="exact"/>
        <w:rPr>
          <w:sz w:val="20"/>
          <w:szCs w:val="20"/>
          <w:color w:val="auto"/>
        </w:rPr>
      </w:pPr>
    </w:p>
    <w:p>
      <w:pPr>
        <w:jc w:val="both"/>
        <w:ind w:right="160" w:firstLine="511"/>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2024 was $198.7 million, due to $245.0 million of gross proceeds from the HPS Term Loan Facility, offset in part by debt principal payments, share repurchases, payments of deferred financing fees and stock-based compensation activities.</w:t>
      </w:r>
    </w:p>
    <w:p>
      <w:pPr>
        <w:spacing w:after="0" w:line="68" w:lineRule="exact"/>
        <w:rPr>
          <w:sz w:val="20"/>
          <w:szCs w:val="20"/>
          <w:color w:val="auto"/>
        </w:rPr>
      </w:pPr>
    </w:p>
    <w:p>
      <w:pPr>
        <w:ind w:right="440" w:firstLine="511"/>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2023 was $120.4 million, due to principal payments on the 2021 Term Loan Facility, stock-based compensation activities and share repurchases.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jc w:val="both"/>
        <w:ind w:right="160" w:firstLine="511"/>
        <w:spacing w:after="0" w:line="289" w:lineRule="auto"/>
        <w:rPr>
          <w:sz w:val="20"/>
          <w:szCs w:val="20"/>
          <w:color w:val="auto"/>
        </w:rPr>
      </w:pPr>
      <w:r>
        <w:rPr>
          <w:rFonts w:ascii="Times New Roman" w:cs="Times New Roman" w:eastAsia="Times New Roman" w:hAnsi="Times New Roman"/>
          <w:sz w:val="17"/>
          <w:szCs w:val="17"/>
          <w:color w:val="auto"/>
        </w:rPr>
        <w:t>Our business requires significant capital expenditures, primarily for technology development, equipment and capacity expansion. Capital spending for the periods presented in this report is associated with the expansion of our ATG network and data centers. We capitalized software development costs related to network technology solutions and new product/service offerings. We also capitalized costs related to the build-out of our office locations.</w:t>
      </w:r>
    </w:p>
    <w:p>
      <w:pPr>
        <w:spacing w:after="0" w:line="50"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Capital expenditures for the years ended December 31, 2025, 2024 and 2023 were $75.2 million, $27.1 million and $24.1 million, respectively. The increase in capital expenditures in 2025 as compared to 2024 was due to the build out of the LTE and Gogo 5G networks and Gogo Galileo. The increase in capital expenditures in 2024 as compared to 2023 was due to capitalized software development costs related to Gogo Galileo.</w:t>
      </w:r>
    </w:p>
    <w:p>
      <w:pPr>
        <w:spacing w:after="0" w:line="68" w:lineRule="exact"/>
        <w:rPr>
          <w:sz w:val="20"/>
          <w:szCs w:val="20"/>
          <w:color w:val="auto"/>
        </w:rPr>
      </w:pPr>
    </w:p>
    <w:p>
      <w:pPr>
        <w:ind w:right="200" w:firstLine="511"/>
        <w:spacing w:after="0" w:line="282" w:lineRule="auto"/>
        <w:rPr>
          <w:sz w:val="20"/>
          <w:szCs w:val="20"/>
          <w:color w:val="auto"/>
        </w:rPr>
      </w:pPr>
      <w:r>
        <w:rPr>
          <w:rFonts w:ascii="Times New Roman" w:cs="Times New Roman" w:eastAsia="Times New Roman" w:hAnsi="Times New Roman"/>
          <w:sz w:val="18"/>
          <w:szCs w:val="18"/>
          <w:color w:val="auto"/>
        </w:rPr>
        <w:t>We expect that our capital expenditures will start to decrease as we complete the build out of the LTE network related to the FCC Reimbursement Program and finalize our investment in Gogo 5G.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1088" w:right="358"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Debt Instruments</w:t>
      </w:r>
    </w:p>
    <w:p>
      <w:pPr>
        <w:spacing w:after="0" w:line="121" w:lineRule="exact"/>
        <w:rPr>
          <w:sz w:val="20"/>
          <w:szCs w:val="20"/>
          <w:color w:val="auto"/>
        </w:rPr>
      </w:pPr>
    </w:p>
    <w:p>
      <w:pPr>
        <w:ind w:right="520" w:firstLine="511"/>
        <w:spacing w:after="0" w:line="282" w:lineRule="auto"/>
        <w:rPr>
          <w:sz w:val="20"/>
          <w:szCs w:val="20"/>
          <w:color w:val="auto"/>
        </w:rPr>
      </w:pPr>
      <w:r>
        <w:rPr>
          <w:rFonts w:ascii="Times New Roman" w:cs="Times New Roman" w:eastAsia="Times New Roman" w:hAnsi="Times New Roman"/>
          <w:sz w:val="18"/>
          <w:szCs w:val="18"/>
          <w:color w:val="auto"/>
        </w:rPr>
        <w:t>Following is a discussion of the debt instruments we had in place as of December 31, 2025 as well as those we utilized during the years ended December 31, 2025,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Credit Agreement</w:t>
      </w:r>
    </w:p>
    <w:p>
      <w:pPr>
        <w:spacing w:after="0" w:line="119" w:lineRule="exact"/>
        <w:rPr>
          <w:sz w:val="20"/>
          <w:szCs w:val="20"/>
          <w:color w:val="auto"/>
        </w:rPr>
      </w:pPr>
    </w:p>
    <w:p>
      <w:pPr>
        <w:ind w:right="180" w:firstLine="511"/>
        <w:spacing w:after="0" w:line="256"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“2021 Term Loan Facility”) in an aggregate principal amount of $725.0 million, issued with a discount of 0.5%, and (ii) a revolving credit facility (the “Revolving Facility” and together with the 2021 Term Loan Facility, the “2021 Facilities”) of up to $100.0 million, which includes a letter of credit sub-facility. The 2021 Term Loan Facility matures on April 30, 2028.</w:t>
      </w:r>
    </w:p>
    <w:p>
      <w:pPr>
        <w:spacing w:after="0" w:line="79" w:lineRule="exact"/>
        <w:rPr>
          <w:sz w:val="20"/>
          <w:szCs w:val="20"/>
          <w:color w:val="auto"/>
        </w:rPr>
      </w:pPr>
    </w:p>
    <w:p>
      <w:pPr>
        <w:ind w:right="80" w:firstLine="511"/>
        <w:spacing w:after="0" w:line="256" w:lineRule="auto"/>
        <w:rPr>
          <w:sz w:val="20"/>
          <w:szCs w:val="20"/>
          <w:color w:val="auto"/>
        </w:rPr>
      </w:pPr>
      <w:r>
        <w:rPr>
          <w:rFonts w:ascii="Times New Roman" w:cs="Times New Roman" w:eastAsia="Times New Roman" w:hAnsi="Times New Roman"/>
          <w:sz w:val="18"/>
          <w:szCs w:val="18"/>
          <w:color w:val="auto"/>
        </w:rPr>
        <w:t>On December 3, 2024, Gogo and GIH entered into a second amendment to the 2021 Credit Agreement, by and among, Gogo, GIH, guarantors party thereto, Morgan Stanley Senior Funding, Inc., as administrative agent, and the lenders party thereto,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spacing w:after="0" w:line="79" w:lineRule="exact"/>
        <w:rPr>
          <w:sz w:val="20"/>
          <w:szCs w:val="20"/>
          <w:color w:val="auto"/>
        </w:rPr>
      </w:pPr>
    </w:p>
    <w:p>
      <w:pPr>
        <w:ind w:right="120" w:firstLine="511"/>
        <w:spacing w:after="0" w:line="312" w:lineRule="auto"/>
        <w:rPr>
          <w:sz w:val="20"/>
          <w:szCs w:val="20"/>
          <w:color w:val="auto"/>
        </w:rPr>
      </w:pPr>
      <w:r>
        <w:rPr>
          <w:rFonts w:ascii="Times New Roman" w:cs="Times New Roman" w:eastAsia="Times New Roman" w:hAnsi="Times New Roman"/>
          <w:sz w:val="17"/>
          <w:szCs w:val="17"/>
          <w:color w:val="auto"/>
        </w:rPr>
        <w:t>The 2021 Term Loan Facility amortizes in quarterly installments equal to one percent of the aggregate initial principal amount thereof per annum, with the remaining balance payable upon final maturity of the 2021 Term Loan Facility. There are no amortization payments under the Revolving Facility.</w:t>
      </w:r>
    </w:p>
    <w:p>
      <w:pPr>
        <w:spacing w:after="0" w:line="32" w:lineRule="exact"/>
        <w:rPr>
          <w:sz w:val="20"/>
          <w:szCs w:val="20"/>
          <w:color w:val="auto"/>
        </w:rPr>
      </w:pPr>
    </w:p>
    <w:p>
      <w:pPr>
        <w:ind w:right="260" w:firstLine="511"/>
        <w:spacing w:after="0" w:line="276" w:lineRule="auto"/>
        <w:rPr>
          <w:sz w:val="20"/>
          <w:szCs w:val="20"/>
          <w:color w:val="auto"/>
        </w:rPr>
      </w:pPr>
      <w:r>
        <w:rPr>
          <w:rFonts w:ascii="Times New Roman" w:cs="Times New Roman" w:eastAsia="Times New Roman" w:hAnsi="Times New Roman"/>
          <w:sz w:val="17"/>
          <w:szCs w:val="17"/>
          <w:color w:val="auto"/>
        </w:rPr>
        <w:t>The 2021 Term Loan Facility bears annual interest at a floating rate measured by reference to, at GIH’s option, either (i) an adjusted term secured overnight financing rate as administered by the Federal Reserve Bank of New York (“SOFR”) (subject to a floor of 0.75%) plus an applicable margin of</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3.75% and a credit spread adjustment of approximately 0.11%, 0.26% or 0.43% per annum based on 1-month, 3-month or 6-month term SOFR, respectively or (ii) an alternate base rate plus an applicable margin of 2.75%.</w:t>
      </w:r>
    </w:p>
    <w:p>
      <w:pPr>
        <w:spacing w:after="0" w:line="73"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3.50% to 4.00% per annum depending on GIH’s senior secured first lien net leverage ratio or (ii) an alternate base rate plus an applicable margin ranging from 2.50% to 3.00% per annum depending on GIH’s senior secured first lien net leverage ratio. Additionally, unused commitments under the Revolving Facility are subject to a fee ranging from 0.25% to 0.50% per annum depending on GIH’s senior secured first lien net leverage ratio. As of December 31, 2025, the fee for unused commitments under the Revolving Facility was 0.25% and the applicable margin was 4.00% for SOFR rate loans and 3.00% for alternate base rate loans.</w:t>
      </w:r>
    </w:p>
    <w:p>
      <w:pPr>
        <w:spacing w:after="0" w:line="79" w:lineRule="exact"/>
        <w:rPr>
          <w:sz w:val="20"/>
          <w:szCs w:val="20"/>
          <w:color w:val="auto"/>
        </w:rPr>
      </w:pPr>
    </w:p>
    <w:p>
      <w:pPr>
        <w:ind w:right="300" w:firstLine="511"/>
        <w:spacing w:after="0" w:line="258" w:lineRule="auto"/>
        <w:rPr>
          <w:sz w:val="20"/>
          <w:szCs w:val="20"/>
          <w:color w:val="auto"/>
        </w:rPr>
      </w:pPr>
      <w:r>
        <w:rPr>
          <w:rFonts w:ascii="Times New Roman" w:cs="Times New Roman" w:eastAsia="Times New Roman" w:hAnsi="Times New Roman"/>
          <w:sz w:val="18"/>
          <w:szCs w:val="18"/>
          <w:color w:val="auto"/>
        </w:rPr>
        <w:t>The 2021 Facilities may be prepaid at GIH’s option at any time without premium or penalty (other than customary breakage costs), subject to minimum principal payment amount requirements. On May 3, 2023, the Company prepaid $100 million of the outstanding principal amount of the 2021 Term Loan Facility. As a result, we wrote off $2.2 million of the deferred financing costs and unaccreted debt discount, which are included in Loss on extinguishment of debt in our Consolidated Statements of Operations for the year ended December 31, 2023. This prepayment satisfied the required amortization payments for the remaining term of the 2021 Term Loan Facility.</w:t>
      </w:r>
    </w:p>
    <w:p>
      <w:pPr>
        <w:spacing w:after="0" w:line="75" w:lineRule="exact"/>
        <w:rPr>
          <w:sz w:val="20"/>
          <w:szCs w:val="20"/>
          <w:color w:val="auto"/>
        </w:rPr>
      </w:pPr>
    </w:p>
    <w:p>
      <w:pPr>
        <w:ind w:right="40" w:firstLine="511"/>
        <w:spacing w:after="0" w:line="261" w:lineRule="auto"/>
        <w:rPr>
          <w:sz w:val="20"/>
          <w:szCs w:val="20"/>
          <w:color w:val="auto"/>
        </w:rPr>
      </w:pPr>
      <w:r>
        <w:rPr>
          <w:rFonts w:ascii="Times New Roman" w:cs="Times New Roman" w:eastAsia="Times New Roman" w:hAnsi="Times New Roman"/>
          <w:sz w:val="18"/>
          <w:szCs w:val="18"/>
          <w:color w:val="auto"/>
        </w:rPr>
        <w:t>Subject to certain exceptions and de minimis thresholds, the 2021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72" w:lineRule="exact"/>
        <w:rPr>
          <w:sz w:val="20"/>
          <w:szCs w:val="20"/>
          <w:color w:val="auto"/>
        </w:rPr>
      </w:pPr>
    </w:p>
    <w:p>
      <w:pPr>
        <w:jc w:val="both"/>
        <w:ind w:right="200" w:firstLine="511"/>
        <w:spacing w:after="0" w:line="266"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8"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2021 Facilities to be due and payable immediately and the commitments under the Revolving Facility to be terminated.</w:t>
      </w:r>
    </w:p>
    <w:p>
      <w:pPr>
        <w:spacing w:after="0" w:line="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2021 Credit Agreement contains covenants that limit the ability of GIH and its subsidiaries to incur certain non-permitted indebtedness.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92" w:right="318" w:bottom="1440" w:gutter="0" w:footer="0" w:header="0"/>
        </w:sectPr>
      </w:pPr>
    </w:p>
    <w:bookmarkStart w:id="60" w:name="page61"/>
    <w:bookmarkEnd w:id="60"/>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The proceeds of the 2021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2021 Facilities. The Revolving Facility is available for working capital and general corporate purposes of GIH and its subsidiaries and was undrawn as of December 31,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HPS Credit Agreement</w:t>
      </w:r>
    </w:p>
    <w:p>
      <w:pPr>
        <w:spacing w:after="0" w:line="119" w:lineRule="exact"/>
        <w:rPr>
          <w:sz w:val="20"/>
          <w:szCs w:val="20"/>
          <w:color w:val="auto"/>
        </w:rPr>
      </w:pPr>
    </w:p>
    <w:p>
      <w:pPr>
        <w:jc w:val="both"/>
        <w:ind w:firstLine="511"/>
        <w:spacing w:after="0" w:line="258" w:lineRule="auto"/>
        <w:rPr>
          <w:sz w:val="20"/>
          <w:szCs w:val="20"/>
          <w:color w:val="auto"/>
        </w:rPr>
      </w:pPr>
      <w:r>
        <w:rPr>
          <w:rFonts w:ascii="Times New Roman" w:cs="Times New Roman" w:eastAsia="Times New Roman" w:hAnsi="Times New Roman"/>
          <w:sz w:val="18"/>
          <w:szCs w:val="18"/>
          <w:color w:val="auto"/>
        </w:rPr>
        <w:t>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and together with the 2021 Facilities, the “Facilities”)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spacing w:after="0" w:line="75" w:lineRule="exact"/>
        <w:rPr>
          <w:sz w:val="20"/>
          <w:szCs w:val="20"/>
          <w:color w:val="auto"/>
        </w:rPr>
      </w:pPr>
    </w:p>
    <w:p>
      <w:pPr>
        <w:jc w:val="both"/>
        <w:ind w:right="240" w:firstLine="511"/>
        <w:spacing w:after="0" w:line="266" w:lineRule="auto"/>
        <w:rPr>
          <w:sz w:val="20"/>
          <w:szCs w:val="20"/>
          <w:color w:val="auto"/>
        </w:rPr>
      </w:pPr>
      <w:r>
        <w:rPr>
          <w:rFonts w:ascii="Times New Roman" w:cs="Times New Roman" w:eastAsia="Times New Roman" w:hAnsi="Times New Roman"/>
          <w:sz w:val="18"/>
          <w:szCs w:val="18"/>
          <w:color w:val="auto"/>
        </w:rPr>
        <w:t>The HPS Term Loan Facility bears annual interest at a floating rate measured by reference to, at the Company’s option, either (i) an adjusted term SOFR (subject to a floor of 1.00%) plus an initial applicable margin of 6.00%, which is subject to two leverage-based step-downs of up to 0.25% each or (ii) an alternate base rate plus an applicable margin of 5.00%, which is subject to two leverage-based step-downs of up to 0.25% each.</w:t>
      </w:r>
    </w:p>
    <w:p>
      <w:pPr>
        <w:spacing w:after="0" w:line="68" w:lineRule="exact"/>
        <w:rPr>
          <w:sz w:val="20"/>
          <w:szCs w:val="20"/>
          <w:color w:val="auto"/>
        </w:rPr>
      </w:pPr>
    </w:p>
    <w:p>
      <w:pPr>
        <w:jc w:val="both"/>
        <w:ind w:firstLine="511"/>
        <w:spacing w:after="0" w:line="258" w:lineRule="auto"/>
        <w:rPr>
          <w:sz w:val="20"/>
          <w:szCs w:val="20"/>
          <w:color w:val="auto"/>
        </w:rPr>
      </w:pPr>
      <w:r>
        <w:rPr>
          <w:rFonts w:ascii="Times New Roman" w:cs="Times New Roman" w:eastAsia="Times New Roman" w:hAnsi="Times New Roman"/>
          <w:sz w:val="18"/>
          <w:szCs w:val="18"/>
          <w:color w:val="auto"/>
        </w:rPr>
        <w:t>The HPS Term Loan Facility may be prepaid at the Company’s option, at any time, without premium or penalty (other than customary breakage costs, and except that (a) during the first 12 months following the closing of the HPS Credit Agreement, certain prepayments of the HPS Term Loan Facility are subject to a 3.00% prepayment premium and (b) during the period from 12 months to 24 months following the closing of the HPS Credit Agreement, certain prepayments of the HPS Term Loan Facility are subject to a 1.00% prepayment premium), subject to minimum principal repayment amount requirements.</w:t>
      </w:r>
    </w:p>
    <w:p>
      <w:pPr>
        <w:spacing w:after="0" w:line="75" w:lineRule="exact"/>
        <w:rPr>
          <w:sz w:val="20"/>
          <w:szCs w:val="20"/>
          <w:color w:val="auto"/>
        </w:rPr>
      </w:pPr>
    </w:p>
    <w:p>
      <w:pPr>
        <w:jc w:val="both"/>
        <w:ind w:firstLine="511"/>
        <w:spacing w:after="0" w:line="261" w:lineRule="auto"/>
        <w:rPr>
          <w:sz w:val="20"/>
          <w:szCs w:val="20"/>
          <w:color w:val="auto"/>
        </w:rPr>
      </w:pPr>
      <w:r>
        <w:rPr>
          <w:rFonts w:ascii="Times New Roman" w:cs="Times New Roman" w:eastAsia="Times New Roman" w:hAnsi="Times New Roman"/>
          <w:sz w:val="18"/>
          <w:szCs w:val="18"/>
          <w:color w:val="auto"/>
        </w:rPr>
        <w:t>Subject to certain exceptions and de minimis thresholds, the HPS Term Loan Facility is subject to mandatory prepayments in an amount equal to: (i) 100% of the net cash proceeds of certain asset sales, insurance recovery and condemnation events; (ii) 100% of the net cash proceeds of certain debt offerings; and (iii) 75% of annual excess cash flow (as defined in the HPS Credit Agreement), subject to reduction to 50% if specified senior secured first lien net leverage ratio targets are met.</w:t>
      </w:r>
    </w:p>
    <w:p>
      <w:pPr>
        <w:spacing w:after="0" w:line="72" w:lineRule="exact"/>
        <w:rPr>
          <w:sz w:val="20"/>
          <w:szCs w:val="20"/>
          <w:color w:val="auto"/>
        </w:rPr>
      </w:pPr>
    </w:p>
    <w:p>
      <w:pPr>
        <w:ind w:right="80" w:firstLine="511"/>
        <w:spacing w:after="0" w:line="282" w:lineRule="auto"/>
        <w:rPr>
          <w:sz w:val="20"/>
          <w:szCs w:val="20"/>
          <w:color w:val="auto"/>
        </w:rPr>
      </w:pPr>
      <w:r>
        <w:rPr>
          <w:rFonts w:ascii="Times New Roman" w:cs="Times New Roman" w:eastAsia="Times New Roman" w:hAnsi="Times New Roman"/>
          <w:sz w:val="18"/>
          <w:szCs w:val="18"/>
          <w:color w:val="auto"/>
        </w:rPr>
        <w:t>The HPS Credit Agreement contains customary events of default, which, if any of them occurred, would permit or require the principal, premium, if any, and interest on all of the then outstanding obligations under the HPS Term Loan Facility to be due and payable immediately.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HPS Credit Agreement contains covenants that limit the ability of GIH and its subsidiaries to incur certain non-permitted indebtedness.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proceeds of the HPS Term Loan Facility were used to finance a portion of the cash consideration for the acquisition of Satcom Direct.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ind w:right="220" w:firstLine="511"/>
        <w:spacing w:after="0" w:line="282" w:lineRule="auto"/>
        <w:rPr>
          <w:sz w:val="20"/>
          <w:szCs w:val="20"/>
          <w:color w:val="auto"/>
        </w:rPr>
      </w:pPr>
      <w:r>
        <w:rPr>
          <w:rFonts w:ascii="Times New Roman" w:cs="Times New Roman" w:eastAsia="Times New Roman" w:hAnsi="Times New Roman"/>
          <w:sz w:val="18"/>
          <w:szCs w:val="18"/>
          <w:color w:val="auto"/>
        </w:rPr>
        <w:t>Our restricted cash balances were $0.5 million and $0.5 million, respectively, as of December 31, 2025 and 2024, and consisted of letters of credit issued for the benefit of the landlords of our various office locations and the tower operators for certain of our cell sites.</w:t>
      </w:r>
    </w:p>
    <w:p>
      <w:pPr>
        <w:spacing w:after="0" w:line="54" w:lineRule="exact"/>
        <w:rPr>
          <w:sz w:val="20"/>
          <w:szCs w:val="20"/>
          <w:color w:val="auto"/>
        </w:rPr>
      </w:pPr>
    </w:p>
    <w:p>
      <w:pPr>
        <w:ind w:right="220" w:firstLine="511"/>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2021 Credit Agreement and HPS Credit Agreement, see Note 9, “Long-Term Debt and Other Liabilities,”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60" w:firstLine="511"/>
        <w:spacing w:after="0" w:line="273" w:lineRule="auto"/>
        <w:rPr>
          <w:sz w:val="20"/>
          <w:szCs w:val="20"/>
          <w:color w:val="auto"/>
        </w:rPr>
      </w:pPr>
      <w:r>
        <w:rPr>
          <w:rFonts w:ascii="Times New Roman" w:cs="Times New Roman" w:eastAsia="Times New Roman" w:hAnsi="Times New Roman"/>
          <w:sz w:val="17"/>
          <w:szCs w:val="17"/>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December 31, 2025 and December 31, 2024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61" w:name="page62"/>
    <w:bookmarkEnd w:id="61"/>
    <w:p>
      <w:pPr>
        <w:jc w:val="both"/>
        <w:ind w:right="540" w:firstLine="511"/>
        <w:spacing w:after="0" w:line="266"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66"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each of the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(if any) and the HPS Term Loan Facility. We assess our market risks based on changes in interest rates utilizing a sensitivity analysis that measures the potential impact on earnings and cash flows based on a hypothetical one percentage point change in interest rates. As of December 31, 2025,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79" w:lineRule="exact"/>
        <w:rPr>
          <w:sz w:val="20"/>
          <w:szCs w:val="20"/>
          <w:color w:val="auto"/>
        </w:rPr>
      </w:pPr>
    </w:p>
    <w:p>
      <w:pPr>
        <w:ind w:right="160" w:firstLine="511"/>
        <w:spacing w:after="0" w:line="256" w:lineRule="auto"/>
        <w:rPr>
          <w:sz w:val="20"/>
          <w:szCs w:val="20"/>
          <w:color w:val="auto"/>
        </w:rPr>
      </w:pPr>
      <w:r>
        <w:rPr>
          <w:rFonts w:ascii="Times New Roman" w:cs="Times New Roman" w:eastAsia="Times New Roman" w:hAnsi="Times New Roman"/>
          <w:sz w:val="18"/>
          <w:szCs w:val="18"/>
          <w:color w:val="auto"/>
        </w:rPr>
        <w:t>The notional amount of outstanding debt associated with interest rate cap agreements as of December 31, 2025 was $250.0 million. Based on our December 31, 2025 outstanding variable rate debt balance, a hypothetical one percentage point change in the applicable interest rate would impact our annual interest expense by approximately $6.2 million for the next twelve-month period, which includes the impact of our interest rate caps at a strike rate of 2.25% and the $50 million reduction in the notional amount and an increase of the strike rate to 2.75% that will occur on July 31, 2026. Excluding the impact of our interest rate caps, a hypothetical one percentage point change in the applicable interest rate would impact our annual interest expense by approximately $8.5 million for the next twelve-month period.</w:t>
      </w:r>
    </w:p>
    <w:p>
      <w:pPr>
        <w:spacing w:after="0" w:line="79" w:lineRule="exact"/>
        <w:rPr>
          <w:sz w:val="20"/>
          <w:szCs w:val="20"/>
          <w:color w:val="auto"/>
        </w:rPr>
      </w:pPr>
    </w:p>
    <w:p>
      <w:pPr>
        <w:ind w:right="80" w:firstLine="511"/>
        <w:spacing w:after="0" w:line="266"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years ended December 31, 2025, 2024 and 2023 by immaterial amounts.</w:t>
      </w:r>
    </w:p>
    <w:p>
      <w:pPr>
        <w:spacing w:after="0" w:line="66" w:lineRule="exact"/>
        <w:rPr>
          <w:sz w:val="20"/>
          <w:szCs w:val="20"/>
          <w:color w:val="auto"/>
        </w:rPr>
      </w:pPr>
    </w:p>
    <w:p>
      <w:pPr>
        <w:ind w:firstLine="51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affected by inflation in the future.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10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Gogo Inc.</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gridSpan w:val="2"/>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 of Deloitte &amp; Touche LLP, Independent Registered Public Accounting Firm (PCAOB ID No. 34)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69"/>
        </w:trPr>
        <w:tc>
          <w:tcPr>
            <w:tcW w:w="10260" w:type="dxa"/>
            <w:vAlign w:val="bottom"/>
            <w:gridSpan w:val="8"/>
            <w:vMerge w:val="continue"/>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4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72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6520" w:type="dxa"/>
            <w:vAlign w:val="bottom"/>
            <w:gridSpan w:val="2"/>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2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720" w:type="dxa"/>
            <w:vAlign w:val="bottom"/>
            <w:gridSpan w:val="3"/>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68"/>
        </w:trPr>
        <w:tc>
          <w:tcPr>
            <w:tcW w:w="3140" w:type="dxa"/>
            <w:vAlign w:val="bottom"/>
            <w:tcBorders>
              <w:top w:val="single" w:sz="8" w:color="0000FF"/>
            </w:tcBorders>
            <w:gridSpan w:val="4"/>
          </w:tcPr>
          <w:p>
            <w:pPr>
              <w:spacing w:after="0"/>
              <w:rPr>
                <w:sz w:val="24"/>
                <w:szCs w:val="24"/>
                <w:color w:val="auto"/>
              </w:rPr>
            </w:pPr>
          </w:p>
        </w:tc>
        <w:tc>
          <w:tcPr>
            <w:tcW w:w="44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61</w:t>
            </w:r>
          </w:p>
        </w:tc>
        <w:tc>
          <w:tcPr>
            <w:tcW w:w="2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63" w:name="page64"/>
    <w:bookmarkEnd w:id="63"/>
    <w:p>
      <w:pPr>
        <w:ind w:right="51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Gogo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Gogo Inc. and subsidiaries (the "Company") as of December 31, 2025 and 2024, the related consolidated statements of operations,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the accounting principles generally accepted in the United States of America.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2026, expressed an adverse opinion on the Company's internal control over financial reporting because of a material weakness.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Notes 1 and 8 to the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performed a quantitative goodwill impairment assessment as of its annual test date of October 1, 2025, and determined that it was not more likely than not that the fair value of the reporting unit was below its carrying value as of such date.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quantitative goodwill impairment assessment involved comparing the carrying value of the Company’s reporting unit to the estimated fair value of the reporting unit which is based on both the market and income approaches to estimate fair value. The quantitative goodwill impairment assessment requires the Company to make significant estimates and assumptions related to the determination of the fair value of the reporting unit. Changes in these assumptions could have a significant impact on either the fair value of the reporting unit, the amount of any goodwill impairment charge, or both.</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goodwill balance is $193 million as of December 31, 2025, and the quantitative goodwill impairment assessment performed as of October 1, 2025 resulted in the fair value of the reporting unit in excess of its carrying value. Therefore, no goodwill impairment charge was recorded.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goodwill as a critical audit matter because of (i) the significant judgments inherent in management’s estimates while developing the fair value measurement of the reporting unit including forecasted revenue growth rates, forecasted earnings before income taxes, depreciation and amortization (“EBITDA”) margins, discount rate, long-term growth rate, and the selection of financial multiples of comparable companies; (ii) a high degree of auditor judgment and subjectivity in performing our audit procedures; and (iii)</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64" w:name="page65"/>
    <w:bookmarkEnd w:id="64"/>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an increased extent of effort involved using professionals with specialized skill and knowledge to evaluate the reasonableness of management's estimates and assumptions.</w:t>
      </w:r>
    </w:p>
    <w:p>
      <w:pPr>
        <w:spacing w:after="0" w:line="5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preparation of the forecasted revenue growth rates and forecasted EBITDA margins, and the selection of the discount rate, long-term growth rate, and financial multiples of comparable companies used in the quantitative goodwill impairment assessment for the Company’s reporting unit included the following:</w:t>
      </w:r>
    </w:p>
    <w:p>
      <w:pPr>
        <w:spacing w:after="0" w:line="68" w:lineRule="exact"/>
        <w:rPr>
          <w:sz w:val="20"/>
          <w:szCs w:val="20"/>
          <w:color w:val="auto"/>
        </w:rPr>
      </w:pPr>
    </w:p>
    <w:p>
      <w:pPr>
        <w:jc w:val="both"/>
        <w:ind w:left="447" w:hanging="447"/>
        <w:spacing w:after="0" w:line="266" w:lineRule="auto"/>
        <w:tabs>
          <w:tab w:leader="none" w:pos="4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annual goodwill impairment assessment, including those over the preparation of the forecasted revenue growth rates and forecasted EBITDA margins, and the selection of the discount rate, long-term growth rate, and financial multiples of comparable companies used in the fair value measurement.</w:t>
      </w:r>
    </w:p>
    <w:p>
      <w:pPr>
        <w:spacing w:after="0" w:line="67" w:lineRule="exact"/>
        <w:rPr>
          <w:rFonts w:ascii="Times New Roman" w:cs="Times New Roman" w:eastAsia="Times New Roman" w:hAnsi="Times New Roman"/>
          <w:sz w:val="18"/>
          <w:szCs w:val="18"/>
          <w:color w:val="auto"/>
        </w:rPr>
      </w:pPr>
    </w:p>
    <w:p>
      <w:pPr>
        <w:ind w:left="447" w:hanging="447"/>
        <w:spacing w:after="0" w:line="282" w:lineRule="auto"/>
        <w:tabs>
          <w:tab w:leader="none" w:pos="4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analyses of the forecasted revenue growth rates, forecasted EBITDA margins, discount rate, and long-term growth rate to evaluate the reasonableness of management’s assumptions.</w:t>
      </w:r>
    </w:p>
    <w:p>
      <w:pPr>
        <w:spacing w:after="0" w:line="53" w:lineRule="exact"/>
        <w:rPr>
          <w:rFonts w:ascii="Times New Roman" w:cs="Times New Roman" w:eastAsia="Times New Roman" w:hAnsi="Times New Roman"/>
          <w:sz w:val="18"/>
          <w:szCs w:val="18"/>
          <w:color w:val="auto"/>
        </w:rPr>
      </w:pPr>
    </w:p>
    <w:p>
      <w:pPr>
        <w:ind w:left="447" w:hanging="447"/>
        <w:spacing w:after="0" w:line="282" w:lineRule="auto"/>
        <w:tabs>
          <w:tab w:leader="none" w:pos="4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forecasted revenue growth rates and forecasted EBITDA margins by comparing the assumptions to (i) similar metrics for guideline public companies and (ii) third-party macroeconomic and industry data.</w:t>
      </w:r>
    </w:p>
    <w:p>
      <w:pPr>
        <w:spacing w:after="0" w:line="53" w:lineRule="exact"/>
        <w:rPr>
          <w:rFonts w:ascii="Times New Roman" w:cs="Times New Roman" w:eastAsia="Times New Roman" w:hAnsi="Times New Roman"/>
          <w:sz w:val="18"/>
          <w:szCs w:val="18"/>
          <w:color w:val="auto"/>
        </w:rPr>
      </w:pPr>
    </w:p>
    <w:p>
      <w:pPr>
        <w:ind w:left="447" w:hanging="447"/>
        <w:spacing w:after="0" w:line="282" w:lineRule="auto"/>
        <w:tabs>
          <w:tab w:leader="none" w:pos="4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selection of the discount rate, long-term growth rate, and financial multiples of comparable companies, along with the valuation methodology.</w:t>
      </w:r>
    </w:p>
    <w:p>
      <w:pPr>
        <w:spacing w:after="0" w:line="50" w:lineRule="exact"/>
        <w:rPr>
          <w:sz w:val="20"/>
          <w:szCs w:val="20"/>
          <w:color w:val="auto"/>
        </w:rPr>
      </w:pPr>
    </w:p>
    <w:p>
      <w:pPr>
        <w:ind w:left="7" w:right="5620"/>
        <w:spacing w:after="0" w:line="4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Earnout Consideration — Refer to Notes 1 and 2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8"/>
          <w:szCs w:val="18"/>
          <w:color w:val="auto"/>
        </w:rPr>
        <w:t>On December 3, 2024, the Company completed its acquisition of Satcom Direct, LLC (“Satcom Direct”) for consideration at close of the acquisition of $448 million, which included the fair value of contingent consideration related to a potential earnout provision. During the year, the earnout consideration associated with the Satcom Direct acquisition was remeasured and subsequent changes to the fair value of the earnout consideration were recorded within the consolidated statement of operations. As of December 31, 2025, the Company determined the fair value of the earnout consideration to be $71.9 million, which represents a ‘Level 3’ fair value measurement in the fair value hierarchy due to the significant unobservable inputs used in determining the fair value and the use of management judgment for key assumptions. As of December 31, 2025, $33.0 million of the earnout consideration is included in Other non-current liabilities on the Consolidated Balance Sheets, with the remainder in Accrued liabilities.</w:t>
      </w:r>
    </w:p>
    <w:p>
      <w:pPr>
        <w:spacing w:after="0" w:line="81" w:lineRule="exact"/>
        <w:rPr>
          <w:sz w:val="20"/>
          <w:szCs w:val="20"/>
          <w:color w:val="auto"/>
        </w:rPr>
      </w:pPr>
    </w:p>
    <w:p>
      <w:pPr>
        <w:jc w:val="both"/>
        <w:ind w:left="7"/>
        <w:spacing w:after="0" w:line="261" w:lineRule="auto"/>
        <w:rPr>
          <w:sz w:val="20"/>
          <w:szCs w:val="20"/>
          <w:color w:val="auto"/>
        </w:rPr>
      </w:pPr>
      <w:r>
        <w:rPr>
          <w:rFonts w:ascii="Times New Roman" w:cs="Times New Roman" w:eastAsia="Times New Roman" w:hAnsi="Times New Roman"/>
          <w:sz w:val="18"/>
          <w:szCs w:val="18"/>
          <w:color w:val="auto"/>
        </w:rPr>
        <w:t>Auditing the valuation of the earnout consideration was complex and required significant auditor judgment due to the use of a Monte Carlo simulation model and the high degree of subjectivity in evaluating certain assumptions required to estimate the fair value of the earnout consideration. In particular, the fair value measurement was sensitive to the significant assumptions underlying the estimated forecasted gross profit projections of Satcom Direct and the risk-adjusted discount rate.</w:t>
      </w:r>
    </w:p>
    <w:p>
      <w:pPr>
        <w:spacing w:after="0" w:line="1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forecasted gross profit projections and risk-adjusted discount rate used in the Company’s earnout consideration valuation included the following:</w:t>
      </w:r>
    </w:p>
    <w:p>
      <w:pPr>
        <w:spacing w:after="0" w:line="162" w:lineRule="exact"/>
        <w:rPr>
          <w:sz w:val="20"/>
          <w:szCs w:val="20"/>
          <w:color w:val="auto"/>
        </w:rPr>
      </w:pPr>
    </w:p>
    <w:p>
      <w:pPr>
        <w:ind w:left="447" w:hanging="447"/>
        <w:spacing w:after="0" w:line="282" w:lineRule="auto"/>
        <w:tabs>
          <w:tab w:leader="none" w:pos="4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earnout consideration, including those over the preparation of forecasted gross profit projections and the selection of the risk-adjusted discount rate to estimate the fair value of the earnout consideration.</w:t>
      </w:r>
    </w:p>
    <w:p>
      <w:pPr>
        <w:spacing w:after="0" w:line="161" w:lineRule="exact"/>
        <w:rPr>
          <w:rFonts w:ascii="Times New Roman" w:cs="Times New Roman" w:eastAsia="Times New Roman" w:hAnsi="Times New Roman"/>
          <w:sz w:val="18"/>
          <w:szCs w:val="18"/>
          <w:color w:val="auto"/>
        </w:rPr>
      </w:pPr>
    </w:p>
    <w:p>
      <w:pPr>
        <w:ind w:left="447" w:hanging="447"/>
        <w:spacing w:after="0" w:line="282" w:lineRule="auto"/>
        <w:tabs>
          <w:tab w:leader="none" w:pos="4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forecasted gross profit projections by comparing the forecasts to third-party macroeconomic and industry data.</w:t>
      </w:r>
    </w:p>
    <w:p>
      <w:pPr>
        <w:spacing w:after="0" w:line="161" w:lineRule="exact"/>
        <w:rPr>
          <w:rFonts w:ascii="Times New Roman" w:cs="Times New Roman" w:eastAsia="Times New Roman" w:hAnsi="Times New Roman"/>
          <w:sz w:val="18"/>
          <w:szCs w:val="18"/>
          <w:color w:val="auto"/>
        </w:rPr>
      </w:pPr>
    </w:p>
    <w:p>
      <w:pPr>
        <w:ind w:left="447" w:hanging="447"/>
        <w:spacing w:after="0"/>
        <w:tabs>
          <w:tab w:leader="none" w:pos="4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forecasted gross profit projection assumptions used were consistent with evidence obtained in other areas of the audit.</w:t>
      </w:r>
    </w:p>
    <w:p>
      <w:pPr>
        <w:spacing w:after="0" w:line="225" w:lineRule="exact"/>
        <w:rPr>
          <w:rFonts w:ascii="Times New Roman" w:cs="Times New Roman" w:eastAsia="Times New Roman" w:hAnsi="Times New Roman"/>
          <w:sz w:val="18"/>
          <w:szCs w:val="18"/>
          <w:color w:val="auto"/>
        </w:rPr>
      </w:pPr>
    </w:p>
    <w:p>
      <w:pPr>
        <w:ind w:left="447" w:hanging="447"/>
        <w:spacing w:after="0" w:line="282" w:lineRule="auto"/>
        <w:tabs>
          <w:tab w:leader="none" w:pos="4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selection of the risk-adjusted discount rate, along with the valuation methodology.</w:t>
      </w:r>
    </w:p>
    <w:p>
      <w:pPr>
        <w:spacing w:after="0" w:line="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Chicago, IL</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February 27, 2026</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2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8" w:right="318"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125,206</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allowances of $6,783 and $4,467, respectively</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69,039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323,093</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275,331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184,831</w:t>
            </w:r>
          </w:p>
        </w:tc>
        <w:tc>
          <w:tcPr>
            <w:tcW w:w="100" w:type="dxa"/>
            <w:vAlign w:val="bottom"/>
          </w:tcPr>
          <w:p>
            <w:pPr>
              <w:spacing w:after="0"/>
              <w:rPr>
                <w:sz w:val="19"/>
                <w:szCs w:val="19"/>
                <w:color w:val="auto"/>
              </w:rPr>
            </w:pPr>
          </w:p>
        </w:tc>
      </w:tr>
      <w:tr>
        <w:trPr>
          <w:trHeight w:val="21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68,465</w:t>
            </w:r>
          </w:p>
        </w:tc>
        <w:tc>
          <w:tcPr>
            <w:tcW w:w="100" w:type="dxa"/>
            <w:vAlign w:val="bottom"/>
            <w:shd w:val="clear" w:color="auto" w:fill="CFF0FC"/>
          </w:tcPr>
          <w:p>
            <w:pPr>
              <w:spacing w:after="0"/>
              <w:rPr>
                <w:sz w:val="18"/>
                <w:szCs w:val="18"/>
                <w:color w:val="auto"/>
              </w:rPr>
            </w:pPr>
          </w:p>
        </w:tc>
      </w:tr>
      <w:tr>
        <w:trPr>
          <w:trHeight w:val="229"/>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 convertible note</w:t>
            </w:r>
          </w:p>
        </w:tc>
        <w:tc>
          <w:tcPr>
            <w:tcW w:w="18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non-current assets, net of allowances of $538 and $861, respectively</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217,309</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871,863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1,303,772</w:t>
            </w:r>
          </w:p>
        </w:tc>
        <w:tc>
          <w:tcPr>
            <w:tcW w:w="1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1,229,231</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92,514</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269,228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831,581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68,178</w:t>
            </w:r>
          </w:p>
        </w:tc>
        <w:tc>
          <w:tcPr>
            <w:tcW w:w="10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977,879</w:t>
            </w:r>
          </w:p>
        </w:tc>
        <w:tc>
          <w:tcPr>
            <w:tcW w:w="10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1,202,643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par value $0.0001 per share; 500,000,000 shares authorized at December 31, 2025</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December 31, 2024; 134,511,275 and 144,095,996 shares issued at December 31, 2025 and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respectively; and 134,511,275 and 130,918,997 shares outstanding at December</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2025 and December 31, 2024, respectively</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1,288,294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1,460,270</w:t>
            </w: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(196,382)</w:t>
            </w: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(1,187,222)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(1,200,145)</w:t>
            </w:r>
          </w:p>
        </w:tc>
      </w:tr>
      <w:tr>
        <w:trPr>
          <w:trHeight w:val="223"/>
        </w:trPr>
        <w:tc>
          <w:tcPr>
            <w:tcW w:w="77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1,303,772</w:t>
            </w:r>
          </w:p>
        </w:tc>
        <w:tc>
          <w:tcPr>
            <w:tcW w:w="1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1,229,231</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5901690</wp:posOffset>
            </wp:positionH>
            <wp:positionV relativeFrom="paragraph">
              <wp:posOffset>-5348605</wp:posOffset>
            </wp:positionV>
            <wp:extent cx="6858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-5348605</wp:posOffset>
            </wp:positionV>
            <wp:extent cx="685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-3874135</wp:posOffset>
            </wp:positionV>
            <wp:extent cx="6858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-3874135</wp:posOffset>
            </wp:positionV>
            <wp:extent cx="6858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-2665730</wp:posOffset>
            </wp:positionV>
            <wp:extent cx="6858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-2665730</wp:posOffset>
            </wp:positionV>
            <wp:extent cx="6858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-2073910</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-2073910</wp:posOffset>
            </wp:positionV>
            <wp:extent cx="685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-1765300</wp:posOffset>
            </wp:positionV>
            <wp:extent cx="6858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-1765300</wp:posOffset>
            </wp:positionV>
            <wp:extent cx="6858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-179705</wp:posOffset>
            </wp:positionV>
            <wp:extent cx="6858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-179705</wp:posOffset>
            </wp:positionV>
            <wp:extent cx="6858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17" w:right="318"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Gogo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8"/>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16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774,393</w:t>
            </w:r>
          </w:p>
        </w:tc>
        <w:tc>
          <w:tcPr>
            <w:tcW w:w="180" w:type="dxa"/>
            <w:vAlign w:val="bottom"/>
          </w:tcPr>
          <w:p>
            <w:pPr>
              <w:spacing w:after="0"/>
              <w:rPr>
                <w:sz w:val="19"/>
                <w:szCs w:val="19"/>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364,270</w:t>
            </w:r>
          </w:p>
        </w:tc>
        <w:tc>
          <w:tcPr>
            <w:tcW w:w="180" w:type="dxa"/>
            <w:vAlign w:val="bottom"/>
          </w:tcPr>
          <w:p>
            <w:pPr>
              <w:spacing w:after="0"/>
              <w:rPr>
                <w:sz w:val="19"/>
                <w:szCs w:val="19"/>
                <w:color w:val="auto"/>
              </w:rPr>
            </w:pPr>
          </w:p>
        </w:tc>
        <w:tc>
          <w:tcPr>
            <w:tcW w:w="5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318,015</w:t>
            </w:r>
          </w:p>
        </w:tc>
        <w:tc>
          <w:tcPr>
            <w:tcW w:w="100" w:type="dxa"/>
            <w:vAlign w:val="bottom"/>
          </w:tcPr>
          <w:p>
            <w:pPr>
              <w:spacing w:after="0"/>
              <w:rPr>
                <w:sz w:val="19"/>
                <w:szCs w:val="19"/>
                <w:color w:val="auto"/>
              </w:rPr>
            </w:pPr>
          </w:p>
        </w:tc>
      </w:tr>
      <w:tr>
        <w:trPr>
          <w:trHeight w:val="229"/>
        </w:trPr>
        <w:tc>
          <w:tcPr>
            <w:tcW w:w="5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Equipment revenue</w:t>
            </w:r>
          </w:p>
        </w:tc>
        <w:tc>
          <w:tcPr>
            <w:tcW w:w="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136,098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80,439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910,491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397,577</w:t>
            </w:r>
          </w:p>
        </w:tc>
        <w:tc>
          <w:tcPr>
            <w:tcW w:w="100" w:type="dxa"/>
            <w:vAlign w:val="bottom"/>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 (exclusive of items shown below)</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372,728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69,568</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equipment revenue (exclusive of items shown below)</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134,676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63,383</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36,683</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29,797</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116,741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57,280</w:t>
            </w:r>
          </w:p>
        </w:tc>
        <w:tc>
          <w:tcPr>
            <w:tcW w:w="100" w:type="dxa"/>
            <w:vAlign w:val="bottom"/>
          </w:tcPr>
          <w:p>
            <w:pPr>
              <w:spacing w:after="0"/>
              <w:rPr>
                <w:sz w:val="19"/>
                <w:szCs w:val="19"/>
                <w:color w:val="auto"/>
              </w:rPr>
            </w:pPr>
          </w:p>
        </w:tc>
      </w:tr>
      <w:tr>
        <w:trPr>
          <w:trHeight w:val="230"/>
        </w:trPr>
        <w:tc>
          <w:tcPr>
            <w:tcW w:w="5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796,408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273,412</w:t>
            </w:r>
          </w:p>
        </w:tc>
        <w:tc>
          <w:tcPr>
            <w:tcW w:w="100" w:type="dxa"/>
            <w:vAlign w:val="bottom"/>
          </w:tcPr>
          <w:p>
            <w:pPr>
              <w:spacing w:after="0"/>
              <w:rPr>
                <w:sz w:val="19"/>
                <w:szCs w:val="19"/>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114,083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(8,336)</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(7,403)</w:t>
            </w: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(1,315)</w:t>
            </w:r>
          </w:p>
        </w:tc>
      </w:tr>
      <w:tr>
        <w:trPr>
          <w:trHeight w:val="223"/>
        </w:trPr>
        <w:tc>
          <w:tcPr>
            <w:tcW w:w="5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700" w:type="dxa"/>
            <w:vAlign w:val="bottom"/>
            <w:tcBorders>
              <w:top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87,271</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Borders>
              <w:top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97,603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(48,075)</w:t>
            </w:r>
          </w:p>
        </w:tc>
      </w:tr>
      <w:tr>
        <w:trPr>
          <w:trHeight w:val="26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 per share:</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9"/>
                <w:szCs w:val="19"/>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spacing w:after="0"/>
              <w:rPr>
                <w:sz w:val="19"/>
                <w:szCs w:val="19"/>
                <w:color w:val="auto"/>
              </w:rPr>
            </w:pPr>
          </w:p>
        </w:tc>
        <w:tc>
          <w:tcPr>
            <w:tcW w:w="5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9"/>
        </w:trPr>
        <w:tc>
          <w:tcPr>
            <w:tcW w:w="52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spacing w:after="0"/>
              <w:rPr>
                <w:sz w:val="23"/>
                <w:szCs w:val="2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133,707</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128,533</w:t>
            </w:r>
          </w:p>
        </w:tc>
        <w:tc>
          <w:tcPr>
            <w:tcW w:w="1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129,753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136,593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133,283</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-4071620</wp:posOffset>
            </wp:positionV>
            <wp:extent cx="6858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-4071620</wp:posOffset>
            </wp:positionV>
            <wp:extent cx="685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-4071620</wp:posOffset>
            </wp:positionV>
            <wp:extent cx="6858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-2887980</wp:posOffset>
            </wp:positionV>
            <wp:extent cx="6858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-2887980</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-2887980</wp:posOffset>
            </wp:positionV>
            <wp:extent cx="685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-2588260</wp:posOffset>
            </wp:positionV>
            <wp:extent cx="6858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-2588260</wp:posOffset>
            </wp:positionV>
            <wp:extent cx="6858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-2588260</wp:posOffset>
            </wp:positionV>
            <wp:extent cx="6858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-1705610</wp:posOffset>
            </wp:positionV>
            <wp:extent cx="6858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-1705610</wp:posOffset>
            </wp:positionV>
            <wp:extent cx="685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-1705610</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-1096645</wp:posOffset>
            </wp:positionV>
            <wp:extent cx="240030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400300" cy="17145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-196850</wp:posOffset>
            </wp:positionV>
            <wp:extent cx="2400300" cy="1974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400300" cy="19748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23" w:right="318"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(823)</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flow hedges: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Amount recognized in other comprehensive income</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0" w:type="dxa"/>
            <w:vAlign w:val="bottom"/>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(5,523)</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(10,229)</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(14,332)</w:t>
            </w:r>
          </w:p>
        </w:tc>
      </w:tr>
      <w:tr>
        <w:trPr>
          <w:trHeight w:val="26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131,346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-25400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-8255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17" w:right="318"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Gogo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r>
      <w:tr>
        <w:trPr>
          <w:trHeight w:val="155"/>
        </w:trPr>
        <w:tc>
          <w:tcPr>
            <w:tcW w:w="60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8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62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12,923</w:t>
            </w:r>
          </w:p>
        </w:tc>
        <w:tc>
          <w:tcPr>
            <w:tcW w:w="280" w:type="dxa"/>
            <w:vAlign w:val="bottom"/>
          </w:tcPr>
          <w:p>
            <w:pPr>
              <w:spacing w:after="0"/>
              <w:rPr>
                <w:sz w:val="14"/>
                <w:szCs w:val="14"/>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13,746</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145,678</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16,701</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Loss on asset disposals, abandonments and write-downs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FF0FC"/>
          </w:tcPr>
          <w:p>
            <w:pPr>
              <w:spacing w:after="0"/>
              <w:rPr>
                <w:sz w:val="14"/>
                <w:szCs w:val="14"/>
                <w:color w:val="auto"/>
              </w:rPr>
            </w:pP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(49,172)</w:t>
            </w: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21,288</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5,518</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shd w:val="clear" w:color="auto" w:fill="CFF0FC"/>
          </w:tcPr>
          <w:p>
            <w:pPr>
              <w:spacing w:after="0"/>
              <w:rPr>
                <w:sz w:val="14"/>
                <w:szCs w:val="14"/>
                <w:color w:val="auto"/>
              </w:rPr>
            </w:pP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convertible note and gain on sale of equity investment</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(1,343)</w:t>
            </w:r>
          </w:p>
        </w:tc>
      </w:tr>
      <w:tr>
        <w:trPr>
          <w:trHeight w:val="148"/>
        </w:trPr>
        <w:tc>
          <w:tcPr>
            <w:tcW w:w="60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2,224</w:t>
            </w:r>
          </w:p>
        </w:tc>
        <w:tc>
          <w:tcPr>
            <w:tcW w:w="100" w:type="dxa"/>
            <w:vAlign w:val="bottom"/>
            <w:shd w:val="clear" w:color="auto" w:fill="CFF0FC"/>
          </w:tcPr>
          <w:p>
            <w:pPr>
              <w:spacing w:after="0"/>
              <w:rPr>
                <w:sz w:val="12"/>
                <w:szCs w:val="12"/>
                <w:color w:val="auto"/>
              </w:rPr>
            </w:pP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(4,954)</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4,833</w:t>
            </w:r>
          </w:p>
        </w:tc>
        <w:tc>
          <w:tcPr>
            <w:tcW w:w="100" w:type="dxa"/>
            <w:vAlign w:val="bottom"/>
            <w:shd w:val="clear" w:color="auto" w:fill="CFF0FC"/>
          </w:tcPr>
          <w:p>
            <w:pPr>
              <w:spacing w:after="0"/>
              <w:rPr>
                <w:sz w:val="14"/>
                <w:szCs w:val="14"/>
                <w:color w:val="auto"/>
              </w:rPr>
            </w:pPr>
          </w:p>
        </w:tc>
      </w:tr>
      <w:tr>
        <w:trPr>
          <w:trHeight w:val="162"/>
        </w:trPr>
        <w:tc>
          <w:tcPr>
            <w:tcW w:w="6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(1,081)</w:t>
            </w: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(16,224)</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(13,694)</w:t>
            </w:r>
          </w:p>
        </w:tc>
      </w:tr>
      <w:tr>
        <w:trPr>
          <w:trHeight w:val="162"/>
        </w:trPr>
        <w:tc>
          <w:tcPr>
            <w:tcW w:w="6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(9,404)</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(13,417)</w:t>
            </w: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(49,891)</w:t>
            </w:r>
          </w:p>
        </w:tc>
      </w:tr>
      <w:tr>
        <w:trPr>
          <w:trHeight w:val="162"/>
        </w:trPr>
        <w:tc>
          <w:tcPr>
            <w:tcW w:w="6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Contract assets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(14,230)</w:t>
            </w: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(7,138)</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10,551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(11,295)</w:t>
            </w: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3,658</w:t>
            </w:r>
          </w:p>
        </w:tc>
        <w:tc>
          <w:tcPr>
            <w:tcW w:w="100" w:type="dxa"/>
            <w:vAlign w:val="bottom"/>
            <w:shd w:val="clear" w:color="auto" w:fill="CFF0FC"/>
          </w:tcPr>
          <w:p>
            <w:pPr>
              <w:spacing w:after="0"/>
              <w:rPr>
                <w:sz w:val="14"/>
                <w:szCs w:val="14"/>
                <w:color w:val="auto"/>
              </w:rPr>
            </w:pPr>
          </w:p>
        </w:tc>
      </w:tr>
      <w:tr>
        <w:trPr>
          <w:trHeight w:val="162"/>
        </w:trPr>
        <w:tc>
          <w:tcPr>
            <w:tcW w:w="6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(5,440)</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(2,411)</w:t>
            </w:r>
          </w:p>
        </w:tc>
      </w:tr>
      <w:tr>
        <w:trPr>
          <w:trHeight w:val="162"/>
        </w:trPr>
        <w:tc>
          <w:tcPr>
            <w:tcW w:w="6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interest</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(2,052)</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(9,409)</w:t>
            </w:r>
          </w:p>
        </w:tc>
      </w:tr>
      <w:tr>
        <w:trPr>
          <w:trHeight w:val="162"/>
        </w:trPr>
        <w:tc>
          <w:tcPr>
            <w:tcW w:w="6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(2,631)</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(2,952)</w:t>
            </w:r>
          </w:p>
        </w:tc>
      </w:tr>
      <w:tr>
        <w:trPr>
          <w:trHeight w:val="155"/>
        </w:trPr>
        <w:tc>
          <w:tcPr>
            <w:tcW w:w="6060" w:type="dxa"/>
            <w:vAlign w:val="bottom"/>
            <w:tcBorders>
              <w:top w:val="single" w:sz="8" w:color="CFF0FC"/>
            </w:tcBorders>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880" w:type="dxa"/>
            <w:vAlign w:val="bottom"/>
            <w:tcBorders>
              <w:top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124,490</w:t>
            </w: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41,421</w:t>
            </w:r>
          </w:p>
        </w:tc>
        <w:tc>
          <w:tcPr>
            <w:tcW w:w="260" w:type="dxa"/>
            <w:vAlign w:val="bottom"/>
            <w:tcBorders>
              <w:top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78,970</w:t>
            </w:r>
          </w:p>
        </w:tc>
        <w:tc>
          <w:tcPr>
            <w:tcW w:w="100" w:type="dxa"/>
            <w:vAlign w:val="bottom"/>
            <w:tcBorders>
              <w:top w:val="single" w:sz="8" w:color="CFF0FC"/>
            </w:tcBorders>
          </w:tcPr>
          <w:p>
            <w:pPr>
              <w:spacing w:after="0"/>
              <w:rPr>
                <w:sz w:val="13"/>
                <w:szCs w:val="13"/>
                <w:color w:val="auto"/>
              </w:rPr>
            </w:pPr>
          </w:p>
        </w:tc>
      </w:tr>
      <w:tr>
        <w:trPr>
          <w:trHeight w:val="156"/>
        </w:trPr>
        <w:tc>
          <w:tcPr>
            <w:tcW w:w="60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8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(59,377)</w:t>
            </w: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(13,504)</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(16,267)</w:t>
            </w: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(15,784)</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(13,551)</w:t>
            </w: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(7,821)</w:t>
            </w: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Satcom Direct, net of cash acquired</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(1,612)</w:t>
            </w: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(332,724)</w:t>
            </w:r>
          </w:p>
        </w:tc>
        <w:tc>
          <w:tcPr>
            <w:tcW w:w="3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Proceeds from FCC Reimbursement Program for property, equipment and intangibles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29,282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FF0FC"/>
          </w:tcPr>
          <w:p>
            <w:pPr>
              <w:spacing w:after="0"/>
              <w:rPr>
                <w:sz w:val="14"/>
                <w:szCs w:val="14"/>
                <w:color w:val="auto"/>
              </w:rPr>
            </w:pP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interest rate caps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26,675</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Redemptions of short-term investments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74,179</w:t>
            </w:r>
          </w:p>
        </w:tc>
        <w:tc>
          <w:tcPr>
            <w:tcW w:w="100" w:type="dxa"/>
            <w:vAlign w:val="bottom"/>
            <w:shd w:val="clear" w:color="auto" w:fill="CFF0FC"/>
          </w:tcPr>
          <w:p>
            <w:pPr>
              <w:spacing w:after="0"/>
              <w:rPr>
                <w:sz w:val="14"/>
                <w:szCs w:val="14"/>
                <w:color w:val="auto"/>
              </w:rPr>
            </w:pP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(49,383)</w:t>
            </w: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Purchases of convertible note and equity investment</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(3,000)</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(5,000)</w:t>
            </w: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sale of equity investment</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100" w:type="dxa"/>
            <w:vAlign w:val="bottom"/>
          </w:tcPr>
          <w:p>
            <w:pPr>
              <w:spacing w:after="0"/>
              <w:rPr>
                <w:sz w:val="14"/>
                <w:szCs w:val="14"/>
                <w:color w:val="auto"/>
              </w:rPr>
            </w:pPr>
          </w:p>
        </w:tc>
      </w:tr>
      <w:tr>
        <w:trPr>
          <w:trHeight w:val="142"/>
        </w:trPr>
        <w:tc>
          <w:tcPr>
            <w:tcW w:w="6060" w:type="dxa"/>
            <w:vAlign w:val="bottom"/>
            <w:tcBorders>
              <w:bottom w:val="single" w:sz="8" w:color="CFF0FC"/>
            </w:tcBorders>
            <w:shd w:val="clear" w:color="auto" w:fill="CFF0FC"/>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8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(39,921)</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(337,203)</w:t>
            </w:r>
          </w:p>
        </w:tc>
        <w:tc>
          <w:tcPr>
            <w:tcW w:w="2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29,856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55"/>
        </w:trPr>
        <w:tc>
          <w:tcPr>
            <w:tcW w:w="60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Proceeds from term loan, net of discount</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245,000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(4,020)</w:t>
            </w:r>
          </w:p>
        </w:tc>
        <w:tc>
          <w:tcPr>
            <w:tcW w:w="3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(33,185)</w:t>
            </w: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(4,822)</w:t>
            </w: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on term loan</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(2,500)</w:t>
            </w: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(6,063)</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(107,250)</w:t>
            </w:r>
          </w:p>
        </w:tc>
      </w:tr>
      <w:tr>
        <w:trPr>
          <w:trHeight w:val="162"/>
        </w:trPr>
        <w:tc>
          <w:tcPr>
            <w:tcW w:w="6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(31)</w:t>
            </w: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(132)</w:t>
            </w:r>
          </w:p>
        </w:tc>
      </w:tr>
      <w:tr>
        <w:trPr>
          <w:trHeight w:val="162"/>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(3,010)</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(8,230)</w:t>
            </w:r>
          </w:p>
        </w:tc>
      </w:tr>
      <w:tr>
        <w:trPr>
          <w:trHeight w:val="155"/>
        </w:trPr>
        <w:tc>
          <w:tcPr>
            <w:tcW w:w="6060" w:type="dxa"/>
            <w:vAlign w:val="bottom"/>
            <w:tcBorders>
              <w:bottom w:val="single" w:sz="8" w:color="CFF0FC"/>
            </w:tcBorders>
            <w:shd w:val="clear" w:color="auto" w:fill="CFF0FC"/>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8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(1,351)</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198,691</w:t>
            </w:r>
          </w:p>
        </w:tc>
        <w:tc>
          <w:tcPr>
            <w:tcW w:w="2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(120,434)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606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8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3"/>
                <w:szCs w:val="13"/>
                <w:color w:val="auto"/>
              </w:rPr>
            </w:pPr>
          </w:p>
        </w:tc>
      </w:tr>
      <w:tr>
        <w:trPr>
          <w:trHeight w:val="155"/>
        </w:trPr>
        <w:tc>
          <w:tcPr>
            <w:tcW w:w="60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8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83,386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(97,062)</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(11,514)</w:t>
            </w:r>
          </w:p>
        </w:tc>
        <w:tc>
          <w:tcPr>
            <w:tcW w:w="100" w:type="dxa"/>
            <w:vAlign w:val="bottom"/>
            <w:shd w:val="clear" w:color="auto" w:fill="CFF0FC"/>
          </w:tcPr>
          <w:p>
            <w:pPr>
              <w:spacing w:after="0"/>
              <w:rPr>
                <w:sz w:val="13"/>
                <w:szCs w:val="13"/>
                <w:color w:val="auto"/>
              </w:rPr>
            </w:pPr>
          </w:p>
        </w:tc>
      </w:tr>
      <w:tr>
        <w:trPr>
          <w:trHeight w:val="162"/>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42,304</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139,366</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150,880</w:t>
            </w:r>
          </w:p>
        </w:tc>
        <w:tc>
          <w:tcPr>
            <w:tcW w:w="100" w:type="dxa"/>
            <w:vAlign w:val="bottom"/>
          </w:tcPr>
          <w:p>
            <w:pPr>
              <w:spacing w:after="0"/>
              <w:rPr>
                <w:sz w:val="14"/>
                <w:szCs w:val="14"/>
                <w:color w:val="auto"/>
              </w:rPr>
            </w:pPr>
          </w:p>
        </w:tc>
      </w:tr>
      <w:tr>
        <w:trPr>
          <w:trHeight w:val="195"/>
        </w:trPr>
        <w:tc>
          <w:tcPr>
            <w:tcW w:w="606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8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9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125,690</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42,304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139,366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6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620" w:type="dxa"/>
            <w:vAlign w:val="bottom"/>
            <w:gridSpan w:val="2"/>
          </w:tcPr>
          <w:p>
            <w:pPr>
              <w:jc w:val="right"/>
              <w:ind w:right="590"/>
              <w:spacing w:after="0" w:line="143"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6"/>
              </w:rPr>
              <w:t>125,690</w:t>
            </w:r>
          </w:p>
        </w:tc>
        <w:tc>
          <w:tcPr>
            <w:tcW w:w="28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42,304</w:t>
            </w:r>
          </w:p>
        </w:tc>
        <w:tc>
          <w:tcPr>
            <w:tcW w:w="260" w:type="dxa"/>
            <w:vAlign w:val="bottom"/>
          </w:tcPr>
          <w:p>
            <w:pPr>
              <w:spacing w:after="0"/>
              <w:rPr>
                <w:sz w:val="12"/>
                <w:szCs w:val="12"/>
                <w:color w:val="auto"/>
              </w:rPr>
            </w:pPr>
          </w:p>
        </w:tc>
        <w:tc>
          <w:tcPr>
            <w:tcW w:w="300" w:type="dxa"/>
            <w:vAlign w:val="bottom"/>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139,366</w:t>
            </w:r>
          </w:p>
        </w:tc>
        <w:tc>
          <w:tcPr>
            <w:tcW w:w="100" w:type="dxa"/>
            <w:vAlign w:val="bottom"/>
          </w:tcPr>
          <w:p>
            <w:pPr>
              <w:spacing w:after="0"/>
              <w:rPr>
                <w:sz w:val="12"/>
                <w:szCs w:val="12"/>
                <w:color w:val="auto"/>
              </w:rPr>
            </w:pPr>
          </w:p>
        </w:tc>
      </w:tr>
      <w:tr>
        <w:trPr>
          <w:trHeight w:val="162"/>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current restricted cash</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Less: non-current restricted cash</w:t>
            </w:r>
          </w:p>
        </w:tc>
        <w:tc>
          <w:tcPr>
            <w:tcW w:w="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4"/>
                <w:szCs w:val="14"/>
                <w:color w:val="auto"/>
              </w:rPr>
            </w:pPr>
          </w:p>
        </w:tc>
      </w:tr>
      <w:tr>
        <w:trPr>
          <w:trHeight w:val="195"/>
        </w:trPr>
        <w:tc>
          <w:tcPr>
            <w:tcW w:w="606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8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9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125,206</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41,765</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139,036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606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Cash paid for interest</w:t>
            </w:r>
          </w:p>
        </w:tc>
        <w:tc>
          <w:tcPr>
            <w:tcW w:w="162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77,806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56,150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68,145</w:t>
            </w:r>
          </w:p>
        </w:tc>
        <w:tc>
          <w:tcPr>
            <w:tcW w:w="100" w:type="dxa"/>
            <w:vAlign w:val="bottom"/>
            <w:shd w:val="clear" w:color="auto" w:fill="CFF0FC"/>
          </w:tcPr>
          <w:p>
            <w:pPr>
              <w:spacing w:after="0"/>
              <w:rPr>
                <w:sz w:val="14"/>
                <w:szCs w:val="14"/>
                <w:color w:val="auto"/>
              </w:rPr>
            </w:pPr>
          </w:p>
        </w:tc>
      </w:tr>
      <w:tr>
        <w:trPr>
          <w:trHeight w:val="162"/>
        </w:trPr>
        <w:tc>
          <w:tcPr>
            <w:tcW w:w="6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for taxes, net</w:t>
            </w:r>
          </w:p>
        </w:tc>
        <w:tc>
          <w:tcPr>
            <w:tcW w:w="162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280" w:type="dxa"/>
            <w:vAlign w:val="bottom"/>
          </w:tcPr>
          <w:p>
            <w:pPr>
              <w:spacing w:after="0"/>
              <w:rPr>
                <w:sz w:val="14"/>
                <w:szCs w:val="14"/>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26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Pr>
          <w:p>
            <w:pPr>
              <w:spacing w:after="0"/>
              <w:rPr>
                <w:sz w:val="14"/>
                <w:szCs w:val="14"/>
                <w:color w:val="auto"/>
              </w:rPr>
            </w:pPr>
          </w:p>
        </w:tc>
      </w:tr>
      <w:tr>
        <w:trPr>
          <w:trHeight w:val="162"/>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9"/>
        </w:trPr>
        <w:tc>
          <w:tcPr>
            <w:tcW w:w="60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Fair value of shares issued in acquisition of Satcom Direct</w:t>
            </w:r>
          </w:p>
        </w:tc>
        <w:tc>
          <w:tcPr>
            <w:tcW w:w="1620" w:type="dxa"/>
            <w:vAlign w:val="bottom"/>
            <w:gridSpan w:val="2"/>
          </w:tcPr>
          <w:p>
            <w:pPr>
              <w:jc w:val="right"/>
              <w:ind w:right="59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40,500</w:t>
            </w:r>
          </w:p>
        </w:tc>
        <w:tc>
          <w:tcPr>
            <w:tcW w:w="26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2"/>
        </w:trPr>
        <w:tc>
          <w:tcPr>
            <w:tcW w:w="6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162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16,486</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-3608070</wp:posOffset>
            </wp:positionV>
            <wp:extent cx="68580"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-3608070</wp:posOffset>
            </wp:positionV>
            <wp:extent cx="68580"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-3608070</wp:posOffset>
            </wp:positionV>
            <wp:extent cx="68580"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-2357120</wp:posOffset>
            </wp:positionV>
            <wp:extent cx="68580" cy="111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-2357120</wp:posOffset>
            </wp:positionV>
            <wp:extent cx="68580"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-2357120</wp:posOffset>
            </wp:positionV>
            <wp:extent cx="68580" cy="111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-1517015</wp:posOffset>
            </wp:positionV>
            <wp:extent cx="68580" cy="120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-1517015</wp:posOffset>
            </wp:positionV>
            <wp:extent cx="6858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-1517015</wp:posOffset>
            </wp:positionV>
            <wp:extent cx="68580"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-1079500</wp:posOffset>
            </wp:positionV>
            <wp:extent cx="197167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971675" cy="12890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-633730</wp:posOffset>
            </wp:positionV>
            <wp:extent cx="197167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971675" cy="12890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23" w:right="318"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5"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Accumulate</w:t>
      </w:r>
    </w:p>
    <w:p>
      <w:pPr>
        <w:spacing w:after="0" w:line="6"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4"/>
          <w:szCs w:val="14"/>
          <w:b w:val="1"/>
          <w:bCs w:val="1"/>
          <w:color w:val="auto"/>
        </w:rPr>
        <w:t>d</w:t>
      </w:r>
    </w:p>
    <w:tbl>
      <w:tblPr>
        <w:tblLayout w:type="fixed"/>
        <w:tblInd w:w="0" w:type="dxa"/>
        <w:tblCellMar>
          <w:top w:w="0" w:type="dxa"/>
          <w:left w:w="0" w:type="dxa"/>
          <w:bottom w:w="0" w:type="dxa"/>
          <w:right w:w="0" w:type="dxa"/>
        </w:tblCellMar>
      </w:tblPr>
      <w:tr>
        <w:trPr>
          <w:trHeight w:val="145"/>
        </w:trPr>
        <w:tc>
          <w:tcPr>
            <w:tcW w:w="3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202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1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2100" w:type="dxa"/>
            <w:vAlign w:val="bottom"/>
            <w:gridSpan w:val="6"/>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202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2100" w:type="dxa"/>
            <w:vAlign w:val="bottom"/>
            <w:gridSpan w:val="6"/>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Par Value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127,840,813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1,385,933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30,128</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(1,359,569)</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(158,375)</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(101,869)</w:t>
            </w:r>
          </w:p>
        </w:tc>
        <w:tc>
          <w:tcPr>
            <w:tcW w:w="0" w:type="dxa"/>
            <w:vAlign w:val="bottom"/>
          </w:tcPr>
          <w:p>
            <w:pPr>
              <w:spacing w:after="0"/>
              <w:rPr>
                <w:sz w:val="1"/>
                <w:szCs w:val="1"/>
                <w:color w:val="auto"/>
              </w:rPr>
            </w:pPr>
          </w:p>
        </w:tc>
      </w:tr>
      <w:tr>
        <w:trPr>
          <w:trHeight w:val="162"/>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145,678</w:t>
            </w: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Fair value adjustments of cash flow hedges, net of</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(14,623)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(14,623)</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21,288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218,585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04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853,080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units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(6,188)</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(6,188)</w:t>
            </w: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29,257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(479,392)</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479,392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(4,822)</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(4,822)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128,462,343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1,402,003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15,796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(1,213,891)</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9,169,941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(163,197)</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13,746</w:t>
            </w: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(823)</w:t>
            </w:r>
          </w:p>
        </w:tc>
        <w:tc>
          <w:tcPr>
            <w:tcW w:w="0" w:type="dxa"/>
            <w:vAlign w:val="bottom"/>
          </w:tcPr>
          <w:p>
            <w:pPr>
              <w:spacing w:after="0"/>
              <w:rPr>
                <w:sz w:val="1"/>
                <w:szCs w:val="1"/>
                <w:color w:val="auto"/>
              </w:rPr>
            </w:pPr>
          </w:p>
        </w:tc>
      </w:tr>
      <w:tr>
        <w:trPr>
          <w:trHeight w:val="149"/>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Fair value adjustments of cash flow hedges, net of</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(9,406)</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20,777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236,979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1,190,029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units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(3,903)</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(3,903)</w:t>
            </w: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36,704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issued in acquisition of Satcom Direct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(4,007,058)</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4,007,058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(33,185)</w:t>
            </w: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(33,185)</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130,918,997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1,460,270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(1,200,145)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13,176,999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(196,382)</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12,923</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Fair value adjustments of cash flow hedges, net of</w:t>
            </w: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tax</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(6,235)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(6,235)</w:t>
            </w:r>
          </w:p>
        </w:tc>
        <w:tc>
          <w:tcPr>
            <w:tcW w:w="0" w:type="dxa"/>
            <w:vAlign w:val="bottom"/>
          </w:tcPr>
          <w:p>
            <w:pPr>
              <w:spacing w:after="0"/>
              <w:rPr>
                <w:sz w:val="1"/>
                <w:szCs w:val="1"/>
                <w:color w:val="auto"/>
              </w:rPr>
            </w:pPr>
          </w:p>
        </w:tc>
      </w:tr>
      <w:tr>
        <w:trPr>
          <w:trHeight w:val="162"/>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1,523,441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1,958,500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04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units</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(5,374)</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(5,374)</w:t>
            </w:r>
          </w:p>
        </w:tc>
        <w:tc>
          <w:tcPr>
            <w:tcW w:w="0" w:type="dxa"/>
            <w:vAlign w:val="bottom"/>
          </w:tcPr>
          <w:p>
            <w:pPr>
              <w:spacing w:after="0"/>
              <w:rPr>
                <w:sz w:val="1"/>
                <w:szCs w:val="1"/>
                <w:color w:val="auto"/>
              </w:rPr>
            </w:pPr>
          </w:p>
        </w:tc>
      </w:tr>
      <w:tr>
        <w:trPr>
          <w:trHeight w:val="149"/>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right w:val="single" w:sz="8" w:color="CFF0FC"/>
            </w:tcBorders>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(196,380)</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(13,176,999)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196,382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134,511,275</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1,288,294</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4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(1,187,222)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-1636395</wp:posOffset>
            </wp:positionV>
            <wp:extent cx="68580" cy="111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-1636395</wp:posOffset>
            </wp:positionV>
            <wp:extent cx="68580"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-1636395</wp:posOffset>
            </wp:positionV>
            <wp:extent cx="68580" cy="111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4436110</wp:posOffset>
            </wp:positionH>
            <wp:positionV relativeFrom="paragraph">
              <wp:posOffset>-1636395</wp:posOffset>
            </wp:positionV>
            <wp:extent cx="68580" cy="1111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-1636395</wp:posOffset>
            </wp:positionV>
            <wp:extent cx="77470" cy="1111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-1636395</wp:posOffset>
            </wp:positionV>
            <wp:extent cx="68580" cy="111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6407785</wp:posOffset>
            </wp:positionH>
            <wp:positionV relativeFrom="paragraph">
              <wp:posOffset>-1636395</wp:posOffset>
            </wp:positionV>
            <wp:extent cx="68580" cy="111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-1636395</wp:posOffset>
            </wp:positionV>
            <wp:extent cx="68580" cy="111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-136525</wp:posOffset>
            </wp:positionV>
            <wp:extent cx="6858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3124200</wp:posOffset>
            </wp:positionH>
            <wp:positionV relativeFrom="paragraph">
              <wp:posOffset>-136525</wp:posOffset>
            </wp:positionV>
            <wp:extent cx="6858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3784600</wp:posOffset>
            </wp:positionH>
            <wp:positionV relativeFrom="paragraph">
              <wp:posOffset>-136525</wp:posOffset>
            </wp:positionV>
            <wp:extent cx="6858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4436110</wp:posOffset>
            </wp:positionH>
            <wp:positionV relativeFrom="paragraph">
              <wp:posOffset>-136525</wp:posOffset>
            </wp:positionV>
            <wp:extent cx="6858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-136525</wp:posOffset>
            </wp:positionV>
            <wp:extent cx="7747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-136525</wp:posOffset>
            </wp:positionV>
            <wp:extent cx="6858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6407785</wp:posOffset>
            </wp:positionH>
            <wp:positionV relativeFrom="paragraph">
              <wp:posOffset>-136525</wp:posOffset>
            </wp:positionV>
            <wp:extent cx="6858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-136525</wp:posOffset>
            </wp:positionV>
            <wp:extent cx="6858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976" w:right="318"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7" w:lineRule="exact"/>
        <w:rPr>
          <w:sz w:val="20"/>
          <w:szCs w:val="20"/>
          <w:color w:val="auto"/>
        </w:rPr>
      </w:pPr>
    </w:p>
    <w:p>
      <w:pPr>
        <w:ind w:right="420" w:firstLine="511"/>
        <w:spacing w:after="0" w:line="286" w:lineRule="auto"/>
        <w:rPr>
          <w:sz w:val="20"/>
          <w:szCs w:val="20"/>
          <w:color w:val="auto"/>
        </w:rPr>
      </w:pPr>
      <w:r>
        <w:rPr>
          <w:rFonts w:ascii="Times New Roman" w:cs="Times New Roman" w:eastAsia="Times New Roman" w:hAnsi="Times New Roman"/>
          <w:sz w:val="18"/>
          <w:szCs w:val="18"/>
          <w:b w:val="1"/>
          <w:bCs w:val="1"/>
          <w:color w:val="221E1F"/>
        </w:rPr>
        <w:t xml:space="preserve">Principles of Consolidation </w:t>
      </w:r>
      <w:r>
        <w:rPr>
          <w:rFonts w:ascii="Times New Roman" w:cs="Times New Roman" w:eastAsia="Times New Roman" w:hAnsi="Times New Roman"/>
          <w:sz w:val="18"/>
          <w:szCs w:val="18"/>
          <w:b w:val="1"/>
          <w:bCs w:val="1"/>
          <w:i w:val="1"/>
          <w:iCs w:val="1"/>
          <w:color w:val="221E1F"/>
        </w:rPr>
        <w:t>-</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The consolidated financial statements include our wholly owned subsidiaries. All intercompany transactions and</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account balances have been eliminated.</w:t>
      </w:r>
    </w:p>
    <w:p>
      <w:pPr>
        <w:spacing w:after="0" w:line="47"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8"/>
          <w:szCs w:val="18"/>
          <w:b w:val="1"/>
          <w:bCs w:val="1"/>
          <w:color w:val="221E1F"/>
        </w:rPr>
        <w:t xml:space="preserve">Segments </w:t>
      </w:r>
      <w:r>
        <w:rPr>
          <w:rFonts w:ascii="Times New Roman" w:cs="Times New Roman" w:eastAsia="Times New Roman" w:hAnsi="Times New Roman"/>
          <w:sz w:val="18"/>
          <w:szCs w:val="18"/>
          <w:b w:val="1"/>
          <w:bCs w:val="1"/>
          <w:i w:val="1"/>
          <w:iCs w:val="1"/>
          <w:color w:val="221E1F"/>
        </w:rPr>
        <w:t>-</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000000"/>
        </w:rPr>
        <w:t>As a result of the Company’s acquisition of Satcom Direct on December 3, 2024, as described in Note 2, “Acquisition of Satcom</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000000"/>
        </w:rPr>
        <w:t>Direct,” the Company initially had two reportable segments on December 3, 2024: the legacy pre-acquisition operations of the Company and the acquired entities of Satcom Direct. However, during the third quarter of 2025, the Company’s chief operating decision maker (“CODM”), who is the Chief Executive Officer, started making resource and operating decisions by evaluating the performance and business results of the consolidated company. As such, the Company has a single reportable segment as of December 31, 2025.</w:t>
      </w:r>
    </w:p>
    <w:p>
      <w:pPr>
        <w:spacing w:after="0" w:line="71"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8"/>
          <w:szCs w:val="18"/>
          <w:b w:val="1"/>
          <w:bCs w:val="1"/>
          <w:color w:val="221E1F"/>
        </w:rPr>
        <w:t xml:space="preserve">Use of Estimates </w:t>
      </w:r>
      <w:r>
        <w:rPr>
          <w:rFonts w:ascii="Times New Roman" w:cs="Times New Roman" w:eastAsia="Times New Roman" w:hAnsi="Times New Roman"/>
          <w:sz w:val="18"/>
          <w:szCs w:val="18"/>
          <w:color w:val="221E1F"/>
        </w:rPr>
        <w:t>- The preparation of financial statements in conformity with accounting principles generally accepted in the United States of</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America (“GAAP”)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71" w:lineRule="exact"/>
        <w:rPr>
          <w:sz w:val="20"/>
          <w:szCs w:val="20"/>
          <w:color w:val="auto"/>
        </w:rPr>
      </w:pPr>
    </w:p>
    <w:p>
      <w:pPr>
        <w:ind w:right="140" w:firstLine="511"/>
        <w:spacing w:after="0" w:line="259" w:lineRule="auto"/>
        <w:rPr>
          <w:sz w:val="20"/>
          <w:szCs w:val="20"/>
          <w:color w:val="auto"/>
        </w:rPr>
      </w:pPr>
      <w:r>
        <w:rPr>
          <w:rFonts w:ascii="Times New Roman" w:cs="Times New Roman" w:eastAsia="Times New Roman" w:hAnsi="Times New Roman"/>
          <w:sz w:val="18"/>
          <w:szCs w:val="18"/>
          <w:b w:val="1"/>
          <w:bCs w:val="1"/>
          <w:color w:val="221E1F"/>
        </w:rPr>
        <w:t xml:space="preserve">Cash, Cash Equivalents and Short-Term Investments - </w:t>
      </w:r>
      <w:r>
        <w:rPr>
          <w:rFonts w:ascii="Times New Roman" w:cs="Times New Roman" w:eastAsia="Times New Roman" w:hAnsi="Times New Roman"/>
          <w:sz w:val="18"/>
          <w:szCs w:val="18"/>
          <w:color w:val="221E1F"/>
        </w:rPr>
        <w:t>We consider cash and cash equivalents to be short-term, highly liquid investments that</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have the following characteristics: readily convertible to known amounts of cash, so near their maturities that there is insignificant risk of changes in value due to any changes in market interest rates, and having maturities of three months or less when purchased. We continually monitor positions with, and the credit quality of, the financial institutions with which we invest. The carrying amounts reported in the balance sheets for cash and cash equivalents approximate the fair market value of these assets.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We consider short-term investments to be investments with maturities of twelve months or less (but greater than three months).</w:t>
      </w:r>
    </w:p>
    <w:p>
      <w:pPr>
        <w:spacing w:after="0" w:line="113"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Allowance for Credit Losses - </w:t>
      </w:r>
      <w:r>
        <w:rPr>
          <w:rFonts w:ascii="Times New Roman" w:cs="Times New Roman" w:eastAsia="Times New Roman" w:hAnsi="Times New Roman"/>
          <w:sz w:val="18"/>
          <w:szCs w:val="18"/>
          <w:color w:val="auto"/>
        </w:rPr>
        <w:t>We regularly evaluate our accounts receivable, contract assets and other receivables within the scope of ASC 326,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for expected credit losses. Our current expected credit loss allowance methodology for accounts receivable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the aging of the accounts receivable balances and the financial condition of customers. 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 Balances are written off when determined to be uncollectible. We apply a similar methodology to our current and non-current contract asset balances. However, due to the inherent additional risk associated with a long-term receivable, an additional provision for credit loss is applied to contract asset balances that will diminish over time as the contract nears its expiration date.</w:t>
      </w:r>
    </w:p>
    <w:p>
      <w:pPr>
        <w:spacing w:after="0" w:line="81" w:lineRule="exact"/>
        <w:rPr>
          <w:sz w:val="20"/>
          <w:szCs w:val="20"/>
          <w:color w:val="auto"/>
        </w:rPr>
      </w:pPr>
    </w:p>
    <w:p>
      <w:pPr>
        <w:ind w:right="80" w:firstLine="511"/>
        <w:spacing w:after="0" w:line="289" w:lineRule="auto"/>
        <w:rPr>
          <w:sz w:val="20"/>
          <w:szCs w:val="20"/>
          <w:color w:val="auto"/>
        </w:rPr>
      </w:pPr>
      <w:r>
        <w:rPr>
          <w:rFonts w:ascii="Times New Roman" w:cs="Times New Roman" w:eastAsia="Times New Roman" w:hAnsi="Times New Roman"/>
          <w:sz w:val="17"/>
          <w:szCs w:val="17"/>
          <w:color w:val="auto"/>
        </w:rPr>
        <w:t>Estimates are used to determine the expected loss allowances. Such allowances are based on management’s assessment of anticipated payment, taking into account available historical and current information as well as management’s assessment of potential future developments. We are continuously monitoring our assumptions used to determine our expected credit losses which could cause us to record additional material credit losses in future periods.</w:t>
      </w:r>
    </w:p>
    <w:p>
      <w:pPr>
        <w:spacing w:after="0" w:line="46" w:lineRule="exact"/>
        <w:rPr>
          <w:sz w:val="20"/>
          <w:szCs w:val="20"/>
          <w:color w:val="auto"/>
        </w:rPr>
      </w:pPr>
    </w:p>
    <w:p>
      <w:pPr>
        <w:ind w:right="320" w:firstLine="5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1E1F"/>
        </w:rPr>
        <w:t>Certain cash amounts are restricted as to use and are classified outside of cash and cash equivalents. Cash amounts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1E1F"/>
        </w:rPr>
        <w:t>restrictions of twelve months or less are included in Prepaid expenses and other current assets and amounts restricted for greater than twelve months are included in Other non-current assets in our consolidated balance sheets.</w:t>
      </w:r>
    </w:p>
    <w:p>
      <w:pPr>
        <w:spacing w:after="0" w:line="67" w:lineRule="exact"/>
        <w:rPr>
          <w:sz w:val="20"/>
          <w:szCs w:val="20"/>
          <w:color w:val="auto"/>
        </w:rPr>
      </w:pPr>
    </w:p>
    <w:p>
      <w:pPr>
        <w:ind w:right="280" w:firstLine="511"/>
        <w:spacing w:after="0" w:line="282" w:lineRule="auto"/>
        <w:rPr>
          <w:sz w:val="20"/>
          <w:szCs w:val="20"/>
          <w:color w:val="auto"/>
        </w:rPr>
      </w:pPr>
      <w:r>
        <w:rPr>
          <w:rFonts w:ascii="Times New Roman" w:cs="Times New Roman" w:eastAsia="Times New Roman" w:hAnsi="Times New Roman"/>
          <w:sz w:val="18"/>
          <w:szCs w:val="18"/>
          <w:color w:val="auto"/>
        </w:rPr>
        <w:t>Our restricted cash balances were $0.5 million and $0.5 million as of December 31, 2025 and 2024, respectively, and consisted of letters of credit issued for the benefit of the landlords of our various office locations and the tower operators for certain of our cell sites.</w:t>
      </w:r>
    </w:p>
    <w:p>
      <w:pPr>
        <w:spacing w:after="0" w:line="50" w:lineRule="exact"/>
        <w:rPr>
          <w:sz w:val="20"/>
          <w:szCs w:val="20"/>
          <w:color w:val="auto"/>
        </w:rPr>
      </w:pPr>
    </w:p>
    <w:p>
      <w:pPr>
        <w:ind w:right="320" w:firstLine="511"/>
        <w:spacing w:after="0" w:line="286" w:lineRule="auto"/>
        <w:rPr>
          <w:sz w:val="20"/>
          <w:szCs w:val="20"/>
          <w:color w:val="auto"/>
        </w:rPr>
      </w:pPr>
      <w:r>
        <w:rPr>
          <w:rFonts w:ascii="Times New Roman" w:cs="Times New Roman" w:eastAsia="Times New Roman" w:hAnsi="Times New Roman"/>
          <w:sz w:val="18"/>
          <w:szCs w:val="18"/>
          <w:b w:val="1"/>
          <w:bCs w:val="1"/>
          <w:color w:val="221E1F"/>
        </w:rPr>
        <w:t xml:space="preserve">Concentrations of Credit Risk - </w:t>
      </w:r>
      <w:r>
        <w:rPr>
          <w:rFonts w:ascii="Times New Roman" w:cs="Times New Roman" w:eastAsia="Times New Roman" w:hAnsi="Times New Roman"/>
          <w:sz w:val="18"/>
          <w:szCs w:val="18"/>
          <w:color w:val="221E1F"/>
        </w:rPr>
        <w:t>Financial instruments that potentially subject us to a concentration of credit risk consist principally of cash and</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cash equivalents. All cash and cash equivalents are invested with creditworthy financial institutions.</w:t>
      </w:r>
    </w:p>
    <w:p>
      <w:pPr>
        <w:spacing w:after="0" w:line="47"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b w:val="1"/>
          <w:bCs w:val="1"/>
          <w:color w:val="221E1F"/>
        </w:rPr>
        <w:t xml:space="preserve">Income Tax - </w:t>
      </w:r>
      <w:r>
        <w:rPr>
          <w:rFonts w:ascii="Times New Roman" w:cs="Times New Roman" w:eastAsia="Times New Roman" w:hAnsi="Times New Roman"/>
          <w:sz w:val="18"/>
          <w:szCs w:val="18"/>
          <w:color w:val="221E1F"/>
        </w:rPr>
        <w:t>We use an asset- and liability-based approach in accounting for income taxes. Deferred income tax assets and liabilities are recorded</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 xml:space="preserve">for tax attributes and are based on the differences between the financial statement and tax basis of assets and liabilities, applying enacted statutory tax rates in effect for the year in which the tax differences are expected to reverse. </w:t>
      </w:r>
      <w:r>
        <w:rPr>
          <w:rFonts w:ascii="Times New Roman" w:cs="Times New Roman" w:eastAsia="Times New Roman" w:hAnsi="Times New Roman"/>
          <w:sz w:val="18"/>
          <w:szCs w:val="18"/>
          <w:color w:val="000000"/>
        </w:rPr>
        <w:t>We regularly assess the need for a valuation allowance related to our deferred</w:t>
      </w:r>
      <w:r>
        <w:rPr>
          <w:rFonts w:ascii="Times New Roman" w:cs="Times New Roman" w:eastAsia="Times New Roman" w:hAnsi="Times New Roman"/>
          <w:sz w:val="18"/>
          <w:szCs w:val="18"/>
          <w:color w:val="221E1F"/>
        </w:rPr>
        <w:t xml:space="preserve"> </w:t>
      </w:r>
      <w:r>
        <w:rPr>
          <w:rFonts w:ascii="Times New Roman" w:cs="Times New Roman" w:eastAsia="Times New Roman" w:hAnsi="Times New Roman"/>
          <w:sz w:val="18"/>
          <w:szCs w:val="18"/>
          <w:color w:val="000000"/>
        </w:rPr>
        <w:t xml:space="preserve">income tax assets to determine, based on the weight of the available positive and negative evidence, whether it is more likely than not that some or all of such deferred assets will not be realized. </w:t>
      </w:r>
      <w:r>
        <w:rPr>
          <w:rFonts w:ascii="Times New Roman" w:cs="Times New Roman" w:eastAsia="Times New Roman" w:hAnsi="Times New Roman"/>
          <w:sz w:val="18"/>
          <w:szCs w:val="18"/>
          <w:color w:val="221E1F"/>
        </w:rPr>
        <w:t>We also consider the existence of any uncertain tax positions and, as necessary, provide a reserve for any uncertain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1E1F"/>
        </w:rPr>
        <w:t>tax positions at each reporting date.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610235</wp:posOffset>
            </wp:positionV>
            <wp:extent cx="71831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15, “Income Tax,” for further details.</w:t>
      </w:r>
    </w:p>
    <w:p>
      <w:pPr>
        <w:spacing w:after="0" w:line="113" w:lineRule="exact"/>
        <w:rPr>
          <w:sz w:val="20"/>
          <w:szCs w:val="20"/>
          <w:color w:val="auto"/>
        </w:rPr>
      </w:pPr>
    </w:p>
    <w:p>
      <w:pPr>
        <w:jc w:val="both"/>
        <w:ind w:right="120" w:firstLine="511"/>
        <w:spacing w:after="0" w:line="268" w:lineRule="auto"/>
        <w:rPr>
          <w:sz w:val="20"/>
          <w:szCs w:val="20"/>
          <w:color w:val="auto"/>
        </w:rPr>
      </w:pPr>
      <w:r>
        <w:rPr>
          <w:rFonts w:ascii="Times New Roman" w:cs="Times New Roman" w:eastAsia="Times New Roman" w:hAnsi="Times New Roman"/>
          <w:sz w:val="18"/>
          <w:szCs w:val="18"/>
          <w:b w:val="1"/>
          <w:bCs w:val="1"/>
          <w:color w:val="221E1F"/>
        </w:rPr>
        <w:t xml:space="preserve">Inventories - </w:t>
      </w:r>
      <w:r>
        <w:rPr>
          <w:rFonts w:ascii="Times New Roman" w:cs="Times New Roman" w:eastAsia="Times New Roman" w:hAnsi="Times New Roman"/>
          <w:sz w:val="18"/>
          <w:szCs w:val="18"/>
          <w:color w:val="221E1F"/>
        </w:rPr>
        <w:t>Inventories consist primarily of telecommunications systems and parts and are recorded at the lower of average cost or net realizable</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value. We evaluate the need for write-downs associated with obsolete, slow-moving and nonsalable inventory by reviewing net realizable inventory values on a periodic basis.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6, “Composition of Certain Balance Sheet Accounts,” for further details.</w:t>
      </w:r>
    </w:p>
    <w:p>
      <w:pPr>
        <w:spacing w:after="0" w:line="113" w:lineRule="exact"/>
        <w:rPr>
          <w:sz w:val="20"/>
          <w:szCs w:val="20"/>
          <w:color w:val="auto"/>
        </w:rPr>
      </w:pPr>
    </w:p>
    <w:p>
      <w:pPr>
        <w:ind w:right="120" w:firstLine="511"/>
        <w:spacing w:after="0" w:line="272" w:lineRule="auto"/>
        <w:rPr>
          <w:sz w:val="20"/>
          <w:szCs w:val="20"/>
          <w:color w:val="auto"/>
        </w:rPr>
      </w:pPr>
      <w:r>
        <w:rPr>
          <w:rFonts w:ascii="Times New Roman" w:cs="Times New Roman" w:eastAsia="Times New Roman" w:hAnsi="Times New Roman"/>
          <w:sz w:val="17"/>
          <w:szCs w:val="17"/>
          <w:b w:val="1"/>
          <w:bCs w:val="1"/>
          <w:color w:val="221E1F"/>
        </w:rPr>
        <w:t xml:space="preserve">Property and Equipment and Depreciation - </w:t>
      </w:r>
      <w:r>
        <w:rPr>
          <w:rFonts w:ascii="Times New Roman" w:cs="Times New Roman" w:eastAsia="Times New Roman" w:hAnsi="Times New Roman"/>
          <w:sz w:val="17"/>
          <w:szCs w:val="17"/>
          <w:color w:val="221E1F"/>
        </w:rPr>
        <w:t>Property and equipment, including leasehold improvements, are stated at historical cost, less</w:t>
      </w:r>
      <w:r>
        <w:rPr>
          <w:rFonts w:ascii="Times New Roman" w:cs="Times New Roman" w:eastAsia="Times New Roman" w:hAnsi="Times New Roman"/>
          <w:sz w:val="17"/>
          <w:szCs w:val="17"/>
          <w:b w:val="1"/>
          <w:bCs w:val="1"/>
          <w:color w:val="221E1F"/>
        </w:rPr>
        <w:t xml:space="preserve"> </w:t>
      </w:r>
      <w:r>
        <w:rPr>
          <w:rFonts w:ascii="Times New Roman" w:cs="Times New Roman" w:eastAsia="Times New Roman" w:hAnsi="Times New Roman"/>
          <w:sz w:val="17"/>
          <w:szCs w:val="17"/>
          <w:color w:val="221E1F"/>
        </w:rPr>
        <w:t>accumulated depreciation. Network asset inventory and construction in progress, which include materials, transmission and related equipment, interest and other costs relating to the construction and development of our network, are not depreciated until they are put into service. Network equipment consists of switching equipment, antennas, base transceiver stations, site preparation costs, and other related equipment used in the operation of our network.</w:t>
      </w:r>
    </w:p>
    <w:p>
      <w:pPr>
        <w:ind w:right="540"/>
        <w:spacing w:after="0" w:line="260" w:lineRule="auto"/>
        <w:rPr>
          <w:sz w:val="20"/>
          <w:szCs w:val="20"/>
          <w:color w:val="auto"/>
        </w:rPr>
      </w:pPr>
      <w:r>
        <w:rPr>
          <w:rFonts w:ascii="Times New Roman" w:cs="Times New Roman" w:eastAsia="Times New Roman" w:hAnsi="Times New Roman"/>
          <w:sz w:val="18"/>
          <w:szCs w:val="18"/>
          <w:color w:val="221E1F"/>
        </w:rPr>
        <w:t>Depreciation expense totaled $20.4 million, $15.1 million and $14.7 million for the years ended December 31, 2025, 2024 and 2023. Depreciation of property and equipment is computed using the straight-line method over the estimated useful lives for owned assets, which are as follows:</w:t>
      </w:r>
    </w:p>
    <w:p>
      <w:pPr>
        <w:spacing w:after="0" w:line="200" w:lineRule="exact"/>
        <w:rPr>
          <w:sz w:val="20"/>
          <w:szCs w:val="20"/>
          <w:color w:val="auto"/>
        </w:rPr>
      </w:pPr>
    </w:p>
    <w:tbl>
      <w:tblPr>
        <w:tblLayout w:type="fixed"/>
        <w:tblInd w:w="1960" w:type="dxa"/>
        <w:tblCellMar>
          <w:top w:w="0" w:type="dxa"/>
          <w:left w:w="0" w:type="dxa"/>
          <w:bottom w:w="0" w:type="dxa"/>
          <w:right w:w="0" w:type="dxa"/>
        </w:tblCellMar>
      </w:tblPr>
      <w:tr>
        <w:trPr>
          <w:trHeight w:val="22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28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3-7 years</w:t>
            </w: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7-13 years</w:t>
            </w: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2840" w:type="dxa"/>
            <w:vAlign w:val="bottom"/>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29-39 years</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8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5-25 years</w:t>
            </w: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6, “Composition of Certain Balance Sheet Accounts,” for further details.</w:t>
      </w:r>
    </w:p>
    <w:p>
      <w:pPr>
        <w:spacing w:after="0" w:line="117" w:lineRule="exact"/>
        <w:rPr>
          <w:sz w:val="20"/>
          <w:szCs w:val="20"/>
          <w:color w:val="auto"/>
        </w:rPr>
      </w:pPr>
    </w:p>
    <w:p>
      <w:pPr>
        <w:jc w:val="both"/>
        <w:ind w:right="120" w:firstLine="511"/>
        <w:spacing w:after="0" w:line="261" w:lineRule="auto"/>
        <w:rPr>
          <w:sz w:val="20"/>
          <w:szCs w:val="20"/>
          <w:color w:val="auto"/>
        </w:rPr>
      </w:pPr>
      <w:r>
        <w:rPr>
          <w:rFonts w:ascii="Times New Roman" w:cs="Times New Roman" w:eastAsia="Times New Roman" w:hAnsi="Times New Roman"/>
          <w:sz w:val="18"/>
          <w:szCs w:val="18"/>
          <w:color w:val="221E1F"/>
        </w:rPr>
        <w:t>Improvements to leased property are depreciated over the shorter of the useful life of the improvement or the term of the related lease. We reassess the useful lives of leasehold improvements when there are changes to the terms of the underlying lease. Such reassessment has resulted in the useful life of specific assets being adjusted to a shorter period than originally estimated, resulting in an increase in annual depreciation expense for those assets. Repairs and maintenance costs are expensed as incurred.</w:t>
      </w:r>
    </w:p>
    <w:p>
      <w:pPr>
        <w:spacing w:after="0" w:line="68" w:lineRule="exact"/>
        <w:rPr>
          <w:sz w:val="20"/>
          <w:szCs w:val="20"/>
          <w:color w:val="auto"/>
        </w:rPr>
      </w:pPr>
    </w:p>
    <w:p>
      <w:pPr>
        <w:ind w:right="340" w:firstLine="511"/>
        <w:spacing w:after="0" w:line="268" w:lineRule="auto"/>
        <w:rPr>
          <w:sz w:val="20"/>
          <w:szCs w:val="20"/>
          <w:color w:val="auto"/>
        </w:rPr>
      </w:pPr>
      <w:r>
        <w:rPr>
          <w:rFonts w:ascii="Times New Roman" w:cs="Times New Roman" w:eastAsia="Times New Roman" w:hAnsi="Times New Roman"/>
          <w:sz w:val="18"/>
          <w:szCs w:val="18"/>
          <w:b w:val="1"/>
          <w:bCs w:val="1"/>
          <w:color w:val="221E1F"/>
        </w:rPr>
        <w:t xml:space="preserve">Assets Held for Sale </w:t>
      </w:r>
      <w:r>
        <w:rPr>
          <w:rFonts w:ascii="Times New Roman" w:cs="Times New Roman" w:eastAsia="Times New Roman" w:hAnsi="Times New Roman"/>
          <w:sz w:val="18"/>
          <w:szCs w:val="18"/>
          <w:color w:val="221E1F"/>
        </w:rPr>
        <w:t>- Assets that meet the accounting requirements to be classified as held for sale are separated in a disposal group and are</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included in assets held for sale on the consolidated balance sheets. At the time we classify an asset as held for sale, we cease recording depreciation and amortization. These assets are measured and reported at the lower of the carrying amount or its estimated fair value, less estimated costs to sell.</w:t>
      </w:r>
    </w:p>
    <w:p>
      <w:pPr>
        <w:spacing w:after="0" w:line="63"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8"/>
          <w:szCs w:val="18"/>
          <w:b w:val="1"/>
          <w:bCs w:val="1"/>
          <w:color w:val="221E1F"/>
        </w:rPr>
        <w:t xml:space="preserve">Software Development Costs - </w:t>
      </w:r>
      <w:r>
        <w:rPr>
          <w:rFonts w:ascii="Times New Roman" w:cs="Times New Roman" w:eastAsia="Times New Roman" w:hAnsi="Times New Roman"/>
          <w:sz w:val="18"/>
          <w:szCs w:val="18"/>
          <w:color w:val="221E1F"/>
        </w:rPr>
        <w:t>We capitalize costs for network and non-network software developed or obtained for internal use during the</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application development stage. These costs include purchased software and direct costs associated with the development and configuration of internal use software that supports the operation of our service offerings. These costs are included in Intangible assets, net, in our consolidated balance sheets and, when the software is placed in service, are amortized on a straight-line basis over their estimated useful lives. Costs incurred in the preliminary project and post-implementation stages, as well as maintenance and training costs, are expensed as incurred.</w:t>
      </w:r>
    </w:p>
    <w:p>
      <w:pPr>
        <w:spacing w:after="0" w:line="75"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8"/>
          <w:szCs w:val="18"/>
          <w:color w:val="221E1F"/>
        </w:rPr>
        <w:t>With respect to software sold as part of our equipment sales, we capitalize software development costs once technological feasibility has been established. Such capitalized software costs are included in Intangible assets, net, in our consolidated balance sheets and amortized on a product-by-product basis over the remaining estimated economic life of the product, based on the greater of the ratio that current gross revenues for a product bear to the total of current and anticipated future gross revenues for that product or the straight-line method.</w:t>
      </w:r>
    </w:p>
    <w:p>
      <w:pPr>
        <w:spacing w:after="0" w:line="68" w:lineRule="exact"/>
        <w:rPr>
          <w:sz w:val="20"/>
          <w:szCs w:val="20"/>
          <w:color w:val="auto"/>
        </w:rPr>
      </w:pPr>
    </w:p>
    <w:p>
      <w:pPr>
        <w:ind w:right="140" w:firstLine="511"/>
        <w:spacing w:after="0" w:line="282" w:lineRule="auto"/>
        <w:rPr>
          <w:sz w:val="20"/>
          <w:szCs w:val="20"/>
          <w:color w:val="auto"/>
        </w:rPr>
      </w:pPr>
      <w:r>
        <w:rPr>
          <w:rFonts w:ascii="Times New Roman" w:cs="Times New Roman" w:eastAsia="Times New Roman" w:hAnsi="Times New Roman"/>
          <w:sz w:val="17"/>
          <w:szCs w:val="17"/>
          <w:b w:val="1"/>
          <w:bCs w:val="1"/>
          <w:color w:val="221E1F"/>
        </w:rPr>
        <w:t xml:space="preserve">Goodwill and Other Intangible Assets - </w:t>
      </w:r>
      <w:r>
        <w:rPr>
          <w:rFonts w:ascii="Times New Roman" w:cs="Times New Roman" w:eastAsia="Times New Roman" w:hAnsi="Times New Roman"/>
          <w:sz w:val="17"/>
          <w:szCs w:val="17"/>
          <w:color w:val="221E1F"/>
        </w:rPr>
        <w:t>Intangible assets with indefinite lives are not amortized but are reviewed for impairment at least annually</w:t>
      </w:r>
      <w:r>
        <w:rPr>
          <w:rFonts w:ascii="Times New Roman" w:cs="Times New Roman" w:eastAsia="Times New Roman" w:hAnsi="Times New Roman"/>
          <w:sz w:val="17"/>
          <w:szCs w:val="17"/>
          <w:b w:val="1"/>
          <w:bCs w:val="1"/>
          <w:color w:val="221E1F"/>
        </w:rPr>
        <w:t xml:space="preserve"> </w:t>
      </w:r>
      <w:r>
        <w:rPr>
          <w:rFonts w:ascii="Times New Roman" w:cs="Times New Roman" w:eastAsia="Times New Roman" w:hAnsi="Times New Roman"/>
          <w:sz w:val="17"/>
          <w:szCs w:val="17"/>
          <w:color w:val="221E1F"/>
        </w:rPr>
        <w:t xml:space="preserve">or whenever events or circumstances indicate the carrying value of the asset may not be recoverable. Our FCC Licenses, </w:t>
      </w:r>
      <w:r>
        <w:rPr>
          <w:rFonts w:ascii="Times New Roman" w:cs="Times New Roman" w:eastAsia="Times New Roman" w:hAnsi="Times New Roman"/>
          <w:sz w:val="17"/>
          <w:szCs w:val="17"/>
          <w:color w:val="000000"/>
        </w:rPr>
        <w:t>as defined in Note 8, “Intangible</w:t>
      </w:r>
      <w:r>
        <w:rPr>
          <w:rFonts w:ascii="Times New Roman" w:cs="Times New Roman" w:eastAsia="Times New Roman" w:hAnsi="Times New Roman"/>
          <w:sz w:val="17"/>
          <w:szCs w:val="17"/>
          <w:color w:val="221E1F"/>
        </w:rPr>
        <w:t xml:space="preserve"> </w:t>
      </w:r>
      <w:r>
        <w:rPr>
          <w:rFonts w:ascii="Times New Roman" w:cs="Times New Roman" w:eastAsia="Times New Roman" w:hAnsi="Times New Roman"/>
          <w:sz w:val="17"/>
          <w:szCs w:val="17"/>
          <w:color w:val="000000"/>
        </w:rPr>
        <w:t xml:space="preserve">Assets,” </w:t>
      </w:r>
      <w:r>
        <w:rPr>
          <w:rFonts w:ascii="Times New Roman" w:cs="Times New Roman" w:eastAsia="Times New Roman" w:hAnsi="Times New Roman"/>
          <w:sz w:val="17"/>
          <w:szCs w:val="17"/>
          <w:color w:val="221E1F"/>
        </w:rPr>
        <w:t>and the goodwill related to the acquisition of Satcom Direct are our only material indefinite-lived intangible assets. We perform our annual</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21E1F"/>
        </w:rPr>
        <w:t xml:space="preserve">impairment tests during the fourth quarter of each fiscal year. </w:t>
      </w:r>
      <w:r>
        <w:rPr>
          <w:rFonts w:ascii="Times New Roman" w:cs="Times New Roman" w:eastAsia="Times New Roman" w:hAnsi="Times New Roman"/>
          <w:sz w:val="17"/>
          <w:szCs w:val="17"/>
          <w:color w:val="000000"/>
        </w:rPr>
        <w:t>We assess qualitative and quantitative factors to determine the likelihood of impairment.</w:t>
      </w:r>
    </w:p>
    <w:p>
      <w:pPr>
        <w:spacing w:after="0" w:line="57" w:lineRule="exact"/>
        <w:rPr>
          <w:sz w:val="20"/>
          <w:szCs w:val="20"/>
          <w:color w:val="auto"/>
        </w:rPr>
      </w:pPr>
    </w:p>
    <w:p>
      <w:pPr>
        <w:ind w:right="100" w:firstLine="511"/>
        <w:spacing w:after="0" w:line="281" w:lineRule="auto"/>
        <w:rPr>
          <w:sz w:val="20"/>
          <w:szCs w:val="20"/>
          <w:color w:val="auto"/>
        </w:rPr>
      </w:pPr>
      <w:r>
        <w:rPr>
          <w:rFonts w:ascii="Times New Roman" w:cs="Times New Roman" w:eastAsia="Times New Roman" w:hAnsi="Times New Roman"/>
          <w:sz w:val="17"/>
          <w:szCs w:val="17"/>
          <w:color w:val="auto"/>
        </w:rPr>
        <w:t>Our qualitative analysis includes, but is not limited to, assessing the changes in macroeconomic conditions, regulatory environment, industry and market conditions, financial performance versus budget and any other events or circumstances specific to the indefinite-lived intangible assets. If it is more likely than not that the fair value of the indefinite-lived intangible assets is greater than the carrying value, no further testing is required. If our qualitative analysis indicates more testing is required, or if we elect not to perform a qualitative analysis, we will apply the quantitative impairment test method.</w:t>
      </w:r>
    </w:p>
    <w:p>
      <w:pPr>
        <w:spacing w:after="0" w:line="56" w:lineRule="exact"/>
        <w:rPr>
          <w:sz w:val="20"/>
          <w:szCs w:val="20"/>
          <w:color w:val="auto"/>
        </w:rPr>
      </w:pPr>
    </w:p>
    <w:p>
      <w:pPr>
        <w:jc w:val="both"/>
        <w:ind w:right="120" w:firstLine="511"/>
        <w:spacing w:after="0" w:line="261" w:lineRule="auto"/>
        <w:rPr>
          <w:sz w:val="20"/>
          <w:szCs w:val="20"/>
          <w:color w:val="auto"/>
        </w:rPr>
      </w:pPr>
      <w:r>
        <w:rPr>
          <w:rFonts w:ascii="Times New Roman" w:cs="Times New Roman" w:eastAsia="Times New Roman" w:hAnsi="Times New Roman"/>
          <w:sz w:val="18"/>
          <w:szCs w:val="18"/>
          <w:color w:val="auto"/>
        </w:rPr>
        <w:t>Our quantitative impairment assessment considers both the market and income approaches to estimate fair value. Specific for goodwill impairment testing, the market approach estimates fair value using financial multiples of comparable companies. The income approach estimates fair value based upon projections of future revenues, expenses, and cash flows discounted to their respective present values. The resu</w:t>
      </w:r>
      <w:r>
        <w:rPr>
          <w:rFonts w:ascii="Times New Roman" w:cs="Times New Roman" w:eastAsia="Times New Roman" w:hAnsi="Times New Roman"/>
          <w:sz w:val="18"/>
          <w:szCs w:val="18"/>
          <w:color w:val="221E1F"/>
        </w:rPr>
        <w:t>lts of our annual indefinite-lived 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E1F"/>
        </w:rPr>
        <w:t>asset impairment assessments for 2025, 2024 and 2023 indicated no impairment.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72" w:name="page73"/>
    <w:bookmarkEnd w:id="7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Intangible assets that are deemed to have a finite life are amortized over their useful lives as follows:</w:t>
      </w:r>
    </w:p>
    <w:p>
      <w:pPr>
        <w:spacing w:after="0" w:line="54" w:lineRule="exact"/>
        <w:rPr>
          <w:sz w:val="20"/>
          <w:szCs w:val="20"/>
          <w:color w:val="auto"/>
        </w:rPr>
      </w:pPr>
    </w:p>
    <w:tbl>
      <w:tblPr>
        <w:tblLayout w:type="fixed"/>
        <w:tblInd w:w="2300" w:type="dxa"/>
        <w:tblCellMar>
          <w:top w:w="0" w:type="dxa"/>
          <w:left w:w="0" w:type="dxa"/>
          <w:bottom w:w="0" w:type="dxa"/>
          <w:right w:w="0" w:type="dxa"/>
        </w:tblCellMar>
      </w:tblP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35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3-8 years</w:t>
            </w: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5-8 years</w:t>
            </w: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35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5-7 years</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3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8-10 years</w:t>
            </w: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8, “Intangible Assets,” for further details.</w:t>
      </w:r>
    </w:p>
    <w:p>
      <w:pPr>
        <w:spacing w:after="0" w:line="113" w:lineRule="exact"/>
        <w:rPr>
          <w:sz w:val="20"/>
          <w:szCs w:val="20"/>
          <w:color w:val="auto"/>
        </w:rPr>
      </w:pPr>
    </w:p>
    <w:p>
      <w:pPr>
        <w:ind w:right="60" w:firstLine="511"/>
        <w:spacing w:after="0" w:line="262" w:lineRule="auto"/>
        <w:rPr>
          <w:sz w:val="20"/>
          <w:szCs w:val="20"/>
          <w:color w:val="auto"/>
        </w:rPr>
      </w:pPr>
      <w:r>
        <w:rPr>
          <w:rFonts w:ascii="Times New Roman" w:cs="Times New Roman" w:eastAsia="Times New Roman" w:hAnsi="Times New Roman"/>
          <w:sz w:val="18"/>
          <w:szCs w:val="18"/>
          <w:b w:val="1"/>
          <w:bCs w:val="1"/>
          <w:color w:val="221E1F"/>
        </w:rPr>
        <w:t xml:space="preserve">Long-Lived Assets - </w:t>
      </w:r>
      <w:r>
        <w:rPr>
          <w:rFonts w:ascii="Times New Roman" w:cs="Times New Roman" w:eastAsia="Times New Roman" w:hAnsi="Times New Roman"/>
          <w:sz w:val="18"/>
          <w:szCs w:val="18"/>
          <w:color w:val="221E1F"/>
        </w:rPr>
        <w:t>We review our long-lived assets to determine potential impairment whenever events indicate that the carrying amount of such</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assets may not be recoverable. We do this by comparing the carrying value of the long-lived assets with the estimated future undiscounted cash flows expected to result from the use of the assets, including cash flows from disposition. If we determine an impairment exists, the asset is written down to estimated fair value. There were no impairments of long-lived assets in 2025, 2024 or 2023.</w:t>
      </w:r>
    </w:p>
    <w:p>
      <w:pPr>
        <w:spacing w:after="0" w:line="68"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8"/>
          <w:szCs w:val="18"/>
          <w:b w:val="1"/>
          <w:bCs w:val="1"/>
          <w:color w:val="221E1F"/>
        </w:rPr>
        <w:t xml:space="preserve">Business Combinations - </w:t>
      </w:r>
      <w:r>
        <w:rPr>
          <w:rFonts w:ascii="Times New Roman" w:cs="Times New Roman" w:eastAsia="Times New Roman" w:hAnsi="Times New Roman"/>
          <w:sz w:val="18"/>
          <w:szCs w:val="18"/>
          <w:color w:val="000000"/>
        </w:rPr>
        <w:t>The Company uses its best estimates and assumptions to determine the fair value of tangible and intangible assets</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000000"/>
        </w:rPr>
        <w:t>acquired and liabilities assumed, as well as the uncertain tax positions and tax-related valuation allowances that are initially recorded in connection with a business combination. These estimates and assumptions are uncertain and may require adjustment. During the measurement period of one year from the acquisition date, the Company continues to collect information and reevaluates these estimates and assumptions, and records adjustments to these estimates to goodwill. Any adjustments to the acquired assets and liabilities assumed that are identified subsequent to the measurement period are recorded in earnings.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“Acquisition of Satcom Direct,” for further information.</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221E1F"/>
        </w:rPr>
        <w:t xml:space="preserve">Revenue Recognition - </w:t>
      </w:r>
      <w:r>
        <w:rPr>
          <w:rFonts w:ascii="Times New Roman" w:cs="Times New Roman" w:eastAsia="Times New Roman" w:hAnsi="Times New Roman"/>
          <w:sz w:val="18"/>
          <w:szCs w:val="18"/>
          <w:color w:val="000000"/>
        </w:rPr>
        <w:t>Our revenue is primarily earned from providing connectivity and entertainment services and through sales of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main connectivity solutions, each with its own equipment solution: Satellite Broadband, ATG and Narrowband.</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17" w:lineRule="exact"/>
        <w:rPr>
          <w:sz w:val="20"/>
          <w:szCs w:val="20"/>
          <w:color w:val="auto"/>
        </w:rPr>
      </w:pPr>
    </w:p>
    <w:p>
      <w:pPr>
        <w:ind w:left="1020" w:hanging="516"/>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16"/>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as we satisfy the performance obligations.</w:t>
      </w:r>
    </w:p>
    <w:p>
      <w:pPr>
        <w:spacing w:after="0" w:line="117" w:lineRule="exact"/>
        <w:rPr>
          <w:sz w:val="20"/>
          <w:szCs w:val="20"/>
          <w:color w:val="auto"/>
        </w:rPr>
      </w:pPr>
    </w:p>
    <w:p>
      <w:pPr>
        <w:ind w:right="220" w:firstLine="511"/>
        <w:spacing w:after="0" w:line="282" w:lineRule="auto"/>
        <w:rPr>
          <w:sz w:val="20"/>
          <w:szCs w:val="20"/>
          <w:color w:val="auto"/>
        </w:rPr>
      </w:pPr>
      <w:r>
        <w:rPr>
          <w:rFonts w:ascii="Times New Roman" w:cs="Times New Roman" w:eastAsia="Times New Roman" w:hAnsi="Times New Roman"/>
          <w:sz w:val="18"/>
          <w:szCs w:val="18"/>
          <w:color w:val="auto"/>
        </w:rPr>
        <w:t>Service revenue primarily consists of subscription and usage fees paid by aircraft owners and operators for telecommunication, data, and in-flight entertainment services and is recognized as the services are provided to the customer.</w:t>
      </w:r>
    </w:p>
    <w:p>
      <w:pPr>
        <w:spacing w:after="0" w:line="54" w:lineRule="exact"/>
        <w:rPr>
          <w:sz w:val="20"/>
          <w:szCs w:val="20"/>
          <w:color w:val="auto"/>
        </w:rPr>
      </w:pPr>
    </w:p>
    <w:p>
      <w:pPr>
        <w:ind w:right="80" w:firstLine="511"/>
        <w:spacing w:after="0" w:line="282" w:lineRule="auto"/>
        <w:rPr>
          <w:sz w:val="20"/>
          <w:szCs w:val="20"/>
          <w:color w:val="auto"/>
        </w:rPr>
      </w:pPr>
      <w:r>
        <w:rPr>
          <w:rFonts w:ascii="Times New Roman" w:cs="Times New Roman" w:eastAsia="Times New Roman" w:hAnsi="Times New Roman"/>
          <w:sz w:val="18"/>
          <w:szCs w:val="18"/>
          <w:color w:val="auto"/>
        </w:rPr>
        <w:t>Equipment revenue primarily consists of proceeds from the sale of ATG and satellite connectivity equipment and is recognized when control of the equipment is transferred to the customer, which generally occurs when the equipment is shipped.</w:t>
      </w:r>
    </w:p>
    <w:p>
      <w:pPr>
        <w:spacing w:after="0" w:line="54" w:lineRule="exact"/>
        <w:rPr>
          <w:sz w:val="20"/>
          <w:szCs w:val="20"/>
          <w:color w:val="auto"/>
        </w:rPr>
      </w:pPr>
    </w:p>
    <w:p>
      <w:pPr>
        <w:ind w:right="240" w:firstLine="511"/>
        <w:spacing w:after="0" w:line="282" w:lineRule="auto"/>
        <w:rPr>
          <w:sz w:val="20"/>
          <w:szCs w:val="20"/>
          <w:color w:val="auto"/>
        </w:rPr>
      </w:pPr>
      <w:r>
        <w:rPr>
          <w:rFonts w:ascii="Times New Roman" w:cs="Times New Roman" w:eastAsia="Times New Roman" w:hAnsi="Times New Roman"/>
          <w:sz w:val="18"/>
          <w:szCs w:val="18"/>
          <w:color w:val="auto"/>
        </w:rPr>
        <w:t>In all cases, we evaluate whether a contract exists as it relates to collectability of the contract. Once a contract is deemed to exist, we evaluate the transaction price and deliverables under the contract.</w:t>
      </w:r>
    </w:p>
    <w:p>
      <w:pPr>
        <w:spacing w:after="0" w:line="54"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A limited number of contracts contain multiple equipment and service deliverables. For these contracts, we account for each distinct good or service as a separate performance obligation. We allocate the contract’s transaction price to each performance obligation using the relative standalone selling price, which is based on the actual selling price for any good or service sold separately to a similar class of customer.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4, “Revenue Recognition,” for further information.</w:t>
      </w:r>
    </w:p>
    <w:p>
      <w:pPr>
        <w:spacing w:after="0" w:line="113"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b w:val="1"/>
          <w:bCs w:val="1"/>
          <w:color w:val="221E1F"/>
        </w:rPr>
        <w:t xml:space="preserve">Government Assistance - </w:t>
      </w:r>
      <w:r>
        <w:rPr>
          <w:rFonts w:ascii="Times New Roman" w:cs="Times New Roman" w:eastAsia="Times New Roman" w:hAnsi="Times New Roman"/>
          <w:sz w:val="18"/>
          <w:szCs w:val="18"/>
          <w:color w:val="000000"/>
        </w:rPr>
        <w:t>In July 2023, the Company elected to participate in the Federal Communications Commission (“FCC”) Secure and</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000000"/>
        </w:rPr>
        <w:t xml:space="preserve">Trusted Communications Networks Reimbursement Program (the “FCC Reimbursement Program”). There is currently no effective applicable authoritative guidance under GAAP to account for this government grant. Therefore, we have elected to apply International Accounting Standard (“IAS”) 20 </w:t>
      </w:r>
      <w:r>
        <w:rPr>
          <w:rFonts w:ascii="Times New Roman" w:cs="Times New Roman" w:eastAsia="Times New Roman" w:hAnsi="Times New Roman"/>
          <w:sz w:val="18"/>
          <w:szCs w:val="18"/>
          <w:i w:val="1"/>
          <w:iCs w:val="1"/>
          <w:color w:val="000000"/>
        </w:rPr>
        <w:t>Accounting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for Government Grants and Disclosure of Government Assistance </w:t>
      </w:r>
      <w:r>
        <w:rPr>
          <w:rFonts w:ascii="Times New Roman" w:cs="Times New Roman" w:eastAsia="Times New Roman" w:hAnsi="Times New Roman"/>
          <w:sz w:val="18"/>
          <w:szCs w:val="18"/>
          <w:color w:val="000000"/>
        </w:rPr>
        <w:t>by analogy. Under IAS 20, government grants related to assets are presented as either</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deferred income that is recognized on a systematic basis over the useful life of the asset or by deducting the grant from the carrying value of the asset. The Company has elected to deduct the grant from the carrying value of the asset. For grants related to income, the Company has elected to recognize these grants as a deduction from the related expense. Grant receivables from the FCC are recorded by the Company once there is reasonable assurance that the Company will comply with the conditions of the grant and the grant will be received.</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5, “Government Assistance,” for additional information.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760" w:right="378"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5" w:lineRule="exact"/>
        <w:rPr>
          <w:sz w:val="20"/>
          <w:szCs w:val="20"/>
          <w:color w:val="auto"/>
        </w:rPr>
      </w:pPr>
    </w:p>
    <w:p>
      <w:pPr>
        <w:ind w:firstLine="511"/>
        <w:spacing w:after="0" w:line="268" w:lineRule="auto"/>
        <w:rPr>
          <w:sz w:val="20"/>
          <w:szCs w:val="20"/>
          <w:color w:val="auto"/>
        </w:rPr>
      </w:pPr>
      <w:r>
        <w:rPr>
          <w:rFonts w:ascii="Times New Roman" w:cs="Times New Roman" w:eastAsia="Times New Roman" w:hAnsi="Times New Roman"/>
          <w:sz w:val="18"/>
          <w:szCs w:val="18"/>
          <w:b w:val="1"/>
          <w:bCs w:val="1"/>
          <w:color w:val="221E1F"/>
        </w:rPr>
        <w:t xml:space="preserve">Research and Development Costs - </w:t>
      </w:r>
      <w:r>
        <w:rPr>
          <w:rFonts w:ascii="Times New Roman" w:cs="Times New Roman" w:eastAsia="Times New Roman" w:hAnsi="Times New Roman"/>
          <w:sz w:val="18"/>
          <w:szCs w:val="18"/>
          <w:color w:val="221E1F"/>
        </w:rPr>
        <w:t>Expenditures for research and development are charged to expense as incurred and totaled $56.1 million, $44.8</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million and $36.7 million for the years ended December 31, 2025, 2024 and 2023, respectively. Research and development costs are reported as engineering, design and development expenses in our consolidated statements of operations.</w:t>
      </w:r>
    </w:p>
    <w:p>
      <w:pPr>
        <w:spacing w:after="0" w:line="63" w:lineRule="exact"/>
        <w:rPr>
          <w:sz w:val="20"/>
          <w:szCs w:val="20"/>
          <w:color w:val="auto"/>
        </w:rPr>
      </w:pPr>
    </w:p>
    <w:p>
      <w:pPr>
        <w:jc w:val="both"/>
        <w:ind w:right="140" w:firstLine="511"/>
        <w:spacing w:after="0" w:line="262" w:lineRule="auto"/>
        <w:rPr>
          <w:sz w:val="20"/>
          <w:szCs w:val="20"/>
          <w:color w:val="auto"/>
        </w:rPr>
      </w:pPr>
      <w:r>
        <w:rPr>
          <w:rFonts w:ascii="Times New Roman" w:cs="Times New Roman" w:eastAsia="Times New Roman" w:hAnsi="Times New Roman"/>
          <w:sz w:val="18"/>
          <w:szCs w:val="18"/>
          <w:b w:val="1"/>
          <w:bCs w:val="1"/>
          <w:color w:val="221E1F"/>
        </w:rPr>
        <w:t xml:space="preserve">Warranty - </w:t>
      </w:r>
      <w:r>
        <w:rPr>
          <w:rFonts w:ascii="Times New Roman" w:cs="Times New Roman" w:eastAsia="Times New Roman" w:hAnsi="Times New Roman"/>
          <w:sz w:val="18"/>
          <w:szCs w:val="18"/>
          <w:color w:val="221E1F"/>
        </w:rPr>
        <w:t>We provide warranties on parts and labor related to our products. Our warranty terms range from two to five years. Warranty reserves</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consolidated balance sheets.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7, “Composition of Certain Reserves and Allowances,” for the details of the changes in our warranty reserve.</w:t>
      </w:r>
    </w:p>
    <w:p>
      <w:pPr>
        <w:spacing w:after="0" w:line="113" w:lineRule="exact"/>
        <w:rPr>
          <w:sz w:val="20"/>
          <w:szCs w:val="20"/>
          <w:color w:val="auto"/>
        </w:rPr>
      </w:pPr>
    </w:p>
    <w:p>
      <w:pPr>
        <w:ind w:right="40" w:firstLine="511"/>
        <w:spacing w:after="0" w:line="268" w:lineRule="auto"/>
        <w:rPr>
          <w:sz w:val="20"/>
          <w:szCs w:val="20"/>
          <w:color w:val="auto"/>
        </w:rPr>
      </w:pPr>
      <w:r>
        <w:rPr>
          <w:rFonts w:ascii="Times New Roman" w:cs="Times New Roman" w:eastAsia="Times New Roman" w:hAnsi="Times New Roman"/>
          <w:sz w:val="18"/>
          <w:szCs w:val="18"/>
          <w:b w:val="1"/>
          <w:bCs w:val="1"/>
          <w:color w:val="221E1F"/>
        </w:rPr>
        <w:t xml:space="preserve">Asset Retirement Obligations - </w:t>
      </w:r>
      <w:r>
        <w:rPr>
          <w:rFonts w:ascii="Times New Roman" w:cs="Times New Roman" w:eastAsia="Times New Roman" w:hAnsi="Times New Roman"/>
          <w:sz w:val="18"/>
          <w:szCs w:val="18"/>
          <w:color w:val="221E1F"/>
        </w:rPr>
        <w:t>We have certain asset retirement obligations related to contractual commitments to remove our network equipment</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and other assets from leased cell sites upon termination of the site leases. The asset retirement obligations are classified as a noncurrent liability in our consolidated balance sheets.</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6, “Composition of Certain Balance Sheet Accounts,” for the details of the changes in our asset retirement obligations.</w:t>
      </w:r>
    </w:p>
    <w:p>
      <w:pPr>
        <w:spacing w:after="0" w:line="113" w:lineRule="exact"/>
        <w:rPr>
          <w:sz w:val="20"/>
          <w:szCs w:val="20"/>
          <w:color w:val="auto"/>
        </w:rPr>
      </w:pPr>
    </w:p>
    <w:p>
      <w:pPr>
        <w:ind w:right="40" w:firstLine="511"/>
        <w:spacing w:after="0" w:line="286" w:lineRule="auto"/>
        <w:rPr>
          <w:sz w:val="20"/>
          <w:szCs w:val="20"/>
          <w:color w:val="auto"/>
        </w:rPr>
      </w:pPr>
      <w:r>
        <w:rPr>
          <w:rFonts w:ascii="Times New Roman" w:cs="Times New Roman" w:eastAsia="Times New Roman" w:hAnsi="Times New Roman"/>
          <w:sz w:val="18"/>
          <w:szCs w:val="18"/>
          <w:b w:val="1"/>
          <w:bCs w:val="1"/>
          <w:color w:val="221E1F"/>
        </w:rPr>
        <w:t xml:space="preserve">Fair Value of Financial Instruments - </w:t>
      </w:r>
      <w:r>
        <w:rPr>
          <w:rFonts w:ascii="Times New Roman" w:cs="Times New Roman" w:eastAsia="Times New Roman" w:hAnsi="Times New Roman"/>
          <w:sz w:val="18"/>
          <w:szCs w:val="18"/>
          <w:color w:val="221E1F"/>
        </w:rPr>
        <w:t>We group financial assets and financial liabilities measured at fair value into three levels of hierarchy based</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on the markets in which the assets and liabilities are traded and the reliability of the assumptions used to determine fair value.</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129" w:lineRule="exact"/>
        <w:rPr>
          <w:sz w:val="20"/>
          <w:szCs w:val="20"/>
          <w:color w:val="auto"/>
        </w:rPr>
      </w:pPr>
    </w:p>
    <w:p>
      <w:pPr>
        <w:ind w:left="1020" w:hanging="516"/>
        <w:spacing w:after="0"/>
        <w:tabs>
          <w:tab w:leader="none" w:pos="10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107" w:lineRule="exact"/>
        <w:rPr>
          <w:rFonts w:ascii="Times New Roman" w:cs="Times New Roman" w:eastAsia="Times New Roman" w:hAnsi="Times New Roman"/>
          <w:sz w:val="20"/>
          <w:szCs w:val="20"/>
          <w:color w:val="auto"/>
        </w:rPr>
      </w:pPr>
    </w:p>
    <w:p>
      <w:pPr>
        <w:ind w:left="1020" w:right="40" w:hanging="516"/>
        <w:spacing w:after="0" w:line="253" w:lineRule="auto"/>
        <w:tabs>
          <w:tab w:leader="none" w:pos="10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90" w:lineRule="exact"/>
        <w:rPr>
          <w:rFonts w:ascii="Times New Roman" w:cs="Times New Roman" w:eastAsia="Times New Roman" w:hAnsi="Times New Roman"/>
          <w:sz w:val="20"/>
          <w:szCs w:val="20"/>
          <w:color w:val="auto"/>
        </w:rPr>
      </w:pPr>
    </w:p>
    <w:p>
      <w:pPr>
        <w:ind w:left="1020" w:hanging="516"/>
        <w:spacing w:after="0"/>
        <w:tabs>
          <w:tab w:leader="none" w:pos="10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defined as unobservable inputs in which little or no market data exists, therefore requiring an entity to develop its own assumptions.</w:t>
      </w:r>
    </w:p>
    <w:p>
      <w:pPr>
        <w:spacing w:after="0" w:line="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12, “Fair Value of Financial Assets and Liabilities,” for further information.</w:t>
      </w:r>
    </w:p>
    <w:p>
      <w:pPr>
        <w:spacing w:after="0" w:line="113" w:lineRule="exact"/>
        <w:rPr>
          <w:sz w:val="20"/>
          <w:szCs w:val="20"/>
          <w:color w:val="auto"/>
        </w:rPr>
      </w:pPr>
    </w:p>
    <w:p>
      <w:pPr>
        <w:ind w:right="220" w:firstLine="511"/>
        <w:spacing w:after="0" w:line="278" w:lineRule="auto"/>
        <w:rPr>
          <w:sz w:val="20"/>
          <w:szCs w:val="20"/>
          <w:color w:val="auto"/>
        </w:rPr>
      </w:pPr>
      <w:r>
        <w:rPr>
          <w:rFonts w:ascii="Times New Roman" w:cs="Times New Roman" w:eastAsia="Times New Roman" w:hAnsi="Times New Roman"/>
          <w:sz w:val="17"/>
          <w:szCs w:val="17"/>
          <w:b w:val="1"/>
          <w:bCs w:val="1"/>
          <w:color w:val="221E1F"/>
        </w:rPr>
        <w:t xml:space="preserve">Derivatives - </w:t>
      </w:r>
      <w:r>
        <w:rPr>
          <w:rFonts w:ascii="Times New Roman" w:cs="Times New Roman" w:eastAsia="Times New Roman" w:hAnsi="Times New Roman"/>
          <w:sz w:val="17"/>
          <w:szCs w:val="17"/>
          <w:color w:val="000000"/>
        </w:rPr>
        <w:t>We are exposed to interest rate risk on our variable rate borrowings. We currently use interest rate caps to manage a portion of our</w:t>
      </w:r>
      <w:r>
        <w:rPr>
          <w:rFonts w:ascii="Times New Roman" w:cs="Times New Roman" w:eastAsia="Times New Roman" w:hAnsi="Times New Roman"/>
          <w:sz w:val="17"/>
          <w:szCs w:val="17"/>
          <w:b w:val="1"/>
          <w:bCs w:val="1"/>
          <w:color w:val="221E1F"/>
        </w:rPr>
        <w:t xml:space="preserve"> </w:t>
      </w:r>
      <w:r>
        <w:rPr>
          <w:rFonts w:ascii="Times New Roman" w:cs="Times New Roman" w:eastAsia="Times New Roman" w:hAnsi="Times New Roman"/>
          <w:sz w:val="17"/>
          <w:szCs w:val="17"/>
          <w:color w:val="000000"/>
        </w:rPr>
        <w:t xml:space="preserve">exposure to interest rate changes, and have designated these interest rate caps as cash flow hedges for accounting purposes. We account for these interest rate caps in accordance with ASC 815, </w:t>
      </w:r>
      <w:r>
        <w:rPr>
          <w:rFonts w:ascii="Times New Roman" w:cs="Times New Roman" w:eastAsia="Times New Roman" w:hAnsi="Times New Roman"/>
          <w:sz w:val="17"/>
          <w:szCs w:val="17"/>
          <w:i w:val="1"/>
          <w:iCs w:val="1"/>
          <w:color w:val="000000"/>
        </w:rPr>
        <w:t>Derivatives and Hedging</w:t>
      </w:r>
      <w:r>
        <w:rPr>
          <w:rFonts w:ascii="Times New Roman" w:cs="Times New Roman" w:eastAsia="Times New Roman" w:hAnsi="Times New Roman"/>
          <w:sz w:val="17"/>
          <w:szCs w:val="17"/>
          <w:color w:val="000000"/>
        </w:rPr>
        <w:t>, which requires companies to recognize all derivative instruments as either assets or liabilities at fair value in the balance sheet. We record the effective portion of changes in the fair value of our cash flow hedges to other comprehensive income (loss), net of tax, and subsequently reclassify these amounts into earnings in the period during which the hedged transaction is recognized.</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10, “Derivative Instruments and Hedging Activities,” for further information.</w:t>
      </w:r>
    </w:p>
    <w:p>
      <w:pPr>
        <w:spacing w:after="0" w:line="113" w:lineRule="exact"/>
        <w:rPr>
          <w:sz w:val="20"/>
          <w:szCs w:val="20"/>
          <w:color w:val="auto"/>
        </w:rPr>
      </w:pPr>
    </w:p>
    <w:p>
      <w:pPr>
        <w:ind w:right="160" w:firstLine="511"/>
        <w:spacing w:after="0" w:line="268" w:lineRule="auto"/>
        <w:rPr>
          <w:sz w:val="20"/>
          <w:szCs w:val="20"/>
          <w:color w:val="auto"/>
        </w:rPr>
      </w:pPr>
      <w:r>
        <w:rPr>
          <w:rFonts w:ascii="Times New Roman" w:cs="Times New Roman" w:eastAsia="Times New Roman" w:hAnsi="Times New Roman"/>
          <w:sz w:val="18"/>
          <w:szCs w:val="18"/>
          <w:b w:val="1"/>
          <w:bCs w:val="1"/>
          <w:color w:val="221E1F"/>
        </w:rPr>
        <w:t xml:space="preserve">Earnings Per Share - </w:t>
      </w:r>
      <w:r>
        <w:rPr>
          <w:rFonts w:ascii="Times New Roman" w:cs="Times New Roman" w:eastAsia="Times New Roman" w:hAnsi="Times New Roman"/>
          <w:sz w:val="18"/>
          <w:szCs w:val="18"/>
          <w:color w:val="221E1F"/>
        </w:rPr>
        <w:t>We calculate basic earnings per share using the weighted-average number of common shares outstanding during the period.</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We calculate diluted earnings per share using the weighted-average number of common shares outstanding and all dilutive potential common shares outstanding.</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3, “Earnings Per Share,” for further information.</w:t>
      </w:r>
    </w:p>
    <w:p>
      <w:pPr>
        <w:spacing w:after="0" w:line="113"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b w:val="1"/>
          <w:bCs w:val="1"/>
          <w:color w:val="221E1F"/>
        </w:rPr>
        <w:t xml:space="preserve">Stock-Based Compensation Expense - </w:t>
      </w:r>
      <w:r>
        <w:rPr>
          <w:rFonts w:ascii="Times New Roman" w:cs="Times New Roman" w:eastAsia="Times New Roman" w:hAnsi="Times New Roman"/>
          <w:sz w:val="18"/>
          <w:szCs w:val="18"/>
          <w:color w:val="221E1F"/>
        </w:rPr>
        <w:t>Compensation cost is measured and recognized at fair value for all stock-based payments, including stock</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 xml:space="preserve">options and performance share units (“PSUs”). For time-based vesting stock options, we estimate fair value using the Black-Scholes option-pricing model, which requires assumptions such as expected volatility, risk-free interest rate, expected life, and dividends. The fair value of PSUs are determined using a Monte Carlo simulation, which requires assumptions such as expected term, volatility, risk-free interest rate and dividends. Forfeitures are recognized when they occur. Restricted stock units (“RSUs”) and restricted stock are measured based on the fair market value of the underlying stock on the date of grant. Our stock-based compensation expense is recognized over the applicable vesting period and is included in </w:t>
      </w:r>
      <w:r>
        <w:rPr>
          <w:rFonts w:ascii="Times New Roman" w:cs="Times New Roman" w:eastAsia="Times New Roman" w:hAnsi="Times New Roman"/>
          <w:sz w:val="18"/>
          <w:szCs w:val="18"/>
          <w:color w:val="000000"/>
        </w:rPr>
        <w:t>the same operating expense line items in the</w:t>
      </w:r>
      <w:r>
        <w:rPr>
          <w:rFonts w:ascii="Times New Roman" w:cs="Times New Roman" w:eastAsia="Times New Roman" w:hAnsi="Times New Roman"/>
          <w:sz w:val="18"/>
          <w:szCs w:val="18"/>
          <w:color w:val="221E1F"/>
        </w:rPr>
        <w:t xml:space="preserve"> </w:t>
      </w:r>
      <w:r>
        <w:rPr>
          <w:rFonts w:ascii="Times New Roman" w:cs="Times New Roman" w:eastAsia="Times New Roman" w:hAnsi="Times New Roman"/>
          <w:sz w:val="18"/>
          <w:szCs w:val="18"/>
          <w:color w:val="000000"/>
        </w:rPr>
        <w:t>consolidated statements of operations as the base cash compensation paid to the underlying employees</w:t>
      </w:r>
      <w:r>
        <w:rPr>
          <w:rFonts w:ascii="Times New Roman" w:cs="Times New Roman" w:eastAsia="Times New Roman" w:hAnsi="Times New Roman"/>
          <w:sz w:val="18"/>
          <w:szCs w:val="18"/>
          <w:color w:val="221E1F"/>
        </w:rPr>
        <w:t>.</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14, “Stock-Based Compensation and Retirement Plans,” for further information.</w:t>
      </w:r>
    </w:p>
    <w:p>
      <w:pPr>
        <w:spacing w:after="0" w:line="113" w:lineRule="exact"/>
        <w:rPr>
          <w:sz w:val="20"/>
          <w:szCs w:val="20"/>
          <w:color w:val="auto"/>
        </w:rPr>
      </w:pPr>
    </w:p>
    <w:p>
      <w:pPr>
        <w:ind w:right="220" w:firstLine="511"/>
        <w:spacing w:after="0" w:line="317" w:lineRule="auto"/>
        <w:rPr>
          <w:sz w:val="20"/>
          <w:szCs w:val="20"/>
          <w:color w:val="auto"/>
        </w:rPr>
      </w:pPr>
      <w:r>
        <w:rPr>
          <w:rFonts w:ascii="Times New Roman" w:cs="Times New Roman" w:eastAsia="Times New Roman" w:hAnsi="Times New Roman"/>
          <w:sz w:val="17"/>
          <w:szCs w:val="17"/>
          <w:b w:val="1"/>
          <w:bCs w:val="1"/>
          <w:color w:val="221E1F"/>
        </w:rPr>
        <w:t xml:space="preserve">Treasury Stock - </w:t>
      </w:r>
      <w:r>
        <w:rPr>
          <w:rFonts w:ascii="Times New Roman" w:cs="Times New Roman" w:eastAsia="Times New Roman" w:hAnsi="Times New Roman"/>
          <w:sz w:val="17"/>
          <w:szCs w:val="17"/>
          <w:color w:val="221E1F"/>
        </w:rPr>
        <w:t>When the Company’s stock is retired or repurchased for constructive retirement (with or without an intention to retire the stock</w:t>
      </w:r>
      <w:r>
        <w:rPr>
          <w:rFonts w:ascii="Times New Roman" w:cs="Times New Roman" w:eastAsia="Times New Roman" w:hAnsi="Times New Roman"/>
          <w:sz w:val="17"/>
          <w:szCs w:val="17"/>
          <w:b w:val="1"/>
          <w:bCs w:val="1"/>
          <w:color w:val="221E1F"/>
        </w:rPr>
        <w:t xml:space="preserve"> </w:t>
      </w:r>
      <w:r>
        <w:rPr>
          <w:rFonts w:ascii="Times New Roman" w:cs="Times New Roman" w:eastAsia="Times New Roman" w:hAnsi="Times New Roman"/>
          <w:sz w:val="17"/>
          <w:szCs w:val="17"/>
          <w:color w:val="221E1F"/>
        </w:rPr>
        <w:t>formally in accordance with applicable laws), any excess of par or stated value over the cost of treasury shares is credited to additional paid-in capital.</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760" w:right="358"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5" w:lineRule="exact"/>
        <w:rPr>
          <w:sz w:val="20"/>
          <w:szCs w:val="20"/>
          <w:color w:val="auto"/>
        </w:rPr>
      </w:pPr>
    </w:p>
    <w:p>
      <w:pPr>
        <w:ind w:right="80" w:firstLine="511"/>
        <w:spacing w:after="0" w:line="255" w:lineRule="auto"/>
        <w:rPr>
          <w:sz w:val="20"/>
          <w:szCs w:val="20"/>
          <w:color w:val="auto"/>
        </w:rPr>
      </w:pPr>
      <w:r>
        <w:rPr>
          <w:rFonts w:ascii="Times New Roman" w:cs="Times New Roman" w:eastAsia="Times New Roman" w:hAnsi="Times New Roman"/>
          <w:sz w:val="18"/>
          <w:szCs w:val="18"/>
          <w:b w:val="1"/>
          <w:bCs w:val="1"/>
          <w:color w:val="221E1F"/>
        </w:rPr>
        <w:t xml:space="preserve">Leases - </w:t>
      </w:r>
      <w:r>
        <w:rPr>
          <w:rFonts w:ascii="Times New Roman" w:cs="Times New Roman" w:eastAsia="Times New Roman" w:hAnsi="Times New Roman"/>
          <w:sz w:val="18"/>
          <w:szCs w:val="18"/>
          <w:color w:val="000000"/>
        </w:rPr>
        <w:t>We have operating lease agreements for which w</w:t>
      </w:r>
      <w:r>
        <w:rPr>
          <w:rFonts w:ascii="Times New Roman" w:cs="Times New Roman" w:eastAsia="Times New Roman" w:hAnsi="Times New Roman"/>
          <w:sz w:val="18"/>
          <w:szCs w:val="18"/>
          <w:color w:val="221E1F"/>
        </w:rPr>
        <w:t>e have recorded lease liabilities and right-of-use assets for leases primarily related to cell</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 xml:space="preserve">sites, data centers and office buildings. </w:t>
      </w:r>
      <w:r>
        <w:rPr>
          <w:rFonts w:ascii="Times New Roman" w:cs="Times New Roman" w:eastAsia="Times New Roman" w:hAnsi="Times New Roman"/>
          <w:sz w:val="18"/>
          <w:szCs w:val="18"/>
          <w:color w:val="000000"/>
        </w:rPr>
        <w:t>We determine whether a contract contains a lease at contract inception and calculate the lease liability and right-of-use asset using our incremental borrowing rate. Our cell site leases generally have terms of five to ten years, with renewal options for an additional five to 25 years. For certain cell sites, the renewal options are deemed to be reasonably certain to be exercised. Our data center leases have original terms between one to four years with unlimited one-year renewal options, some of which are reasonably certain to be exercised. Our building leases have original terms of ten years, with renewal options for an additional five years. We recognize operating lease expense on a straight-line basis over the lease term. We have finance leases for computer and office equipment. Covenants within the Facilities contain certain restrictions on our ability to enter into new finance lease arrangements.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16, “Leases,” for further information.</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221E1F"/>
        </w:rPr>
        <w:t xml:space="preserve">Advertising Costs - </w:t>
      </w:r>
      <w:r>
        <w:rPr>
          <w:rFonts w:ascii="Times New Roman" w:cs="Times New Roman" w:eastAsia="Times New Roman" w:hAnsi="Times New Roman"/>
          <w:sz w:val="18"/>
          <w:szCs w:val="18"/>
          <w:color w:val="221E1F"/>
        </w:rPr>
        <w:t>Costs for advertising are expensed as incurred.</w:t>
      </w:r>
    </w:p>
    <w:p>
      <w:pPr>
        <w:spacing w:after="0" w:line="117" w:lineRule="exact"/>
        <w:rPr>
          <w:sz w:val="20"/>
          <w:szCs w:val="20"/>
          <w:color w:val="auto"/>
        </w:rPr>
      </w:pPr>
    </w:p>
    <w:p>
      <w:pPr>
        <w:ind w:right="340" w:firstLine="511"/>
        <w:spacing w:after="0" w:line="278" w:lineRule="auto"/>
        <w:rPr>
          <w:sz w:val="20"/>
          <w:szCs w:val="20"/>
          <w:color w:val="auto"/>
        </w:rPr>
      </w:pPr>
      <w:r>
        <w:rPr>
          <w:rFonts w:ascii="Times New Roman" w:cs="Times New Roman" w:eastAsia="Times New Roman" w:hAnsi="Times New Roman"/>
          <w:sz w:val="17"/>
          <w:szCs w:val="17"/>
          <w:b w:val="1"/>
          <w:bCs w:val="1"/>
          <w:color w:val="221E1F"/>
        </w:rPr>
        <w:t xml:space="preserve">Debt Issuance Costs - </w:t>
      </w:r>
      <w:r>
        <w:rPr>
          <w:rFonts w:ascii="Times New Roman" w:cs="Times New Roman" w:eastAsia="Times New Roman" w:hAnsi="Times New Roman"/>
          <w:sz w:val="17"/>
          <w:szCs w:val="17"/>
          <w:color w:val="221E1F"/>
        </w:rPr>
        <w:t>We defer loan origination fees and financing costs related to our various debt offerings as deferred financing costs.</w:t>
      </w:r>
      <w:r>
        <w:rPr>
          <w:rFonts w:ascii="Times New Roman" w:cs="Times New Roman" w:eastAsia="Times New Roman" w:hAnsi="Times New Roman"/>
          <w:sz w:val="17"/>
          <w:szCs w:val="17"/>
          <w:b w:val="1"/>
          <w:bCs w:val="1"/>
          <w:color w:val="221E1F"/>
        </w:rPr>
        <w:t xml:space="preserve"> </w:t>
      </w:r>
      <w:r>
        <w:rPr>
          <w:rFonts w:ascii="Times New Roman" w:cs="Times New Roman" w:eastAsia="Times New Roman" w:hAnsi="Times New Roman"/>
          <w:sz w:val="17"/>
          <w:szCs w:val="17"/>
          <w:color w:val="221E1F"/>
        </w:rPr>
        <w:t>Additionally, we defer fees paid directly to the lenders related to amendments of our debt offerings as deferred financing costs. We amortize these costs over the term of the underlying debt obligation using the effective interest method and include them in interest expense in the consolidated statement of operations. The fees incurred but not paid directly to the lenders in connection with amendments are expensed as incurred to interest expense. Deferred financing costs associated with future debt issuances are written off in the period during which we determine that the debt will no longer be issued.</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21E1F"/>
        </w:rPr>
        <w:t>See Note 9, “Long-Term Debt and Other Liabilities,” for further information.</w:t>
      </w:r>
    </w:p>
    <w:p>
      <w:pPr>
        <w:spacing w:after="0" w:line="113" w:lineRule="exact"/>
        <w:rPr>
          <w:sz w:val="20"/>
          <w:szCs w:val="20"/>
          <w:color w:val="auto"/>
        </w:rPr>
      </w:pPr>
    </w:p>
    <w:p>
      <w:pPr>
        <w:ind w:right="60" w:firstLine="511"/>
        <w:spacing w:after="0" w:line="286" w:lineRule="auto"/>
        <w:rPr>
          <w:sz w:val="20"/>
          <w:szCs w:val="20"/>
          <w:color w:val="auto"/>
        </w:rPr>
      </w:pPr>
      <w:r>
        <w:rPr>
          <w:rFonts w:ascii="Times New Roman" w:cs="Times New Roman" w:eastAsia="Times New Roman" w:hAnsi="Times New Roman"/>
          <w:sz w:val="18"/>
          <w:szCs w:val="18"/>
          <w:b w:val="1"/>
          <w:bCs w:val="1"/>
          <w:color w:val="221E1F"/>
        </w:rPr>
        <w:t xml:space="preserve">Comprehensive (Loss) Income </w:t>
      </w:r>
      <w:r>
        <w:rPr>
          <w:rFonts w:ascii="Times New Roman" w:cs="Times New Roman" w:eastAsia="Times New Roman" w:hAnsi="Times New Roman"/>
          <w:sz w:val="18"/>
          <w:szCs w:val="18"/>
          <w:color w:val="221E1F"/>
        </w:rPr>
        <w:t>- Comprehensive (loss) income for the years ended December 31, 2025, 2024</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000000"/>
        </w:rPr>
        <w:t>and 2023</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is net income plus or minus</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unrealized gains and losses on foreign currency translation adjustments and the changes in fair value of cash flow hedges.</w:t>
      </w:r>
    </w:p>
    <w:p>
      <w:pPr>
        <w:spacing w:after="0" w:line="47"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8"/>
          <w:szCs w:val="18"/>
          <w:b w:val="1"/>
          <w:bCs w:val="1"/>
          <w:color w:val="221E1F"/>
        </w:rPr>
        <w:t xml:space="preserve">Foreign Currency Translation </w:t>
      </w:r>
      <w:r>
        <w:rPr>
          <w:rFonts w:ascii="Times New Roman" w:cs="Times New Roman" w:eastAsia="Times New Roman" w:hAnsi="Times New Roman"/>
          <w:sz w:val="18"/>
          <w:szCs w:val="18"/>
          <w:color w:val="221E1F"/>
        </w:rPr>
        <w:t>- The assets and liabilities of foreign subsidiaries are prepared in their respective functional currencies and</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221E1F"/>
        </w:rPr>
        <w:t>translated into U.S. Dollars based on the exchange rates in effect on the balance sheet date. Items in the consolidated statements of operations are translated at the average exchange rates for the periods presented. The related translation adjustments are recorded in accumulated other comprehensive income on the consolidated balance sheets. Gains and losses resulting from foreign currency transactions are recognized in other (income) expense, net on the consolidated statements of operations.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221E1F"/>
        </w:rPr>
        <w:t>Recently Issued Accounting Pronouncements</w:t>
      </w:r>
    </w:p>
    <w:p>
      <w:pPr>
        <w:spacing w:after="0" w:line="121" w:lineRule="exact"/>
        <w:rPr>
          <w:sz w:val="20"/>
          <w:szCs w:val="20"/>
          <w:color w:val="auto"/>
        </w:rPr>
      </w:pPr>
    </w:p>
    <w:p>
      <w:pPr>
        <w:jc w:val="both"/>
        <w:ind w:right="120" w:firstLine="511"/>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117"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to enhance the transparency and decision usefulness of income tax disclosures, most notably in the tax rate reconciliation and income taxes paid. This guidance is effective for annual periods beginning after December 15, 2024. The Company adopted ASU 2023-09 for the year ended December 31, 2025, and applied the new disclosure requirements prospectively to the current annual period. Prior period disclosures have not been adjusted to reflect the new disclosure requirements. See Note 15, “Income Tax,” for further information.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180" w:firstLine="511"/>
        <w:spacing w:after="0" w:line="277"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 - Reporting Comprehensive Income (Subtopic 220-40): Disaggregation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of Income Statement Expenses </w:t>
      </w:r>
      <w:r>
        <w:rPr>
          <w:rFonts w:ascii="Times New Roman" w:cs="Times New Roman" w:eastAsia="Times New Roman" w:hAnsi="Times New Roman"/>
          <w:sz w:val="17"/>
          <w:szCs w:val="17"/>
          <w:color w:val="auto"/>
        </w:rPr>
        <w:t>which requires disclosure about specific types of expenses included in the expense captions presented in the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Operations. This guidance is effective for fiscal years beginning after December 15, 2026, and interim periods within fiscal years beginning after December 15, 2027. Early adoption is permitted and the amendments should be applied on a prospective basis, however, retrospective application is permitted. We are currently evaluating the impact that this guidance will have upon our consolidated financial statements and related notes.</w:t>
      </w:r>
    </w:p>
    <w:p>
      <w:pPr>
        <w:spacing w:after="0" w:line="60" w:lineRule="exact"/>
        <w:rPr>
          <w:sz w:val="20"/>
          <w:szCs w:val="20"/>
          <w:color w:val="auto"/>
        </w:rPr>
      </w:pPr>
    </w:p>
    <w:p>
      <w:pPr>
        <w:ind w:right="20" w:firstLine="511"/>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details the criteria for capitalization of internal-use software costs. The ASU is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years beginning after December 15, 2027, and interim periods within those fiscal years, and may be adopted on a prospective, modified, or retrospective transition approach, and early adoption is permitted. We are currently evaluating the impact that this guidance will have upon our consolidated financial statements and related notes.</w:t>
      </w:r>
    </w:p>
    <w:p>
      <w:pPr>
        <w:spacing w:after="0" w:line="75" w:lineRule="exact"/>
        <w:rPr>
          <w:sz w:val="20"/>
          <w:szCs w:val="20"/>
          <w:color w:val="auto"/>
        </w:rPr>
      </w:pPr>
    </w:p>
    <w:p>
      <w:pPr>
        <w:ind w:right="100" w:firstLine="511"/>
        <w:spacing w:after="0" w:line="284"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which establishes authoritative guidance on the recognition, measurement, presentation and disclosure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of government grants. The ASU is effective for fiscal years beginning after December 15, 2028, including interim periods within those fiscal years, with early adoption permitted. We are currently evaluating the impact that this guidance will have upon our consolidated financial statements and related notes.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 of Satcom Direct</w:t>
      </w:r>
    </w:p>
    <w:p>
      <w:pPr>
        <w:spacing w:after="0" w:line="121"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On December 3, 2024 (the “Closing”), the Company completed its acquisition of 100% of the issued and outstanding equity interests in Satcom Direct, LLC, a Delaware limited liability company (f/k/a Satcom Direct, Inc., a Florida corporation) and certain of its affiliates and their collective subsidiaries (collectively, “Satcom Direct”), pursuant to the terms of the purchase agreement, dated as of September 29, 2024 (the “Purchase Agreement”). Satcom Direct operates worldwide with an international sales and service team based in nine countries. Satcom Direct sells its in-flight connectivity and communication services and equipment globally through their international sales force to OEMs, governments, military, and private fleet companies, among others.</w:t>
      </w:r>
    </w:p>
    <w:p>
      <w:pPr>
        <w:spacing w:after="0" w:line="79"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In accordance with the terms of the Purchase Agreement, on the Closing the Company purchased all of the issued and outstanding equity interests in Satcom Direct in exchange for: (i) an aggregate cash purchase amount of $375 million, subject to customary post-closing adjustments (the “Cash Consideration”), (ii) five million restricted shares (the “Stock Consideration”) of the Company’s common stock, par value of $0.0001 per share (“Common Stock”), and (iii) up to an additional $225 million in potential earnout payments of cash and/or Common Stock tied to realizing certain financial performance milestones over the next four years (the “Earnout Consideration” and, together with the Cash Consideration and Stock Consideration, the “Acquisition Consideration”). The Cash Consideration was financed via the Company’s $250 million HPS Credit Agreement (as defined below) and the remainder with cash on hand. As of December 31, 2025 and 2024, the Earnout Consideration has an estimated fair value of $71.9 million and $53.0 million, respectively. As of December 31, 2025, $33.0 million of the Earnout Consideration is included in Other non-current liabilities on the Consolidated Balance Sheets, with the remainder in Accrued liabilities. As of December 31, 2024, the entire amount of the earnout liability was included in Other non-current liabilities. The fair value of the Earnout Consideration was calculated using a Monte Carlo simulation based on future gross profit projections of Satcom Direct, gross profit volatility rates of comparable companies and a risk adjusted discount rate. The fair value measurement was based on significant unobservable inputs and thus represents a Level 3 measurement.</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fair value of the Acquisition Consideration at Closing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Estimated Aggregate Acquisition Consideration</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20" w:type="dxa"/>
            <w:vAlign w:val="bottom"/>
            <w:tcBorders>
              <w:top w:val="single" w:sz="8" w:color="auto"/>
            </w:tcBorders>
          </w:tcPr>
          <w:p>
            <w:pPr>
              <w:spacing w:after="0"/>
              <w:rPr>
                <w:sz w:val="19"/>
                <w:szCs w:val="19"/>
                <w:color w:val="auto"/>
              </w:rPr>
            </w:pPr>
          </w:p>
        </w:tc>
        <w:tc>
          <w:tcPr>
            <w:tcW w:w="7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Share consideration</w:t>
            </w:r>
          </w:p>
        </w:tc>
        <w:tc>
          <w:tcPr>
            <w:tcW w:w="4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per the Purchase Agreement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price on December 2, 2024</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Stock Consideration</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 of pre-existing relationship</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of Earnout Consideration</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estimated aggregate Acquisition Consideration</w:t>
            </w:r>
          </w:p>
        </w:tc>
        <w:tc>
          <w:tcPr>
            <w:tcW w:w="460" w:type="dxa"/>
            <w:vAlign w:val="bottom"/>
            <w:tcBorders>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447,893</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6381750</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40" w:firstLine="511"/>
        <w:spacing w:after="0" w:line="255" w:lineRule="auto"/>
        <w:rPr>
          <w:sz w:val="20"/>
          <w:szCs w:val="20"/>
          <w:color w:val="auto"/>
        </w:rPr>
      </w:pPr>
      <w:r>
        <w:rPr>
          <w:rFonts w:ascii="Times New Roman" w:cs="Times New Roman" w:eastAsia="Times New Roman" w:hAnsi="Times New Roman"/>
          <w:sz w:val="18"/>
          <w:szCs w:val="18"/>
          <w:color w:val="auto"/>
        </w:rPr>
        <w:t>The Company allocated the purchase price to the net identifiable tangible and intangible assets acquired and liabilities assumed based on their estimated fair values as of the date of acquisition using the acquisition method of accounting for business combinations. The excess of the purchase price over the estimated fair value of the net assets and liabilities was allocated to goodwill. The Company determined the estimated fair values after review and consideration of relevant information as of the Closing, including discounted cash flows, quoted market prices and estimates made by management. The Company finalized its fair value determination of the acquired assets and assumed liabilities during the fourth quarter of 2025. During the year ended December 31, 2025, measurement period adjustments were recorded to increase Goodwill by $8.4 million primarily related to the fair value of certain liabilities that were not finalized as of the Closing and deferred tax impacts related to the allocation of goodwill.</w:t>
      </w:r>
    </w:p>
    <w:p>
      <w:pPr>
        <w:spacing w:after="0" w:line="81" w:lineRule="exact"/>
        <w:rPr>
          <w:sz w:val="20"/>
          <w:szCs w:val="20"/>
          <w:color w:val="auto"/>
        </w:rPr>
      </w:pPr>
    </w:p>
    <w:p>
      <w:pPr>
        <w:ind w:firstLine="51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Closing based on the purchase price allocation and measurement period adjustments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Aggregate Purchase Price Allocation</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20" w:type="dxa"/>
            <w:vAlign w:val="bottom"/>
            <w:tcBorders>
              <w:top w:val="single" w:sz="8" w:color="auto"/>
            </w:tcBorders>
          </w:tcPr>
          <w:p>
            <w:pPr>
              <w:spacing w:after="0"/>
              <w:rPr>
                <w:sz w:val="19"/>
                <w:szCs w:val="19"/>
                <w:color w:val="auto"/>
              </w:rPr>
            </w:pPr>
          </w:p>
        </w:tc>
        <w:tc>
          <w:tcPr>
            <w:tcW w:w="7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estimated total Acquisition Consideration</w:t>
            </w: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447,893</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67,703</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18,353</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Assets held for sale</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213,300</w:t>
            </w:r>
          </w:p>
        </w:tc>
        <w:tc>
          <w:tcPr>
            <w:tcW w:w="80" w:type="dxa"/>
            <w:vAlign w:val="bottom"/>
            <w:shd w:val="clear" w:color="auto" w:fill="CFF0F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non-current assets, net of allowances</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assumed</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62,814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123,583</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6381750</wp:posOffset>
            </wp:positionH>
            <wp:positionV relativeFrom="paragraph">
              <wp:posOffset>-1370965</wp:posOffset>
            </wp:positionV>
            <wp:extent cx="6032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-487680</wp:posOffset>
            </wp:positionV>
            <wp:extent cx="60325"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-179070</wp:posOffset>
            </wp:positionV>
            <wp:extent cx="60325"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70" w:lineRule="exact"/>
        <w:rPr>
          <w:sz w:val="20"/>
          <w:szCs w:val="20"/>
          <w:color w:val="auto"/>
        </w:rPr>
      </w:pPr>
    </w:p>
    <w:p>
      <w:pPr>
        <w:ind w:firstLine="511"/>
        <w:spacing w:after="0" w:line="252" w:lineRule="auto"/>
        <w:rPr>
          <w:sz w:val="20"/>
          <w:szCs w:val="20"/>
          <w:color w:val="auto"/>
        </w:rPr>
      </w:pPr>
      <w:r>
        <w:rPr>
          <w:rFonts w:ascii="Times New Roman" w:cs="Times New Roman" w:eastAsia="Times New Roman" w:hAnsi="Times New Roman"/>
          <w:sz w:val="18"/>
          <w:szCs w:val="18"/>
          <w:color w:val="auto"/>
        </w:rPr>
        <w:t>The allocation of the purchase price presented above was based on management's estimate of the fair values of the acquired assets and assumed liabilities using valuation techniques including income, cost and market approaches. These valuation techniques incorporate the use of future projected revenues and cash flows as well as estimated discount rates. Current and noncurrent assets and liabilities are valued at historical carrying values, which approximate fair value, except as described below. The fair value measurements discussed below were based on significant inputs that are not observable and thus represent a Level 3 measurement. Inventories were valued using a combination of the comparative sales method, which estimated the expected sales price of the products, reduced by all costs expected to be incurred to complete the inventory, as well as a profit on the sale and estimated replacement cost. Assets held for sale represent the corporate facility of Satcom Direct and associated land in Melbourne, Florida. Assets held for sale were valued using the income approach less the direct costs associated with selling the assets. Additionally, in the fourth quarter of 2025, the Company decided to sell its data center and associated land in Melbourne, Florida and moved those assets to Assets held for sale on the Consolidated Balance Sheets as of December 31, 2025. The Company expects to sell the assets within the next twelve months. Property and equipment, net were valued using a combination of the cost and market approaches. Customer relationships represent the fair value of future projected revenue that will be derived from sales of connectivity services and equipment to existing customers of Satcom Direct. Customer relationships were valued using the multi-period excess earnings method. This method of valuation reflects the present value of the projected cash flows that are expected to be generated by these existing customers less charges representing the contribution of other assets to those cash flows. Software and the tradename were valued under the relief from royalty method, which is equal to the present value of the after-tax royalty savings attributable to owning the software or tradename as opposed to paying a third party for its use. The estimated fair value of operating leases was determined based on current market terms, which resulted in a net unfavorable adjustment to the right-of-use asset. After assessing the preliminary fair value of the net assets acquired and liabilities assumed, the Company recorded goodwill of $184.2 million as of December 31, 2024. As a result of subsequent measurement period adjustments, the balance of acquired goodwill increased to $192.6 million as of December 31, 2025. Of the total goodwill amount, $164.1 million is expected to be deductible for U.S. income tax purposes. The goodwill is attributable to the assembled workforce, synergies, and economies of scale.</w:t>
      </w:r>
    </w:p>
    <w:p>
      <w:pPr>
        <w:spacing w:after="0" w:line="79" w:lineRule="exact"/>
        <w:rPr>
          <w:sz w:val="20"/>
          <w:szCs w:val="20"/>
          <w:color w:val="auto"/>
        </w:rPr>
      </w:pPr>
    </w:p>
    <w:p>
      <w:pPr>
        <w:ind w:right="80" w:firstLine="511"/>
        <w:spacing w:after="0" w:line="284" w:lineRule="auto"/>
        <w:rPr>
          <w:sz w:val="20"/>
          <w:szCs w:val="20"/>
          <w:color w:val="auto"/>
        </w:rPr>
      </w:pPr>
      <w:r>
        <w:rPr>
          <w:rFonts w:ascii="Times New Roman" w:cs="Times New Roman" w:eastAsia="Times New Roman" w:hAnsi="Times New Roman"/>
          <w:sz w:val="18"/>
          <w:szCs w:val="18"/>
          <w:color w:val="auto"/>
        </w:rPr>
        <w:t>The following table summarizes the key information underlying identifiable finite lived intangible assets related to the Satcom Direct acquisition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81"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18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color w:val="auto"/>
              </w:rPr>
              <w:t>Weighted Average Estimated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8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Useful Life (In Years)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100" w:type="dxa"/>
            <w:vAlign w:val="bottom"/>
          </w:tcPr>
          <w:p>
            <w:pPr>
              <w:spacing w:after="0"/>
              <w:rPr>
                <w:sz w:val="20"/>
                <w:szCs w:val="20"/>
                <w:color w:val="auto"/>
              </w:rPr>
            </w:pP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144,600</w:t>
            </w:r>
          </w:p>
        </w:tc>
        <w:tc>
          <w:tcPr>
            <w:tcW w:w="10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OEM customer relationships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tcPr>
          <w:p>
            <w:pPr>
              <w:spacing w:after="0"/>
              <w:rPr>
                <w:sz w:val="19"/>
                <w:szCs w:val="19"/>
                <w:color w:val="auto"/>
              </w:rPr>
            </w:pPr>
          </w:p>
        </w:tc>
      </w:tr>
      <w:tr>
        <w:trPr>
          <w:trHeight w:val="229"/>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213,300</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6518910</wp:posOffset>
            </wp:positionH>
            <wp:positionV relativeFrom="paragraph">
              <wp:posOffset>-179070</wp:posOffset>
            </wp:positionV>
            <wp:extent cx="60325"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Pro-Forma Information (Unaudited)</w:t>
      </w:r>
    </w:p>
    <w:p>
      <w:pPr>
        <w:spacing w:after="0" w:line="121" w:lineRule="exact"/>
        <w:rPr>
          <w:sz w:val="20"/>
          <w:szCs w:val="20"/>
          <w:color w:val="auto"/>
        </w:rPr>
      </w:pPr>
    </w:p>
    <w:p>
      <w:pPr>
        <w:ind w:right="100" w:firstLine="511"/>
        <w:spacing w:after="0" w:line="253" w:lineRule="auto"/>
        <w:rPr>
          <w:sz w:val="20"/>
          <w:szCs w:val="20"/>
          <w:color w:val="auto"/>
        </w:rPr>
      </w:pPr>
      <w:r>
        <w:rPr>
          <w:rFonts w:ascii="Times New Roman" w:cs="Times New Roman" w:eastAsia="Times New Roman" w:hAnsi="Times New Roman"/>
          <w:sz w:val="18"/>
          <w:szCs w:val="18"/>
          <w:color w:val="auto"/>
        </w:rPr>
        <w:t>The following table presents supplemental pro-forma information for the years ended December 31, 2024 and 2023 as if the acquisition of Satcom Direct had occurred on January 1, 2023. The amounts have been calculated after applying the Company’s accounting policies and are based upon currently available information. The unaudited pro-forma information for the periods presented includes the following adjustments, where applicable, for business combination accounting effects resulting from the acquisition: (i) the change in Cost of Equipment to reflect the fair value change in inventory, (ii) incremental stock compensation expense, and adjustments for change in control bonuses that vest after the Close as post-combination compensation expense, (iii) additional Depreciation and amortization expense related to the step up in fair value for finite-lived intangible assets and property and equipment acquired, (iv) removal of historical interest expense associated with Satcom Direct’s historical indebtedness which was extinguished upon consummation of the acquisition and the addition of interest expense related to financing the acquisition (refer to Note 9, “Long-Term Debt and Other Liabilities,” for additional information), and (v) the related tax effects assuming the acquisition occurred on January 1, 2023. Pre-acquisition revenue and net income amounts for Satcom Direct were derived from the books and records prepared prior to the acquisition and are presented for informational purposes only and do not purport to be indicative of the results of future operations or of the results that would have occurred had the acquisition taken place as of the date noted below.</w:t>
      </w:r>
    </w:p>
    <w:p>
      <w:pPr>
        <w:spacing w:after="0" w:line="118"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410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Pr>
          <w:p>
            <w:pPr>
              <w:spacing w:after="0"/>
              <w:rPr>
                <w:sz w:val="19"/>
                <w:szCs w:val="19"/>
                <w:color w:val="auto"/>
              </w:rPr>
            </w:pPr>
          </w:p>
        </w:tc>
        <w:tc>
          <w:tcPr>
            <w:tcW w:w="20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60" w:type="dxa"/>
            <w:vAlign w:val="bottom"/>
            <w:tcBorders>
              <w:top w:val="single" w:sz="8" w:color="auto"/>
            </w:tcBorders>
            <w:shd w:val="clear" w:color="auto" w:fill="CFF0FC"/>
          </w:tcPr>
          <w:p>
            <w:pPr>
              <w:jc w:val="right"/>
              <w:ind w:right="1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897,284</w:t>
            </w:r>
          </w:p>
        </w:tc>
        <w:tc>
          <w:tcPr>
            <w:tcW w:w="64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1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845,177</w:t>
            </w:r>
          </w:p>
        </w:tc>
        <w:tc>
          <w:tcPr>
            <w:tcW w:w="80" w:type="dxa"/>
            <w:vAlign w:val="bottom"/>
            <w:shd w:val="clear" w:color="auto" w:fill="CFF0FC"/>
          </w:tcPr>
          <w:p>
            <w:pPr>
              <w:spacing w:after="0"/>
              <w:rPr>
                <w:sz w:val="19"/>
                <w:szCs w:val="19"/>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Pr>
          <w:p>
            <w:pPr>
              <w:jc w:val="right"/>
              <w:ind w:right="11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2000" w:type="dxa"/>
            <w:vAlign w:val="bottom"/>
            <w:gridSpan w:val="2"/>
          </w:tcPr>
          <w:p>
            <w:pPr>
              <w:jc w:val="right"/>
              <w:ind w:right="1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140,196</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right="80" w:firstLine="511"/>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have been calculated using the weighted-average number of common shares outstanding for the period. Diluted earnings per share was computed using the treasury stock method for stock-based compensation. Contingently issuable shares are only included in the diluted earnings per share computation once all necessary conditions have been satisfied.</w:t>
      </w:r>
    </w:p>
    <w:p>
      <w:pPr>
        <w:spacing w:after="0" w:line="68" w:lineRule="exact"/>
        <w:rPr>
          <w:sz w:val="20"/>
          <w:szCs w:val="20"/>
          <w:color w:val="auto"/>
        </w:rPr>
      </w:pPr>
    </w:p>
    <w:p>
      <w:pPr>
        <w:ind w:right="500" w:firstLine="511"/>
        <w:spacing w:after="0" w:line="266" w:lineRule="auto"/>
        <w:rPr>
          <w:sz w:val="20"/>
          <w:szCs w:val="20"/>
          <w:color w:val="auto"/>
        </w:rPr>
      </w:pPr>
      <w:r>
        <w:rPr>
          <w:rFonts w:ascii="Times New Roman" w:cs="Times New Roman" w:eastAsia="Times New Roman" w:hAnsi="Times New Roman"/>
          <w:sz w:val="18"/>
          <w:szCs w:val="18"/>
          <w:color w:val="auto"/>
        </w:rPr>
        <w:t>The diluted earnings per share calculations exclude the effect of stock options, deferred stock units, RSUs, PSUs and the potential Earnout Consideration when the computation is anti-dilutive. For the years ended December 31, 2025, 2024 and 2023, the weighted average number of shares excluded from the computation was 32.0 million, 4.6 million and 1.8 million shares, respectively.</w:t>
      </w:r>
    </w:p>
    <w:p>
      <w:pPr>
        <w:spacing w:after="0" w:line="66" w:lineRule="exact"/>
        <w:rPr>
          <w:sz w:val="20"/>
          <w:szCs w:val="20"/>
          <w:color w:val="auto"/>
        </w:rPr>
      </w:pPr>
    </w:p>
    <w:p>
      <w:pPr>
        <w:ind w:right="320" w:firstLine="511"/>
        <w:spacing w:after="0" w:line="264"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years ended December 31, 2025, 2024 and 2023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per share amounts</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133,707</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128,533</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129,753</w:t>
            </w:r>
          </w:p>
        </w:tc>
        <w:tc>
          <w:tcPr>
            <w:tcW w:w="100" w:type="dxa"/>
            <w:vAlign w:val="bottom"/>
          </w:tcPr>
          <w:p>
            <w:pPr>
              <w:spacing w:after="0"/>
              <w:rPr>
                <w:sz w:val="19"/>
                <w:szCs w:val="19"/>
                <w:color w:val="auto"/>
              </w:rPr>
            </w:pPr>
          </w:p>
        </w:tc>
      </w:tr>
      <w:tr>
        <w:trPr>
          <w:trHeight w:val="263"/>
        </w:trPr>
        <w:tc>
          <w:tcPr>
            <w:tcW w:w="4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19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-24765</wp:posOffset>
            </wp:positionV>
            <wp:extent cx="2099945" cy="4800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99945" cy="48006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133,707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128,533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129,753</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stock-based compensation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weighted average diluted shares outstanding</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136,593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131,455</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5053330</wp:posOffset>
            </wp:positionH>
            <wp:positionV relativeFrom="paragraph">
              <wp:posOffset>-179070</wp:posOffset>
            </wp:positionV>
            <wp:extent cx="6858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-179070</wp:posOffset>
            </wp:positionV>
            <wp:extent cx="76835"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-179070</wp:posOffset>
            </wp:positionV>
            <wp:extent cx="6858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8"/>
          <w:szCs w:val="18"/>
          <w:color w:val="auto"/>
        </w:rPr>
        <w:t>As of December 31, 2025, the aggregate amount of the transaction price in our contracts allocated to the remaining unsatisfied performance obligations (“RPO”) was approximately $572 million and excludes consideration from contracts that have an original duration of one year or less. Approximately $560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36% of our connectivity and entertainment service RPO within the next year, approximately 48% in one to five years and the remaining 16% in five to ten years. The remaining $12 million of the RPO represents future equipment revenue that is expected to be recognized primarily within the next three years as equipment is shipped.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 by type</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Satellite broadband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316,641</w:t>
            </w: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27,988</w:t>
            </w: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ATG broadband</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288,597</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310,860</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302,226</w:t>
            </w:r>
          </w:p>
        </w:tc>
        <w:tc>
          <w:tcPr>
            <w:tcW w:w="100" w:type="dxa"/>
            <w:vAlign w:val="bottom"/>
            <w:shd w:val="clear" w:color="auto" w:fill="CFF0FC"/>
          </w:tcPr>
          <w:p>
            <w:pPr>
              <w:spacing w:after="0"/>
              <w:rPr>
                <w:sz w:val="19"/>
                <w:szCs w:val="19"/>
                <w:color w:val="auto"/>
              </w:rPr>
            </w:pPr>
          </w:p>
        </w:tc>
      </w:tr>
      <w:tr>
        <w:trPr>
          <w:trHeight w:val="229"/>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Narrowband and other</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169,155</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25,422</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tcPr>
          <w:p>
            <w:pPr>
              <w:spacing w:after="0"/>
              <w:rPr>
                <w:sz w:val="19"/>
                <w:szCs w:val="19"/>
                <w:color w:val="auto"/>
              </w:rPr>
            </w:pPr>
          </w:p>
        </w:tc>
      </w:tr>
      <w:tr>
        <w:trPr>
          <w:trHeight w:val="263"/>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service revenue by type</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774,393</w:t>
            </w:r>
          </w:p>
        </w:tc>
        <w:tc>
          <w:tcPr>
            <w:tcW w:w="3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364,270</w:t>
            </w:r>
          </w:p>
        </w:tc>
        <w:tc>
          <w:tcPr>
            <w:tcW w:w="3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318,015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 revenue by market</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Business aviation</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657,911</w:t>
            </w:r>
          </w:p>
        </w:tc>
        <w:tc>
          <w:tcPr>
            <w:tcW w:w="6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358,572</w:t>
            </w:r>
          </w:p>
        </w:tc>
        <w:tc>
          <w:tcPr>
            <w:tcW w:w="7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318,015</w:t>
            </w:r>
          </w:p>
        </w:tc>
        <w:tc>
          <w:tcPr>
            <w:tcW w:w="100" w:type="dxa"/>
            <w:vAlign w:val="bottom"/>
            <w:shd w:val="clear" w:color="auto" w:fill="CFF0FC"/>
          </w:tcPr>
          <w:p>
            <w:pPr>
              <w:spacing w:after="0"/>
              <w:rPr>
                <w:sz w:val="19"/>
                <w:szCs w:val="19"/>
                <w:color w:val="auto"/>
              </w:rPr>
            </w:pPr>
          </w:p>
        </w:tc>
      </w:tr>
      <w:tr>
        <w:trPr>
          <w:trHeight w:val="23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Military / Government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116,482</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50"/>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service revenue by market</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774,393</w:t>
            </w:r>
          </w:p>
        </w:tc>
        <w:tc>
          <w:tcPr>
            <w:tcW w:w="3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364,270</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4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Satellite broadband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34,725</w:t>
            </w:r>
          </w:p>
        </w:tc>
        <w:tc>
          <w:tcPr>
            <w:tcW w:w="6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7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FF0FC"/>
          </w:tcPr>
          <w:p>
            <w:pPr>
              <w:spacing w:after="0"/>
              <w:rPr>
                <w:sz w:val="19"/>
                <w:szCs w:val="19"/>
                <w:color w:val="auto"/>
              </w:rPr>
            </w:pPr>
          </w:p>
        </w:tc>
      </w:tr>
      <w:tr>
        <w:trPr>
          <w:trHeight w:val="229"/>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ATG broadband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66,607</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64,585</w:t>
            </w:r>
          </w:p>
        </w:tc>
        <w:tc>
          <w:tcPr>
            <w:tcW w:w="100" w:type="dxa"/>
            <w:vAlign w:val="bottom"/>
          </w:tcPr>
          <w:p>
            <w:pPr>
              <w:spacing w:after="0"/>
              <w:rPr>
                <w:sz w:val="19"/>
                <w:szCs w:val="19"/>
                <w:color w:val="auto"/>
              </w:rPr>
            </w:pPr>
          </w:p>
        </w:tc>
      </w:tr>
      <w:tr>
        <w:trPr>
          <w:trHeight w:val="230"/>
        </w:trPr>
        <w:tc>
          <w:tcPr>
            <w:tcW w:w="64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Narrowband and other</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25,169</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3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136,098</w:t>
            </w: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80,439</w:t>
            </w: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79,562</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4916170</wp:posOffset>
            </wp:positionH>
            <wp:positionV relativeFrom="paragraph">
              <wp:posOffset>-1542415</wp:posOffset>
            </wp:positionV>
            <wp:extent cx="223710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237105" cy="171450"/>
                    </a:xfrm>
                    <a:prstGeom prst="rect">
                      <a:avLst/>
                    </a:prstGeom>
                    <a:noFill/>
                  </pic:spPr>
                </pic:pic>
              </a:graphicData>
            </a:graphic>
          </wp:anchor>
        </w:drawing>
        <w:drawing>
          <wp:anchor simplePos="0" relativeHeight="251657728" behindDoc="1" locked="0" layoutInCell="0" allowOverlap="1">
            <wp:simplePos x="0" y="0"/>
            <wp:positionH relativeFrom="column">
              <wp:posOffset>4916170</wp:posOffset>
            </wp:positionH>
            <wp:positionV relativeFrom="paragraph">
              <wp:posOffset>-933450</wp:posOffset>
            </wp:positionV>
            <wp:extent cx="2237105" cy="3175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237105" cy="317500"/>
                    </a:xfrm>
                    <a:prstGeom prst="rect">
                      <a:avLst/>
                    </a:prstGeom>
                    <a:noFill/>
                  </pic:spPr>
                </pic:pic>
              </a:graphicData>
            </a:graphic>
          </wp:anchor>
        </w:drawing>
        <w:drawing>
          <wp:anchor simplePos="0" relativeHeight="251657728" behindDoc="1" locked="0" layoutInCell="0" allowOverlap="1">
            <wp:simplePos x="0" y="0"/>
            <wp:positionH relativeFrom="column">
              <wp:posOffset>4916170</wp:posOffset>
            </wp:positionH>
            <wp:positionV relativeFrom="paragraph">
              <wp:posOffset>-179070</wp:posOffset>
            </wp:positionV>
            <wp:extent cx="7747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5996305</wp:posOffset>
            </wp:positionH>
            <wp:positionV relativeFrom="paragraph">
              <wp:posOffset>-179070</wp:posOffset>
            </wp:positionV>
            <wp:extent cx="76835"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-179070</wp:posOffset>
            </wp:positionV>
            <wp:extent cx="6858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jc w:val="both"/>
        <w:ind w:right="620" w:firstLine="511"/>
        <w:spacing w:after="0" w:line="266"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$39.6 million and $25.0 million as of December 31, 2025 and 2024, respectively. Contract assets represent the aggregate amount of revenue recognized in excess of billings and recoverable contract costs primarily for certain sales programs.</w:t>
      </w:r>
    </w:p>
    <w:p>
      <w:pPr>
        <w:spacing w:after="0" w:line="68" w:lineRule="exact"/>
        <w:rPr>
          <w:sz w:val="20"/>
          <w:szCs w:val="20"/>
          <w:color w:val="auto"/>
        </w:rPr>
      </w:pPr>
    </w:p>
    <w:p>
      <w:pPr>
        <w:ind w:right="60" w:firstLine="511"/>
        <w:spacing w:after="0" w:line="266"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$36.0 million and $41.3 million as of December 31, 2025 and 2024, respectively. Deferred revenue includes, among other things, prepayments for equipment and subscription connectivity products. For the year ended December 31, 2025, we recognized revenue of $38.2 million that was previously included in the beginning balance of deferred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Government Assistance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FCC Reimbursement Program</w:t>
      </w:r>
    </w:p>
    <w:p>
      <w:pPr>
        <w:spacing w:after="0" w:line="121" w:lineRule="exact"/>
        <w:rPr>
          <w:sz w:val="20"/>
          <w:szCs w:val="20"/>
          <w:color w:val="auto"/>
        </w:rPr>
      </w:pPr>
    </w:p>
    <w:p>
      <w:pPr>
        <w:ind w:right="80" w:firstLine="511"/>
        <w:spacing w:after="0" w:line="255" w:lineRule="auto"/>
        <w:rPr>
          <w:sz w:val="20"/>
          <w:szCs w:val="20"/>
          <w:color w:val="auto"/>
        </w:rPr>
      </w:pPr>
      <w:r>
        <w:rPr>
          <w:rFonts w:ascii="Times New Roman" w:cs="Times New Roman" w:eastAsia="Times New Roman" w:hAnsi="Times New Roman"/>
          <w:sz w:val="18"/>
          <w:szCs w:val="18"/>
          <w:color w:val="auto"/>
        </w:rPr>
        <w:t>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from their networks that have been deemed to pose a national security risk.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an initial shortfall in the amount appropriated by Congress to fund the FCC Reimbursement</w:t>
      </w:r>
    </w:p>
    <w:p>
      <w:pPr>
        <w:sectPr>
          <w:pgSz w:w="11920" w:h="16838" w:orient="portrait"/>
          <w:cols w:equalWidth="0" w:num="1">
            <w:col w:w="11260"/>
          </w:cols>
          <w:pgMar w:left="340" w:top="760" w:right="318"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Program, approximately $132 million of the approved amount was initially allocated to the Company under the program. Following passage of the Fiscal Year 2025 National Defense Authorization Act (the “FY 2025 NDAA”), the Company was allocated its full approved amount of approximately $334 million. and the program completion deadline was extended to May 8, 2026. Program participants are subject to a number of conditions and requirements under the FCC’s rules including a requirement that they submit their first reimbursement request by the initial July 2023 deadline and certify that they have developed a plan to permanently remove, replace and dispose of covered equipment or services within one year following the first reimbursement request. The rules permit participants to petition the FCC for one or more six-month extensions of the completion deadline. The Company, with the assistance of an advisor engaged by the Company to help administer the program, timely submitted its first reimbursement request and received its first disbursement of funds in July 2023, establishing a one year deadline for Gogo to complete the program. Due to a number of factors, including supply chain disruptions, the insufficiency of FCC funding prior to the passage of the FY 2025 NDAA, and the operational and logistical complexity of replacing airborne equipment, the Company was unable to meet this original deadline, and has sought and has been granted two six-month extensions by the FCC. Following an initial draw down disbursement from the funding authorized by the FY 2025 NDAA, the FCC established a program-wide completion deadline of May 8, 2026 for all Priority 1 participants, which includes the Company. The Company expects to require additional extensions past that date.</w:t>
      </w:r>
    </w:p>
    <w:p>
      <w:pPr>
        <w:spacing w:after="0" w:line="82" w:lineRule="exact"/>
        <w:rPr>
          <w:sz w:val="20"/>
          <w:szCs w:val="20"/>
          <w:color w:val="auto"/>
        </w:rPr>
      </w:pPr>
    </w:p>
    <w:p>
      <w:pPr>
        <w:ind w:right="140" w:firstLine="511"/>
        <w:spacing w:after="0" w:line="266" w:lineRule="auto"/>
        <w:rPr>
          <w:sz w:val="20"/>
          <w:szCs w:val="20"/>
          <w:color w:val="auto"/>
        </w:rPr>
      </w:pPr>
      <w:r>
        <w:rPr>
          <w:rFonts w:ascii="Times New Roman" w:cs="Times New Roman" w:eastAsia="Times New Roman" w:hAnsi="Times New Roman"/>
          <w:sz w:val="18"/>
          <w:szCs w:val="18"/>
          <w:color w:val="auto"/>
        </w:rPr>
        <w:t>As of December 31, 2025 and 2024, we have recorded a $27.8 million and $9.7 million receivable from the FCC, respectively, which is included in Prepaid expenses and other current assets in our Consolidated Balance Sheets. See Note 1, “Summary of Significant Accounting Policies,” for additional information on our accounting policy for government grants.</w:t>
      </w:r>
    </w:p>
    <w:p>
      <w:pPr>
        <w:spacing w:after="0" w:line="66" w:lineRule="exact"/>
        <w:rPr>
          <w:sz w:val="20"/>
          <w:szCs w:val="20"/>
          <w:color w:val="auto"/>
        </w:rPr>
      </w:pPr>
    </w:p>
    <w:p>
      <w:pPr>
        <w:ind w:right="180" w:firstLine="511"/>
        <w:spacing w:after="0" w:line="284" w:lineRule="auto"/>
        <w:rPr>
          <w:sz w:val="20"/>
          <w:szCs w:val="20"/>
          <w:color w:val="auto"/>
        </w:rPr>
      </w:pPr>
      <w:r>
        <w:rPr>
          <w:rFonts w:ascii="Times New Roman" w:cs="Times New Roman" w:eastAsia="Times New Roman" w:hAnsi="Times New Roman"/>
          <w:sz w:val="18"/>
          <w:szCs w:val="18"/>
          <w:color w:val="auto"/>
        </w:rPr>
        <w:t xml:space="preserve">The following are the deductions to the carrying value of asset balances in our Consolidated Balance Sheets as of December 31, 2025 and 2024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p>
    <w:p>
      <w:pPr>
        <w:spacing w:after="0" w:line="248" w:lineRule="exact"/>
        <w:rPr>
          <w:sz w:val="20"/>
          <w:szCs w:val="20"/>
          <w:color w:val="auto"/>
        </w:rPr>
      </w:pPr>
    </w:p>
    <w:tbl>
      <w:tblPr>
        <w:tblLayout w:type="fixed"/>
        <w:tblInd w:w="168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37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r>
      <w:tr>
        <w:trPr>
          <w:trHeight w:val="22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(1,380)</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(4,560)</w:t>
            </w:r>
          </w:p>
        </w:tc>
      </w:tr>
      <w:tr>
        <w:trPr>
          <w:trHeight w:val="230"/>
        </w:trPr>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(7,349)</w:t>
            </w: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(4,420)</w:t>
            </w:r>
          </w:p>
        </w:tc>
      </w:tr>
      <w:tr>
        <w:trPr>
          <w:trHeight w:val="229"/>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(48,001)</w:t>
            </w:r>
          </w:p>
        </w:tc>
        <w:tc>
          <w:tcPr>
            <w:tcW w:w="6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(5,921)</w:t>
            </w:r>
          </w:p>
        </w:tc>
      </w:tr>
      <w:tr>
        <w:trPr>
          <w:trHeight w:val="230"/>
        </w:trPr>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(2,200)</w:t>
            </w: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(21,376)</w:t>
            </w:r>
          </w:p>
        </w:tc>
        <w:tc>
          <w:tcPr>
            <w:tcW w:w="6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(11,852)</w:t>
            </w:r>
          </w:p>
        </w:tc>
      </w:tr>
      <w:tr>
        <w:trPr>
          <w:trHeight w:val="230"/>
        </w:trPr>
        <w:tc>
          <w:tcPr>
            <w:tcW w:w="3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(2,712)</w:t>
            </w: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88" w:lineRule="exact"/>
        <w:rPr>
          <w:sz w:val="20"/>
          <w:szCs w:val="20"/>
          <w:color w:val="auto"/>
        </w:rPr>
      </w:pPr>
    </w:p>
    <w:p>
      <w:pPr>
        <w:ind w:right="280" w:firstLine="511"/>
        <w:spacing w:after="0" w:line="284" w:lineRule="auto"/>
        <w:rPr>
          <w:sz w:val="20"/>
          <w:szCs w:val="20"/>
          <w:color w:val="auto"/>
        </w:rPr>
      </w:pPr>
      <w:r>
        <w:rPr>
          <w:rFonts w:ascii="Times New Roman" w:cs="Times New Roman" w:eastAsia="Times New Roman" w:hAnsi="Times New Roman"/>
          <w:sz w:val="18"/>
          <w:szCs w:val="18"/>
          <w:color w:val="auto"/>
        </w:rPr>
        <w:t xml:space="preserve">The following are the increases to Net income in our Consolidated Statements of Operations for the years ended December 31, 2025 and 2024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16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223"/>
        </w:trPr>
        <w:tc>
          <w:tcPr>
            <w:tcW w:w="16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7,663</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4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7,062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80" w:type="dxa"/>
            <w:vAlign w:val="bottom"/>
            <w:shd w:val="clear" w:color="auto" w:fill="CFF0FC"/>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4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FF0FC"/>
          </w:tcPr>
          <w:p>
            <w:pPr>
              <w:spacing w:after="0"/>
              <w:rPr>
                <w:sz w:val="19"/>
                <w:szCs w:val="19"/>
                <w:color w:val="auto"/>
              </w:rPr>
            </w:pPr>
          </w:p>
        </w:tc>
      </w:tr>
      <w:tr>
        <w:trPr>
          <w:trHeight w:val="234"/>
        </w:trPr>
        <w:tc>
          <w:tcPr>
            <w:tcW w:w="168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427"/>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Composition of Certain Balance Sheet Accounts</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440" w:type="dxa"/>
            <w:vAlign w:val="bottom"/>
            <w:gridSpan w:val="3"/>
          </w:tcPr>
          <w:p>
            <w:pPr>
              <w:jc w:val="right"/>
              <w:ind w:right="179"/>
              <w:spacing w:after="0"/>
              <w:rPr>
                <w:sz w:val="20"/>
                <w:szCs w:val="20"/>
                <w:color w:val="auto"/>
              </w:rPr>
            </w:pPr>
            <w:r>
              <w:rPr>
                <w:rFonts w:ascii="Times New Roman" w:cs="Times New Roman" w:eastAsia="Times New Roman" w:hAnsi="Times New Roman"/>
                <w:sz w:val="18"/>
                <w:szCs w:val="18"/>
                <w:color w:val="auto"/>
              </w:rPr>
              <w:t>Inventories as of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1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r>
      <w:tr>
        <w:trPr>
          <w:trHeight w:val="223"/>
        </w:trPr>
        <w:tc>
          <w:tcPr>
            <w:tcW w:w="16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53,633</w:t>
            </w:r>
          </w:p>
        </w:tc>
        <w:tc>
          <w:tcPr>
            <w:tcW w:w="80" w:type="dxa"/>
            <w:vAlign w:val="bottom"/>
            <w:shd w:val="clear" w:color="auto" w:fill="CFF0FC"/>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57,140</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80" w:type="dxa"/>
            <w:vAlign w:val="bottom"/>
          </w:tcPr>
          <w:p>
            <w:pPr>
              <w:spacing w:after="0"/>
              <w:rPr>
                <w:sz w:val="19"/>
                <w:szCs w:val="19"/>
                <w:color w:val="auto"/>
              </w:rPr>
            </w:pPr>
          </w:p>
        </w:tc>
      </w:tr>
      <w:tr>
        <w:trPr>
          <w:trHeight w:val="263"/>
        </w:trPr>
        <w:tc>
          <w:tcPr>
            <w:tcW w:w="1680" w:type="dxa"/>
            <w:vAlign w:val="bottom"/>
          </w:tcPr>
          <w:p>
            <w:pPr>
              <w:spacing w:after="0"/>
              <w:rPr>
                <w:sz w:val="22"/>
                <w:szCs w:val="22"/>
                <w:color w:val="auto"/>
              </w:rPr>
            </w:pPr>
          </w:p>
        </w:tc>
        <w:tc>
          <w:tcPr>
            <w:tcW w:w="4060" w:type="dxa"/>
            <w:vAlign w:val="bottom"/>
            <w:tcBorders>
              <w:bottom w:val="single" w:sz="8" w:color="CFF0FC"/>
            </w:tcBorders>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Total inventory</w:t>
            </w:r>
            <w:r>
              <w:rPr>
                <w:rFonts w:ascii="Times New Roman" w:cs="Times New Roman" w:eastAsia="Times New Roman" w:hAnsi="Times New Roman"/>
                <w:sz w:val="24"/>
                <w:szCs w:val="24"/>
                <w:i w:val="1"/>
                <w:iCs w:val="1"/>
                <w:color w:val="auto"/>
                <w:vertAlign w:val="superscript"/>
              </w:rPr>
              <w:t>(1)</w:t>
            </w:r>
          </w:p>
        </w:tc>
        <w:tc>
          <w:tcPr>
            <w:tcW w:w="7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98,853</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-24765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-24765</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jc w:val="right"/>
        <w:ind w:left="5540" w:right="5480" w:hanging="5037"/>
        <w:spacing w:after="0" w:line="532" w:lineRule="auto"/>
        <w:tabs>
          <w:tab w:leader="none" w:pos="101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Note 5, “Government Assistance,” for additional information.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307975</wp:posOffset>
            </wp:positionV>
            <wp:extent cx="71831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80" w:name="page81"/>
    <w:bookmarkEnd w:id="80"/>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12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r>
      <w:tr>
        <w:trPr>
          <w:trHeight w:val="223"/>
        </w:trPr>
        <w:tc>
          <w:tcPr>
            <w:tcW w:w="530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FCC reimbursement receivable</w:t>
            </w:r>
            <w:r>
              <w:rPr>
                <w:rFonts w:ascii="Times New Roman" w:cs="Times New Roman" w:eastAsia="Times New Roman" w:hAnsi="Times New Roman"/>
                <w:sz w:val="24"/>
                <w:szCs w:val="24"/>
                <w:i w:val="1"/>
                <w:iCs w:val="1"/>
                <w:color w:val="auto"/>
                <w:vertAlign w:val="superscript"/>
              </w:rPr>
              <w:t>(1)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4"/>
                <w:szCs w:val="24"/>
                <w:i w:val="1"/>
                <w:iCs w:val="1"/>
                <w:color w:val="auto"/>
                <w:vertAlign w:val="superscript"/>
              </w:rPr>
              <w:t>(1)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 and receivable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Tax indemnification receivable</w:t>
            </w:r>
            <w:r>
              <w:rPr>
                <w:rFonts w:ascii="Times New Roman" w:cs="Times New Roman" w:eastAsia="Times New Roman" w:hAnsi="Times New Roman"/>
                <w:sz w:val="24"/>
                <w:szCs w:val="24"/>
                <w:i w:val="1"/>
                <w:iCs w:val="1"/>
                <w:color w:val="auto"/>
                <w:vertAlign w:val="superscript"/>
              </w:rPr>
              <w:t>(2)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80" w:type="dxa"/>
            <w:vAlign w:val="bottom"/>
          </w:tcPr>
          <w:p>
            <w:pPr>
              <w:spacing w:after="0"/>
              <w:rPr>
                <w:sz w:val="19"/>
                <w:szCs w:val="19"/>
                <w:color w:val="auto"/>
              </w:rPr>
            </w:pPr>
          </w:p>
        </w:tc>
      </w:tr>
      <w:tr>
        <w:trPr>
          <w:trHeight w:val="26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69,039</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55,256</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4846955</wp:posOffset>
            </wp:positionH>
            <wp:positionV relativeFrom="paragraph">
              <wp:posOffset>-25400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-8255</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-25400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-8255</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 w:lineRule="exact"/>
        <w:rPr>
          <w:sz w:val="20"/>
          <w:szCs w:val="20"/>
          <w:color w:val="auto"/>
        </w:rPr>
      </w:pPr>
    </w:p>
    <w:p>
      <w:pPr>
        <w:ind w:left="520" w:hanging="517"/>
        <w:spacing w:after="0"/>
        <w:tabs>
          <w:tab w:leader="none" w:pos="52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Note 5, “Government Assistance,” for additional information.</w:t>
      </w:r>
    </w:p>
    <w:p>
      <w:pPr>
        <w:spacing w:after="0" w:line="63" w:lineRule="exact"/>
        <w:rPr>
          <w:rFonts w:ascii="Times New Roman" w:cs="Times New Roman" w:eastAsia="Times New Roman" w:hAnsi="Times New Roman"/>
          <w:sz w:val="18"/>
          <w:szCs w:val="18"/>
          <w:i w:val="1"/>
          <w:iCs w:val="1"/>
          <w:color w:val="auto"/>
        </w:rPr>
      </w:pPr>
    </w:p>
    <w:p>
      <w:pPr>
        <w:ind w:left="520" w:hanging="517"/>
        <w:spacing w:after="0"/>
        <w:tabs>
          <w:tab w:leader="none" w:pos="52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Note 17, “Commitments and Contingencies,” for additional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as of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118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Network equipment</w:t>
            </w:r>
            <w:r>
              <w:rPr>
                <w:rFonts w:ascii="Times New Roman" w:cs="Times New Roman" w:eastAsia="Times New Roman" w:hAnsi="Times New Roman"/>
                <w:sz w:val="24"/>
                <w:szCs w:val="24"/>
                <w:i w:val="1"/>
                <w:i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193,222</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189,198</w:t>
            </w:r>
          </w:p>
        </w:tc>
        <w:tc>
          <w:tcPr>
            <w:tcW w:w="80" w:type="dxa"/>
            <w:vAlign w:val="bottom"/>
          </w:tcPr>
          <w:p>
            <w:pPr>
              <w:spacing w:after="0"/>
              <w:rPr>
                <w:sz w:val="19"/>
                <w:szCs w:val="19"/>
                <w:color w:val="auto"/>
              </w:rPr>
            </w:pPr>
          </w:p>
        </w:tc>
      </w:tr>
      <w:tr>
        <w:trPr>
          <w:trHeight w:val="223"/>
        </w:trPr>
        <w:tc>
          <w:tcPr>
            <w:tcW w:w="5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269,468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253,662</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(152,194)</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(134,537)</w:t>
            </w: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117,274</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119,125</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-24765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-24765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-7620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hanging="517"/>
        <w:spacing w:after="0"/>
        <w:tabs>
          <w:tab w:leader="none" w:pos="52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Note 5, “Government Assistance,” for additional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as of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r>
      <w:tr>
        <w:trPr>
          <w:trHeight w:val="223"/>
        </w:trPr>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8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color w:val="auto"/>
              </w:rPr>
              <w:t>Contract assets, net of allowances of $538 and $861, respectively</w:t>
            </w:r>
            <w:r>
              <w:rPr>
                <w:rFonts w:ascii="Times New Roman" w:cs="Times New Roman" w:eastAsia="Times New Roman" w:hAnsi="Times New Roman"/>
                <w:sz w:val="24"/>
                <w:szCs w:val="24"/>
                <w:i w:val="1"/>
                <w:iCs w:val="1"/>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8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shd w:val="clear" w:color="auto" w:fill="CFF0FC"/>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80" w:type="dxa"/>
            <w:vAlign w:val="bottom"/>
          </w:tcPr>
          <w:p>
            <w:pPr>
              <w:spacing w:after="0"/>
              <w:rPr>
                <w:sz w:val="19"/>
                <w:szCs w:val="19"/>
                <w:color w:val="auto"/>
              </w:rPr>
            </w:pPr>
          </w:p>
        </w:tc>
      </w:tr>
      <w:tr>
        <w:trPr>
          <w:trHeight w:val="263"/>
        </w:trPr>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44,928</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See Note 5, “Government Assistance,” for additional information.</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-196215</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-179070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-196215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-179070</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as of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77"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0"/>
                <w:szCs w:val="20"/>
                <w:color w:val="auto"/>
              </w:rPr>
            </w:pPr>
          </w:p>
        </w:tc>
      </w:tr>
      <w:tr>
        <w:trPr>
          <w:trHeight w:val="223"/>
        </w:trPr>
        <w:tc>
          <w:tcPr>
            <w:tcW w:w="5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 reserve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80" w:type="dxa"/>
            <w:vAlign w:val="bottom"/>
            <w:shd w:val="clear" w:color="auto" w:fill="CFF0FC"/>
          </w:tcPr>
          <w:p>
            <w:pPr>
              <w:spacing w:after="0"/>
              <w:rPr>
                <w:sz w:val="19"/>
                <w:szCs w:val="19"/>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8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80" w:type="dxa"/>
            <w:vAlign w:val="bottom"/>
          </w:tcPr>
          <w:p>
            <w:pPr>
              <w:spacing w:after="0"/>
              <w:rPr>
                <w:sz w:val="19"/>
                <w:szCs w:val="19"/>
                <w:color w:val="auto"/>
              </w:rPr>
            </w:pP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139,020</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81,889</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-25400</wp:posOffset>
            </wp:positionV>
            <wp:extent cx="51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4872990</wp:posOffset>
            </wp:positionH>
            <wp:positionV relativeFrom="paragraph">
              <wp:posOffset>-8255</wp:posOffset>
            </wp:positionV>
            <wp:extent cx="51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-25400</wp:posOffset>
            </wp:positionV>
            <wp:extent cx="514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-8255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20" w:h="16838" w:orient="portrait"/>
          <w:cols w:equalWidth="0" w:num="1">
            <w:col w:w="9638"/>
          </w:cols>
          <w:pgMar w:left="840" w:top="760"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484505</wp:posOffset>
            </wp:positionV>
            <wp:extent cx="71831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9638"/>
          </w:cols>
          <w:pgMar w:left="840" w:top="760" w:right="1440" w:bottom="1440" w:gutter="0" w:footer="0" w:header="0"/>
          <w:type w:val="continuous"/>
        </w:sectPr>
      </w:pPr>
    </w:p>
    <w:bookmarkStart w:id="81" w:name="page82"/>
    <w:bookmarkEnd w:id="8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 retirement obligations are included in Other non-current liabilities in our consolidated balance sheets and changes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3" w:lineRule="exact"/>
        <w:rPr>
          <w:sz w:val="20"/>
          <w:szCs w:val="20"/>
          <w:color w:val="auto"/>
        </w:rPr>
      </w:pPr>
    </w:p>
    <w:tbl>
      <w:tblPr>
        <w:tblLayout w:type="fixed"/>
        <w:tblInd w:w="1680" w:type="dxa"/>
        <w:tblCellMar>
          <w:top w:w="0" w:type="dxa"/>
          <w:left w:w="0" w:type="dxa"/>
          <w:bottom w:w="0" w:type="dxa"/>
          <w:right w:w="0" w:type="dxa"/>
        </w:tblCellMar>
      </w:tblPr>
      <w:tr>
        <w:trPr>
          <w:trHeight w:val="229"/>
        </w:trPr>
        <w:tc>
          <w:tcPr>
            <w:tcW w:w="6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Asset</w:t>
            </w:r>
          </w:p>
        </w:tc>
      </w:tr>
      <w:tr>
        <w:trPr>
          <w:trHeight w:val="229"/>
        </w:trPr>
        <w:tc>
          <w:tcPr>
            <w:tcW w:w="6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Retirement</w:t>
            </w:r>
          </w:p>
        </w:tc>
      </w:tr>
      <w:tr>
        <w:trPr>
          <w:trHeight w:val="238"/>
        </w:trPr>
        <w:tc>
          <w:tcPr>
            <w:tcW w:w="6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Obligation</w:t>
            </w: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80" w:type="dxa"/>
            <w:vAlign w:val="bottom"/>
            <w:shd w:val="clear" w:color="auto" w:fill="CFF0FC"/>
          </w:tcPr>
          <w:p>
            <w:pPr>
              <w:spacing w:after="0"/>
              <w:rPr>
                <w:sz w:val="19"/>
                <w:szCs w:val="19"/>
                <w:color w:val="auto"/>
              </w:rPr>
            </w:pP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incurred</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r>
      <w:tr>
        <w:trPr>
          <w:trHeight w:val="229"/>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Liabilities settled</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19"/>
                <w:szCs w:val="19"/>
                <w:color w:val="auto"/>
              </w:rPr>
            </w:pPr>
          </w:p>
        </w:tc>
      </w:tr>
      <w:tr>
        <w:trPr>
          <w:trHeight w:val="230"/>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 rate adjustments</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80" w:type="dxa"/>
            <w:vAlign w:val="bottom"/>
            <w:tcBorders>
              <w:top w:val="single" w:sz="8" w:color="CFF0FC"/>
            </w:tcBorders>
          </w:tcPr>
          <w:p>
            <w:pPr>
              <w:spacing w:after="0"/>
              <w:rPr>
                <w:sz w:val="19"/>
                <w:szCs w:val="19"/>
                <w:color w:val="auto"/>
              </w:rPr>
            </w:pPr>
          </w:p>
        </w:tc>
      </w:tr>
      <w:tr>
        <w:trPr>
          <w:trHeight w:val="230"/>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Liabilities incurred</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settled</w:t>
            </w: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shd w:val="clear" w:color="auto" w:fill="CFF0FC"/>
          </w:tcPr>
          <w:p>
            <w:pPr>
              <w:spacing w:after="0"/>
              <w:rPr>
                <w:sz w:val="19"/>
                <w:szCs w:val="19"/>
                <w:color w:val="auto"/>
              </w:rPr>
            </w:pP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rate adjustments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r>
      <w:tr>
        <w:trPr>
          <w:trHeight w:val="263"/>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6030595</wp:posOffset>
            </wp:positionH>
            <wp:positionV relativeFrom="paragraph">
              <wp:posOffset>-908050</wp:posOffset>
            </wp:positionV>
            <wp:extent cx="5143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-25400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Composition of Certain Reserves and Allowances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Credit Losses </w:t>
      </w:r>
      <w:r>
        <w:rPr>
          <w:rFonts w:ascii="Times New Roman" w:cs="Times New Roman" w:eastAsia="Times New Roman" w:hAnsi="Times New Roman"/>
          <w:sz w:val="18"/>
          <w:szCs w:val="18"/>
          <w:color w:val="auto"/>
        </w:rPr>
        <w:t>— Changes in our allowances for credit losses for the years ended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0" w:lineRule="exact"/>
        <w:rPr>
          <w:sz w:val="20"/>
          <w:szCs w:val="20"/>
          <w:color w:val="auto"/>
        </w:rPr>
      </w:pPr>
    </w:p>
    <w:tbl>
      <w:tblPr>
        <w:tblLayout w:type="fixed"/>
        <w:tblInd w:w="168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Non-Current</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Accrued</w:t>
            </w:r>
          </w:p>
        </w:tc>
      </w:tr>
      <w:tr>
        <w:trPr>
          <w:trHeight w:val="238"/>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0"/>
        </w:trPr>
        <w:tc>
          <w:tcPr>
            <w:tcW w:w="3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Additions from acquisition</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r>
      <w:tr>
        <w:trPr>
          <w:trHeight w:val="230"/>
        </w:trPr>
        <w:tc>
          <w:tcPr>
            <w:tcW w:w="3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Write-offs charged against the allowances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FF0FC"/>
          </w:tcPr>
          <w:p>
            <w:pPr>
              <w:spacing w:after="0"/>
              <w:rPr>
                <w:sz w:val="19"/>
                <w:szCs w:val="19"/>
                <w:color w:val="auto"/>
              </w:rPr>
            </w:pPr>
          </w:p>
        </w:tc>
      </w:tr>
      <w:tr>
        <w:trPr>
          <w:trHeight w:val="230"/>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36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Write-offs charged against the allowances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-25400</wp:posOffset>
            </wp:positionV>
            <wp:extent cx="43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-8255</wp:posOffset>
            </wp:positionV>
            <wp:extent cx="431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-25400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-8255</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-25400</wp:posOffset>
            </wp:positionV>
            <wp:extent cx="514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-8255</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Warranties </w:t>
      </w:r>
      <w:r>
        <w:rPr>
          <w:rFonts w:ascii="Times New Roman" w:cs="Times New Roman" w:eastAsia="Times New Roman" w:hAnsi="Times New Roman"/>
          <w:sz w:val="18"/>
          <w:szCs w:val="18"/>
          <w:color w:val="auto"/>
        </w:rPr>
        <w:t>— Changes in our warranty reserve for the years ended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0"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Warranty</w:t>
            </w:r>
          </w:p>
        </w:tc>
      </w:tr>
      <w:tr>
        <w:trPr>
          <w:trHeight w:val="238"/>
        </w:trPr>
        <w:tc>
          <w:tcPr>
            <w:tcW w:w="6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Reserve</w:t>
            </w: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shd w:val="clear" w:color="auto" w:fill="CFF0FC"/>
          </w:tcPr>
          <w:p>
            <w:pPr>
              <w:spacing w:after="0"/>
              <w:rPr>
                <w:sz w:val="19"/>
                <w:szCs w:val="19"/>
                <w:color w:val="auto"/>
              </w:rPr>
            </w:pPr>
          </w:p>
        </w:tc>
      </w:tr>
      <w:tr>
        <w:trPr>
          <w:trHeight w:val="229"/>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from acquisition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9"/>
                <w:szCs w:val="19"/>
                <w:color w:val="auto"/>
              </w:rPr>
            </w:pPr>
          </w:p>
        </w:tc>
      </w:tr>
      <w:tr>
        <w:trPr>
          <w:trHeight w:val="230"/>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80" w:type="dxa"/>
            <w:vAlign w:val="bottom"/>
            <w:shd w:val="clear" w:color="auto" w:fill="CFF0FC"/>
          </w:tcPr>
          <w:p>
            <w:pPr>
              <w:spacing w:after="0"/>
              <w:rPr>
                <w:sz w:val="19"/>
                <w:szCs w:val="19"/>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Settlements and adjustments to warranties</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(2,554)</w:t>
            </w: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shd w:val="clear" w:color="auto" w:fill="CFF0FC"/>
          </w:tcPr>
          <w:p>
            <w:pPr>
              <w:spacing w:after="0"/>
              <w:rPr>
                <w:sz w:val="19"/>
                <w:szCs w:val="19"/>
                <w:color w:val="auto"/>
              </w:rPr>
            </w:pP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tcPr>
          <w:p>
            <w:pPr>
              <w:spacing w:after="0"/>
              <w:rPr>
                <w:sz w:val="19"/>
                <w:szCs w:val="19"/>
                <w:color w:val="auto"/>
              </w:rPr>
            </w:pPr>
          </w:p>
        </w:tc>
      </w:tr>
      <w:tr>
        <w:trPr>
          <w:trHeight w:val="229"/>
        </w:trPr>
        <w:tc>
          <w:tcPr>
            <w:tcW w:w="6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Settlements and adjustments to warranties</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(3,153)</w:t>
            </w:r>
          </w:p>
        </w:tc>
      </w:tr>
      <w:tr>
        <w:trPr>
          <w:trHeight w:val="223"/>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tcBorders>
              <w:top w:val="single" w:sz="8" w:color="CFF0FC"/>
            </w:tcBorders>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6030595</wp:posOffset>
            </wp:positionH>
            <wp:positionV relativeFrom="paragraph">
              <wp:posOffset>-179705</wp:posOffset>
            </wp:positionV>
            <wp:extent cx="51435" cy="1803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21" w:lineRule="exact"/>
        <w:rPr>
          <w:sz w:val="20"/>
          <w:szCs w:val="20"/>
          <w:color w:val="auto"/>
        </w:rPr>
      </w:pPr>
    </w:p>
    <w:p>
      <w:pPr>
        <w:ind w:firstLine="511"/>
        <w:spacing w:after="0" w:line="282"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and goodwill. We own the rights to ATG spectrum in the nationwide 800 MHz Commercial Air-Ground Radiotelephone band (the “FCC Licenses”), which are used in</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060"/>
          </w:cols>
          <w:pgMar w:left="340" w:top="760" w:right="518"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operation of our ATG network. The FCC Licenses were originally issued with 10-year terms and we have renewed the licenses for subsequent 10-year terms. Such licenses are subject to further renewal by the FCC, and renewals of licenses held by others have occurred routinely and at nominal cost. Moreover, we have determined that there are currently no legal, regulatory, contractual, competitive, economic, or other factors that limit the useful life of the FCC Licenses. As a result, the FCC Licenses are treated as indefinite-lived intangible assets which we do not amortize. We reevaluate the useful life of the FCC Licenses each year to determine whether events and circumstances continue to support an indefinite useful life. Our annual impairment assessment of the FCC Licenses for 2025, 2024 and 2023 indicated no impairment.</w:t>
      </w:r>
    </w:p>
    <w:p>
      <w:pPr>
        <w:spacing w:after="0" w:line="79" w:lineRule="exact"/>
        <w:rPr>
          <w:sz w:val="20"/>
          <w:szCs w:val="20"/>
          <w:color w:val="auto"/>
        </w:rPr>
      </w:pPr>
    </w:p>
    <w:p>
      <w:pPr>
        <w:ind w:right="220" w:firstLine="511"/>
        <w:spacing w:after="0" w:line="282" w:lineRule="auto"/>
        <w:rPr>
          <w:sz w:val="20"/>
          <w:szCs w:val="20"/>
          <w:color w:val="auto"/>
        </w:rPr>
      </w:pPr>
      <w:r>
        <w:rPr>
          <w:rFonts w:ascii="Times New Roman" w:cs="Times New Roman" w:eastAsia="Times New Roman" w:hAnsi="Times New Roman"/>
          <w:sz w:val="18"/>
          <w:szCs w:val="18"/>
          <w:color w:val="auto"/>
        </w:rPr>
        <w:t>Our software relates to the development of internal use software which is used to run our network and support our service offerings. Software also includes software embedded in the equipment that we sell to our customers.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carrying value of goodwill during the years ended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72" w:lineRule="exact"/>
        <w:rPr>
          <w:sz w:val="20"/>
          <w:szCs w:val="20"/>
          <w:color w:val="auto"/>
        </w:rPr>
      </w:pPr>
    </w:p>
    <w:tbl>
      <w:tblPr>
        <w:tblLayout w:type="fixed"/>
        <w:tblInd w:w="24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0" w:type="dxa"/>
            <w:vAlign w:val="bottom"/>
          </w:tcPr>
          <w:p>
            <w:pPr>
              <w:spacing w:after="0"/>
              <w:rPr>
                <w:sz w:val="19"/>
                <w:szCs w:val="19"/>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Activity in 2024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184,211</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184,831</w:t>
            </w:r>
          </w:p>
        </w:tc>
        <w:tc>
          <w:tcPr>
            <w:tcW w:w="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Activity in 2025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tcBorders>
              <w:bottom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193,187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5575935</wp:posOffset>
            </wp:positionH>
            <wp:positionV relativeFrom="paragraph">
              <wp:posOffset>-179070</wp:posOffset>
            </wp:positionV>
            <wp:extent cx="3429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4290" cy="179705"/>
                    </a:xfrm>
                    <a:prstGeom prst="rect">
                      <a:avLst/>
                    </a:prstGeom>
                    <a:noFill/>
                  </pic:spPr>
                </pic:pic>
              </a:graphicData>
            </a:graphic>
          </wp:anchor>
        </w:drawing>
      </w:r>
    </w:p>
    <w:p>
      <w:pPr>
        <w:spacing w:after="0" w:line="70" w:lineRule="exact"/>
        <w:rPr>
          <w:sz w:val="20"/>
          <w:szCs w:val="20"/>
          <w:color w:val="auto"/>
        </w:rPr>
      </w:pPr>
    </w:p>
    <w:p>
      <w:pPr>
        <w:ind w:right="580" w:firstLine="511"/>
        <w:spacing w:after="0" w:line="282" w:lineRule="auto"/>
        <w:rPr>
          <w:sz w:val="20"/>
          <w:szCs w:val="20"/>
          <w:color w:val="auto"/>
        </w:rPr>
      </w:pPr>
      <w:r>
        <w:rPr>
          <w:rFonts w:ascii="Times New Roman" w:cs="Times New Roman" w:eastAsia="Times New Roman" w:hAnsi="Times New Roman"/>
          <w:sz w:val="18"/>
          <w:szCs w:val="18"/>
          <w:color w:val="auto"/>
        </w:rPr>
        <w:t>Refer to Note 2, “Acquisition of Satcom Direct,” for further information on the acquisition-related goodwill balance and measurement period adjustments.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intangible assets, other than goodwill, as of December 31, 2025 and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2"/>
        </w:trPr>
        <w:tc>
          <w:tcPr>
            <w:tcW w:w="3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144"/>
              <w:spacing w:after="0" w:line="12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124"/>
              <w:spacing w:after="0" w:line="122" w:lineRule="exact"/>
              <w:rPr>
                <w:sz w:val="20"/>
                <w:szCs w:val="20"/>
                <w:color w:val="auto"/>
              </w:rPr>
            </w:pPr>
            <w:r>
              <w:rPr>
                <w:rFonts w:ascii="Times New Roman" w:cs="Times New Roman" w:eastAsia="Times New Roman" w:hAnsi="Times New Roman"/>
                <w:sz w:val="13"/>
                <w:szCs w:val="13"/>
                <w:b w:val="1"/>
                <w:bCs w:val="1"/>
                <w:color w:val="auto"/>
              </w:rPr>
              <w:t>Net</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124"/>
              <w:spacing w:after="0" w:line="122"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44"/>
              <w:spacing w:after="0" w:line="122"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00" w:type="dxa"/>
            <w:vAlign w:val="bottom"/>
          </w:tcPr>
          <w:p>
            <w:pPr>
              <w:spacing w:after="0"/>
              <w:rPr>
                <w:sz w:val="10"/>
                <w:szCs w:val="10"/>
                <w:color w:val="auto"/>
              </w:rPr>
            </w:pPr>
          </w:p>
        </w:tc>
      </w:tr>
      <w:tr>
        <w:trPr>
          <w:trHeight w:val="148"/>
        </w:trPr>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920" w:type="dxa"/>
            <w:vAlign w:val="bottom"/>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00" w:type="dxa"/>
            <w:vAlign w:val="bottom"/>
          </w:tcPr>
          <w:p>
            <w:pPr>
              <w:spacing w:after="0"/>
              <w:rPr>
                <w:sz w:val="12"/>
                <w:szCs w:val="12"/>
                <w:color w:val="auto"/>
              </w:rPr>
            </w:pPr>
          </w:p>
        </w:tc>
      </w:tr>
      <w:tr>
        <w:trPr>
          <w:trHeight w:val="155"/>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Pr>
          <w:p>
            <w:pPr>
              <w:spacing w:after="0"/>
              <w:rPr>
                <w:sz w:val="13"/>
                <w:szCs w:val="13"/>
                <w:color w:val="auto"/>
              </w:rPr>
            </w:pPr>
          </w:p>
        </w:tc>
        <w:tc>
          <w:tcPr>
            <w:tcW w:w="920" w:type="dxa"/>
            <w:vAlign w:val="bottom"/>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3"/>
                <w:szCs w:val="13"/>
                <w:color w:val="auto"/>
              </w:rPr>
            </w:pPr>
          </w:p>
        </w:tc>
        <w:tc>
          <w:tcPr>
            <w:tcW w:w="920" w:type="dxa"/>
            <w:vAlign w:val="bottom"/>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r>
      <w:tr>
        <w:trPr>
          <w:trHeight w:val="209"/>
        </w:trPr>
        <w:tc>
          <w:tcPr>
            <w:tcW w:w="34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Amortized intangible assets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(55,524)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86,418</w:t>
            </w:r>
          </w:p>
        </w:tc>
        <w:tc>
          <w:tcPr>
            <w:tcW w:w="420" w:type="dxa"/>
            <w:vAlign w:val="bottom"/>
            <w:gridSpan w:val="2"/>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(47,225)</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85,448</w:t>
            </w:r>
          </w:p>
        </w:tc>
        <w:tc>
          <w:tcPr>
            <w:tcW w:w="100" w:type="dxa"/>
            <w:vAlign w:val="bottom"/>
          </w:tcPr>
          <w:p>
            <w:pPr>
              <w:spacing w:after="0"/>
              <w:rPr>
                <w:sz w:val="18"/>
                <w:szCs w:val="18"/>
                <w:color w:val="auto"/>
              </w:rPr>
            </w:pPr>
          </w:p>
        </w:tc>
      </w:tr>
      <w:tr>
        <w:trPr>
          <w:trHeight w:val="21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customer relationships</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(39,410)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(10,491)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142,190</w:t>
            </w:r>
          </w:p>
        </w:tc>
        <w:tc>
          <w:tcPr>
            <w:tcW w:w="100" w:type="dxa"/>
            <w:vAlign w:val="bottom"/>
            <w:shd w:val="clear" w:color="auto" w:fill="CFF0FC"/>
          </w:tcPr>
          <w:p>
            <w:pPr>
              <w:spacing w:after="0"/>
              <w:rPr>
                <w:sz w:val="19"/>
                <w:szCs w:val="19"/>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OEM and dealer relationships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(8,119)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(6,831)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100" w:type="dxa"/>
            <w:vAlign w:val="bottom"/>
          </w:tcPr>
          <w:p>
            <w:pPr>
              <w:spacing w:after="0"/>
              <w:rPr>
                <w:sz w:val="18"/>
                <w:szCs w:val="18"/>
                <w:color w:val="auto"/>
              </w:rPr>
            </w:pPr>
          </w:p>
        </w:tc>
      </w:tr>
      <w:tr>
        <w:trPr>
          <w:trHeight w:val="21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(1,468)</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100" w:type="dxa"/>
            <w:vAlign w:val="bottom"/>
            <w:shd w:val="clear" w:color="auto" w:fill="CFF0FC"/>
          </w:tcPr>
          <w:p>
            <w:pPr>
              <w:spacing w:after="0"/>
              <w:rPr>
                <w:sz w:val="18"/>
                <w:szCs w:val="18"/>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(104,521</w:t>
            </w:r>
            <w:r>
              <w:rPr>
                <w:rFonts w:ascii="Times New Roman" w:cs="Times New Roman" w:eastAsia="Times New Roman" w:hAnsi="Times New Roman"/>
                <w:sz w:val="16"/>
                <w:szCs w:val="16"/>
                <w:color w:val="auto"/>
                <w:highlight w:val="white"/>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(64,600</w:t>
            </w:r>
            <w:r>
              <w:rPr>
                <w:rFonts w:ascii="Times New Roman" w:cs="Times New Roman" w:eastAsia="Times New Roman" w:hAnsi="Times New Roman"/>
                <w:sz w:val="16"/>
                <w:szCs w:val="16"/>
                <w:color w:val="auto"/>
                <w:highlight w:val="white"/>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243,048</w:t>
            </w:r>
          </w:p>
        </w:tc>
        <w:tc>
          <w:tcPr>
            <w:tcW w:w="100" w:type="dxa"/>
            <w:vAlign w:val="bottom"/>
          </w:tcPr>
          <w:p>
            <w:pPr>
              <w:spacing w:after="0"/>
              <w:rPr>
                <w:sz w:val="18"/>
                <w:szCs w:val="18"/>
                <w:color w:val="auto"/>
              </w:rPr>
            </w:pPr>
          </w:p>
        </w:tc>
      </w:tr>
      <w:tr>
        <w:trPr>
          <w:trHeight w:val="21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Unamortized intangible assets:</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FCC Licenses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32,283</w:t>
            </w:r>
          </w:p>
        </w:tc>
        <w:tc>
          <w:tcPr>
            <w:tcW w:w="100" w:type="dxa"/>
            <w:vAlign w:val="bottom"/>
          </w:tcPr>
          <w:p>
            <w:pPr>
              <w:spacing w:after="0"/>
              <w:rPr>
                <w:sz w:val="18"/>
                <w:szCs w:val="18"/>
                <w:color w:val="auto"/>
              </w:rPr>
            </w:pPr>
          </w:p>
        </w:tc>
      </w:tr>
      <w:tr>
        <w:trPr>
          <w:trHeight w:val="250"/>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353,339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(104,521)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248,818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339,931</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(64,600)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275,331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-591185</wp:posOffset>
            </wp:positionV>
            <wp:extent cx="76835"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-591185</wp:posOffset>
            </wp:positionV>
            <wp:extent cx="68580" cy="146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-591185</wp:posOffset>
            </wp:positionV>
            <wp:extent cx="7747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-591185</wp:posOffset>
            </wp:positionV>
            <wp:extent cx="6858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-25400</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-8255</wp:posOffset>
            </wp:positionV>
            <wp:extent cx="768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4547235</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-25400</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-8255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6236335</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6236335</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ind w:left="1020" w:hanging="517"/>
        <w:spacing w:after="0"/>
        <w:tabs>
          <w:tab w:leader="none" w:pos="102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Note 5, “Government Assistance,” for additional information.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expense for the years ended December 31, 2025, 2024 and 2023 was $39.9 million, $3.9 million and $2.0 million, respectively.</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expense for each of the next five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3760" w:type="dxa"/>
        <w:tblCellMar>
          <w:top w:w="0" w:type="dxa"/>
          <w:left w:w="0" w:type="dxa"/>
          <w:bottom w:w="0" w:type="dxa"/>
          <w:right w:w="0" w:type="dxa"/>
        </w:tblCellMar>
      </w:tblPr>
      <w:tr>
        <w:trPr>
          <w:trHeight w:val="161"/>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42,728</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43,585</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13,737</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the result of future investments and other factors.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and Other Liabilities</w:t>
      </w:r>
    </w:p>
    <w:p>
      <w:pPr>
        <w:sectPr>
          <w:pgSz w:w="11920" w:h="16838" w:orient="portrait"/>
          <w:cols w:equalWidth="0" w:num="1">
            <w:col w:w="11260"/>
          </w:cols>
          <w:pgMar w:left="340" w:top="760" w:right="318"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as of December 31, 2025 and 2024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45" w:lineRule="exact"/>
        <w:rPr>
          <w:sz w:val="20"/>
          <w:szCs w:val="20"/>
          <w:color w:val="auto"/>
        </w:rPr>
      </w:pPr>
    </w:p>
    <w:tbl>
      <w:tblPr>
        <w:tblLayout w:type="fixed"/>
        <w:tblInd w:w="168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599,776</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HPS Term Loan Facility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244,469</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(7,419)</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(10,164)</w:t>
            </w:r>
          </w:p>
        </w:tc>
      </w:tr>
      <w:tr>
        <w:trPr>
          <w:trHeight w:val="229"/>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833,579</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831,581</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-24765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-7620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-24765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21" w:lineRule="exact"/>
        <w:rPr>
          <w:sz w:val="20"/>
          <w:szCs w:val="20"/>
          <w:color w:val="auto"/>
        </w:rPr>
      </w:pPr>
    </w:p>
    <w:p>
      <w:pPr>
        <w:ind w:right="180" w:firstLine="511"/>
        <w:spacing w:after="0" w:line="256"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“2021 Term Loan Facility”) in an aggregate principal amount of $725.0 million, issued with a discount of 0.5%, and (ii) a revolving credit facility (the “Revolving Facility” and together with the 2021 Term Loan Facility, the “2021 Facilities”) of up to $100.0 million, which includes a letter of credit sub-facility. The 2021 Term Loan Facility matures on April 30, 2028.</w:t>
      </w:r>
    </w:p>
    <w:p>
      <w:pPr>
        <w:spacing w:after="0" w:line="79" w:lineRule="exact"/>
        <w:rPr>
          <w:sz w:val="20"/>
          <w:szCs w:val="20"/>
          <w:color w:val="auto"/>
        </w:rPr>
      </w:pPr>
    </w:p>
    <w:p>
      <w:pPr>
        <w:ind w:right="80" w:firstLine="511"/>
        <w:spacing w:after="0" w:line="256" w:lineRule="auto"/>
        <w:rPr>
          <w:sz w:val="20"/>
          <w:szCs w:val="20"/>
          <w:color w:val="auto"/>
        </w:rPr>
      </w:pPr>
      <w:r>
        <w:rPr>
          <w:rFonts w:ascii="Times New Roman" w:cs="Times New Roman" w:eastAsia="Times New Roman" w:hAnsi="Times New Roman"/>
          <w:sz w:val="18"/>
          <w:szCs w:val="18"/>
          <w:color w:val="auto"/>
        </w:rPr>
        <w:t>On December 3, 2024, Gogo and GIH entered into a second amendment to the 2021 Credit Agreement, by and among, Gogo, GIH, guarantors party thereto, Morgan Stanley Senior Funding, Inc., as administrative agent, and the lenders party thereto,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spacing w:after="0" w:line="79" w:lineRule="exact"/>
        <w:rPr>
          <w:sz w:val="20"/>
          <w:szCs w:val="20"/>
          <w:color w:val="auto"/>
        </w:rPr>
      </w:pPr>
    </w:p>
    <w:p>
      <w:pPr>
        <w:ind w:right="120" w:firstLine="511"/>
        <w:spacing w:after="0" w:line="312" w:lineRule="auto"/>
        <w:rPr>
          <w:sz w:val="20"/>
          <w:szCs w:val="20"/>
          <w:color w:val="auto"/>
        </w:rPr>
      </w:pPr>
      <w:r>
        <w:rPr>
          <w:rFonts w:ascii="Times New Roman" w:cs="Times New Roman" w:eastAsia="Times New Roman" w:hAnsi="Times New Roman"/>
          <w:sz w:val="17"/>
          <w:szCs w:val="17"/>
          <w:color w:val="auto"/>
        </w:rPr>
        <w:t>The 2021 Term Loan Facility amortizes in quarterly installments equal to one percent of the aggregate initial principal amount thereof per annum, with the remaining balance payable upon final maturity of the 2021 Term Loan Facility. There are no amortization payments under the Revolving Facility.</w:t>
      </w:r>
    </w:p>
    <w:p>
      <w:pPr>
        <w:spacing w:after="0" w:line="32" w:lineRule="exact"/>
        <w:rPr>
          <w:sz w:val="20"/>
          <w:szCs w:val="20"/>
          <w:color w:val="auto"/>
        </w:rPr>
      </w:pPr>
    </w:p>
    <w:p>
      <w:pPr>
        <w:ind w:right="260" w:firstLine="511"/>
        <w:spacing w:after="0" w:line="276" w:lineRule="auto"/>
        <w:rPr>
          <w:sz w:val="20"/>
          <w:szCs w:val="20"/>
          <w:color w:val="auto"/>
        </w:rPr>
      </w:pPr>
      <w:r>
        <w:rPr>
          <w:rFonts w:ascii="Times New Roman" w:cs="Times New Roman" w:eastAsia="Times New Roman" w:hAnsi="Times New Roman"/>
          <w:sz w:val="17"/>
          <w:szCs w:val="17"/>
          <w:color w:val="auto"/>
        </w:rPr>
        <w:t>The 2021 Term Loan Facility bears annual interest at a floating rate measured by reference to, at GIH’s option, either (i) an adjusted term secured overnight financing rate as administered by the Federal Reserve Bank of New York (“SOFR”) (subject to a floor of 0.75%) plus an applicable margin of</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3.75% and a credit spread adjustment of approximately 0.11%, 0.26% or 0.43% per annum based on 1-month, 3-month or 6-month term SOFR, respectively or (ii) an alternate base rate plus an applicable margin of 2.75%.</w:t>
      </w:r>
    </w:p>
    <w:p>
      <w:pPr>
        <w:spacing w:after="0" w:line="73"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3.50% to 4.00% per annum depending on GIH’s senior secured first lien net leverage ratio or (ii) an alternate base rate plus an applicable margin ranging from 2.50% to 3.00% per annum depending on GIH’s senior secured first lien net leverage ratio. Additionally, unused commitments under the Revolving Facility are subject to a fee ranging from 0.25% to 0.50% per annum depending on GIH’s senior secured first lien net leverage ratio. As of December 31, 2025, the fee for unused commitments under the Revolving Facility was 0.25% and the applicable margin was 4.00% for SOFR rate loans and 3.00% for alternate rate loans.</w:t>
      </w:r>
    </w:p>
    <w:p>
      <w:pPr>
        <w:spacing w:after="0" w:line="79" w:lineRule="exact"/>
        <w:rPr>
          <w:sz w:val="20"/>
          <w:szCs w:val="20"/>
          <w:color w:val="auto"/>
        </w:rPr>
      </w:pPr>
    </w:p>
    <w:p>
      <w:pPr>
        <w:ind w:right="300" w:firstLine="511"/>
        <w:spacing w:after="0" w:line="258" w:lineRule="auto"/>
        <w:rPr>
          <w:sz w:val="20"/>
          <w:szCs w:val="20"/>
          <w:color w:val="auto"/>
        </w:rPr>
      </w:pPr>
      <w:r>
        <w:rPr>
          <w:rFonts w:ascii="Times New Roman" w:cs="Times New Roman" w:eastAsia="Times New Roman" w:hAnsi="Times New Roman"/>
          <w:sz w:val="18"/>
          <w:szCs w:val="18"/>
          <w:color w:val="auto"/>
        </w:rPr>
        <w:t>The 2021 Facilities may be prepaid at GIH’s option at any time without premium or penalty (other than customary breakage costs), subject to minimum principal payment amount requirements. On May 3, 2023, the Company prepaid $100 million of the outstanding principal amount of the 2021 Term Loan Facility. As a result, we wrote off $2.2 million of the deferred financing costs and unaccreted debt discount, which are included in Loss on extinguishment of debt in our Consolidated Statements of Operations for the year ended December 31, 2023. This prepayment satisfied the required amortization payments for the remaining term of the 2021 Term Loan Facility.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2021 Term Loan Facility is subject to mandatory prepayments in an amount equal to:</w:t>
      </w:r>
    </w:p>
    <w:p>
      <w:pPr>
        <w:spacing w:after="0" w:line="117" w:lineRule="exact"/>
        <w:rPr>
          <w:sz w:val="20"/>
          <w:szCs w:val="20"/>
          <w:color w:val="auto"/>
        </w:rPr>
      </w:pPr>
    </w:p>
    <w:p>
      <w:pPr>
        <w:ind w:left="1020" w:right="400" w:hanging="517"/>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53"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117" w:lineRule="exact"/>
        <w:rPr>
          <w:rFonts w:ascii="Times New Roman" w:cs="Times New Roman" w:eastAsia="Times New Roman" w:hAnsi="Times New Roman"/>
          <w:sz w:val="18"/>
          <w:szCs w:val="18"/>
          <w:color w:val="auto"/>
        </w:rPr>
      </w:pPr>
    </w:p>
    <w:p>
      <w:pPr>
        <w:ind w:left="1020" w:right="260" w:hanging="517"/>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subject to reduction to 25% and 0% if specified senior secured first lien net leverage ratio targets are met.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right="220" w:firstLine="511"/>
        <w:spacing w:after="0" w:line="256"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2021 Facilities; and amendment of organizational documents; in each case subject to customary exceptions.</w:t>
      </w:r>
    </w:p>
    <w:p>
      <w:pPr>
        <w:spacing w:after="0" w:line="79" w:lineRule="exact"/>
        <w:rPr>
          <w:sz w:val="20"/>
          <w:szCs w:val="20"/>
          <w:color w:val="auto"/>
        </w:rPr>
      </w:pPr>
    </w:p>
    <w:p>
      <w:pPr>
        <w:jc w:val="both"/>
        <w:ind w:right="180" w:firstLine="511"/>
        <w:spacing w:after="0" w:line="266"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8" w:lineRule="exact"/>
        <w:rPr>
          <w:sz w:val="20"/>
          <w:szCs w:val="20"/>
          <w:color w:val="auto"/>
        </w:rPr>
      </w:pPr>
    </w:p>
    <w:p>
      <w:pPr>
        <w:ind w:right="40" w:firstLine="511"/>
        <w:spacing w:after="0" w:line="266"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2021 Facilities to be due and payable immediately and the commitments under the Revolving Facility to be terminated.</w:t>
      </w:r>
    </w:p>
    <w:p>
      <w:pPr>
        <w:spacing w:after="0" w:line="68" w:lineRule="exact"/>
        <w:rPr>
          <w:sz w:val="20"/>
          <w:szCs w:val="20"/>
          <w:color w:val="auto"/>
        </w:rPr>
      </w:pPr>
    </w:p>
    <w:p>
      <w:pPr>
        <w:ind w:right="60" w:firstLine="511"/>
        <w:spacing w:after="0" w:line="282" w:lineRule="auto"/>
        <w:rPr>
          <w:sz w:val="20"/>
          <w:szCs w:val="20"/>
          <w:color w:val="auto"/>
        </w:rPr>
      </w:pPr>
      <w:r>
        <w:rPr>
          <w:rFonts w:ascii="Times New Roman" w:cs="Times New Roman" w:eastAsia="Times New Roman" w:hAnsi="Times New Roman"/>
          <w:sz w:val="18"/>
          <w:szCs w:val="18"/>
          <w:color w:val="auto"/>
        </w:rPr>
        <w:t>The Revolving Facility is available for working capital and general corporate purposes of GIH and its subsidiaries and was undrawn as of December 31, 2025 and 2024.</w:t>
      </w:r>
    </w:p>
    <w:p>
      <w:pPr>
        <w:spacing w:after="0" w:line="54" w:lineRule="exact"/>
        <w:rPr>
          <w:sz w:val="20"/>
          <w:szCs w:val="20"/>
          <w:color w:val="auto"/>
        </w:rPr>
      </w:pPr>
    </w:p>
    <w:p>
      <w:pPr>
        <w:ind w:right="440" w:firstLine="511"/>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outstanding principal amount of the 2021 Term Loan Facility was $601.4 million and $601.4 million, respectively, the unaccreted debt discount was $1.2 million and $1.7 million, respectively, and the net carrying amount was $600.2 million and $599.8 million, respectively.</w:t>
      </w:r>
    </w:p>
    <w:p>
      <w:pPr>
        <w:spacing w:after="0" w:line="68"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We paid approximately $21.6 million of loan origination and financing costs related to the 2021 Facilities, which are being accounted for as deferred financing costs on our consolidated balance sheets and are amortized over the terms of the 2021 Facilities. Total amortization expense was $2.9 million, $2.5 million and $2.4 million, respectively, for the years ended December 31, 2025, 2024 and 2023 and is included in interest expense in our consolidated statements of operations. As of December 31, 2025 and 2024, the balance of unamortized deferred financing costs related to the 2021 Facilities was $7.4 million and $10.4 million, respectively.</w:t>
      </w:r>
    </w:p>
    <w:p>
      <w:pPr>
        <w:spacing w:after="0" w:line="75"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 xml:space="preserve">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2021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2021 Facilities and certain other secured obligations as set forth in the Collateral Agreement. The liens granted under the 2021 Term Loan Facility are subject to an intercreditor agreement and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granted under the HPS Term Loan Facility (as defined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HPS Credit Agreement</w:t>
      </w:r>
    </w:p>
    <w:p>
      <w:pPr>
        <w:spacing w:after="0" w:line="121" w:lineRule="exact"/>
        <w:rPr>
          <w:sz w:val="20"/>
          <w:szCs w:val="20"/>
          <w:color w:val="auto"/>
        </w:rPr>
      </w:pPr>
    </w:p>
    <w:p>
      <w:pPr>
        <w:jc w:val="both"/>
        <w:ind w:firstLine="511"/>
        <w:spacing w:after="0" w:line="258" w:lineRule="auto"/>
        <w:rPr>
          <w:sz w:val="20"/>
          <w:szCs w:val="20"/>
          <w:color w:val="auto"/>
        </w:rPr>
      </w:pPr>
      <w:r>
        <w:rPr>
          <w:rFonts w:ascii="Times New Roman" w:cs="Times New Roman" w:eastAsia="Times New Roman" w:hAnsi="Times New Roman"/>
          <w:sz w:val="18"/>
          <w:szCs w:val="18"/>
          <w:color w:val="auto"/>
        </w:rPr>
        <w:t>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spacing w:after="0" w:line="75" w:lineRule="exact"/>
        <w:rPr>
          <w:sz w:val="20"/>
          <w:szCs w:val="20"/>
          <w:color w:val="auto"/>
        </w:rPr>
      </w:pPr>
    </w:p>
    <w:p>
      <w:pPr>
        <w:jc w:val="both"/>
        <w:ind w:right="240" w:firstLine="511"/>
        <w:spacing w:after="0" w:line="266" w:lineRule="auto"/>
        <w:rPr>
          <w:sz w:val="20"/>
          <w:szCs w:val="20"/>
          <w:color w:val="auto"/>
        </w:rPr>
      </w:pPr>
      <w:r>
        <w:rPr>
          <w:rFonts w:ascii="Times New Roman" w:cs="Times New Roman" w:eastAsia="Times New Roman" w:hAnsi="Times New Roman"/>
          <w:sz w:val="18"/>
          <w:szCs w:val="18"/>
          <w:color w:val="auto"/>
        </w:rPr>
        <w:t>The HPS Term Loan Facility bears annual interest at a floating rate measured by reference to, at the Company’s option, either (i) an adjusted term SOFR (subject to a floor of 1.00%) plus an initial applicable margin of 6.00%, which is subject to two leverage-based step-downs of up to 0.25% each or (ii) an alternate base rate plus an applicable margin of 5.00%, which is subject to two leverage-based step-downs of up to 0.25% each.</w:t>
      </w:r>
    </w:p>
    <w:p>
      <w:pPr>
        <w:spacing w:after="0" w:line="68" w:lineRule="exact"/>
        <w:rPr>
          <w:sz w:val="20"/>
          <w:szCs w:val="20"/>
          <w:color w:val="auto"/>
        </w:rPr>
      </w:pPr>
    </w:p>
    <w:p>
      <w:pPr>
        <w:jc w:val="both"/>
        <w:ind w:firstLine="511"/>
        <w:spacing w:after="0" w:line="258" w:lineRule="auto"/>
        <w:rPr>
          <w:sz w:val="20"/>
          <w:szCs w:val="20"/>
          <w:color w:val="auto"/>
        </w:rPr>
      </w:pPr>
      <w:r>
        <w:rPr>
          <w:rFonts w:ascii="Times New Roman" w:cs="Times New Roman" w:eastAsia="Times New Roman" w:hAnsi="Times New Roman"/>
          <w:sz w:val="18"/>
          <w:szCs w:val="18"/>
          <w:color w:val="auto"/>
        </w:rPr>
        <w:t>The HPS Term Loan Facility may be prepaid at the Company’s option, at any time, without premium or penalty (other than customary breakage costs, and except that (a) during the first 12 months following the closing of the HPS Credit Agreement, certain prepayments of the HPS Term Loan Facility are subject to a 3.00% prepayment premium and (b) during the period from 12 months to 24 months following the closing of the HPS Credit Agreement, certain prepayments of the HPS Term Loan Facility are subject to a 1.00% prepayment premium), subject to minimum principal repayment amount requirements.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HPS Term Loan Facility is subject to mandatory prepayments in an amount equal 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left="1020" w:hanging="517"/>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w:t>
      </w:r>
    </w:p>
    <w:p>
      <w:pPr>
        <w:spacing w:after="0" w:line="117" w:lineRule="exact"/>
        <w:rPr>
          <w:rFonts w:ascii="Times New Roman" w:cs="Times New Roman" w:eastAsia="Times New Roman" w:hAnsi="Times New Roman"/>
          <w:sz w:val="18"/>
          <w:szCs w:val="18"/>
          <w:color w:val="auto"/>
        </w:rPr>
      </w:pPr>
    </w:p>
    <w:p>
      <w:pPr>
        <w:ind w:left="1020" w:hanging="517"/>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117" w:lineRule="exact"/>
        <w:rPr>
          <w:rFonts w:ascii="Times New Roman" w:cs="Times New Roman" w:eastAsia="Times New Roman" w:hAnsi="Times New Roman"/>
          <w:sz w:val="18"/>
          <w:szCs w:val="18"/>
          <w:color w:val="auto"/>
        </w:rPr>
      </w:pPr>
    </w:p>
    <w:p>
      <w:pPr>
        <w:ind w:left="1020" w:right="240" w:hanging="517"/>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annual excess cash flow (as defined in the HPS Credit Agreement), subject to reduction to 50% if specified senior secured first lien net leverage ratio targets are met.</w:t>
      </w:r>
    </w:p>
    <w:p>
      <w:pPr>
        <w:spacing w:after="0" w:line="54" w:lineRule="exact"/>
        <w:rPr>
          <w:sz w:val="20"/>
          <w:szCs w:val="20"/>
          <w:color w:val="auto"/>
        </w:rPr>
      </w:pPr>
    </w:p>
    <w:p>
      <w:pPr>
        <w:jc w:val="both"/>
        <w:ind w:firstLine="511"/>
        <w:spacing w:after="0" w:line="256" w:lineRule="auto"/>
        <w:rPr>
          <w:sz w:val="20"/>
          <w:szCs w:val="20"/>
          <w:color w:val="auto"/>
        </w:rPr>
      </w:pPr>
      <w:r>
        <w:rPr>
          <w:rFonts w:ascii="Times New Roman" w:cs="Times New Roman" w:eastAsia="Times New Roman" w:hAnsi="Times New Roman"/>
          <w:sz w:val="18"/>
          <w:szCs w:val="18"/>
          <w:color w:val="auto"/>
        </w:rPr>
        <w:t>The HPS Credit Agreement contains customary representations and warranties and customary affirmative and negative covenants. The negative covenants include restrictions on, among other things: the incurrence of indebtedness or issuance of disqualified equity interests; the incurrence or existence of liens; consolidations or mergers; activities of the Company; the making of investments, loans, advances, guarantees or acquisitions; asset sales; the making of dividends or other distributions on equity; the purchase, redemption or retirement of capital stock; payment or redemption of certain junior indebtedness; activities of Federal Communications Commission license holders; entry into other agreements that restrict the ability to incur liens securing the HPS Term Loan Facility.</w:t>
      </w:r>
    </w:p>
    <w:p>
      <w:pPr>
        <w:spacing w:after="0" w:line="79" w:lineRule="exact"/>
        <w:rPr>
          <w:sz w:val="20"/>
          <w:szCs w:val="20"/>
          <w:color w:val="auto"/>
        </w:rPr>
      </w:pPr>
    </w:p>
    <w:p>
      <w:pPr>
        <w:ind w:right="80" w:firstLine="511"/>
        <w:spacing w:after="0" w:line="282" w:lineRule="auto"/>
        <w:rPr>
          <w:sz w:val="20"/>
          <w:szCs w:val="20"/>
          <w:color w:val="auto"/>
        </w:rPr>
      </w:pPr>
      <w:r>
        <w:rPr>
          <w:rFonts w:ascii="Times New Roman" w:cs="Times New Roman" w:eastAsia="Times New Roman" w:hAnsi="Times New Roman"/>
          <w:sz w:val="18"/>
          <w:szCs w:val="18"/>
          <w:color w:val="auto"/>
        </w:rPr>
        <w:t>The HPS Credit Agreement contains customary events of default, which, if any of them occurred, would permit or require the principal, premium, if any, and interest on all of the then outstanding obligations under the HPS Term Loan Facility to be due and payable immediately.</w:t>
      </w:r>
    </w:p>
    <w:p>
      <w:pPr>
        <w:spacing w:after="0" w:line="54" w:lineRule="exact"/>
        <w:rPr>
          <w:sz w:val="20"/>
          <w:szCs w:val="20"/>
          <w:color w:val="auto"/>
        </w:rPr>
      </w:pPr>
    </w:p>
    <w:p>
      <w:pPr>
        <w:ind w:right="120" w:firstLine="511"/>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outstanding principal amount of the HPS Term Loan Facility was $246.9 million and $249.4 million, respectively, the unaccreted debt discount was $3.6 million and $4.9 million, respectively, and the net carrying amount was $243.3 million $244.5 million, respectively.</w:t>
      </w:r>
    </w:p>
    <w:p>
      <w:pPr>
        <w:spacing w:after="0" w:line="68" w:lineRule="exact"/>
        <w:rPr>
          <w:sz w:val="20"/>
          <w:szCs w:val="20"/>
          <w:color w:val="auto"/>
        </w:rPr>
      </w:pPr>
    </w:p>
    <w:p>
      <w:pPr>
        <w:ind w:right="120" w:firstLine="511"/>
        <w:spacing w:after="0" w:line="258" w:lineRule="auto"/>
        <w:rPr>
          <w:sz w:val="20"/>
          <w:szCs w:val="20"/>
          <w:color w:val="auto"/>
        </w:rPr>
      </w:pPr>
      <w:r>
        <w:rPr>
          <w:rFonts w:ascii="Times New Roman" w:cs="Times New Roman" w:eastAsia="Times New Roman" w:hAnsi="Times New Roman"/>
          <w:sz w:val="18"/>
          <w:szCs w:val="18"/>
          <w:color w:val="auto"/>
        </w:rPr>
        <w:t>We paid approximately $2.2 million of loan origination and financing costs related to the HPS Credit Agreement which are being accounted for as deferred financing costs on our consolidated balance sheets and are amortized over the term of the HPS Credit Agreement. Total amortization expense was $0.6 million and less than $0.1 million, respectively, for the years ended December 31, 2025 and 2024 and is included in interest expense in our consolidated statements of operations. As of December 31, 2025 and 2024, the balance of unamortized deferred financing costs related to the HPS Credit Agreement was $1.6 million and $2.1 million, respectively.</w:t>
      </w:r>
    </w:p>
    <w:p>
      <w:pPr>
        <w:spacing w:after="0" w:line="75"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8"/>
          <w:szCs w:val="18"/>
          <w:color w:val="auto"/>
        </w:rPr>
        <w:t xml:space="preserve">On December 3, 2024, Gogo, GIH, and the Guarantors entered into a guarantee agreement (the “HPS Guarantee Agreement”) in favor of HPS Investment Partners, LLC, as collateral agent (the “HPS Collateral Agent”), whereby GIH and the Guarantors guarantee the obligations under the HPS Term Loan Facility and certain other secured obligations as set forth in the HPS Guarantee Agreement, and GIH and the Guarantors entered into a collateral agreement (the “HPS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HPS Term Loan Facility and certain other secured obligations as set forth in the HPS Collateral Agreement. The liens granted under the HPS Term Loan Facility are subject to an intercreditor agreement and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granted under the 2021 Term Loan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Activities</w:t>
      </w:r>
    </w:p>
    <w:p>
      <w:pPr>
        <w:spacing w:after="0" w:line="121" w:lineRule="exact"/>
        <w:rPr>
          <w:sz w:val="20"/>
          <w:szCs w:val="20"/>
          <w:color w:val="auto"/>
        </w:rPr>
      </w:pPr>
    </w:p>
    <w:p>
      <w:pPr>
        <w:jc w:val="both"/>
        <w:ind w:right="440" w:firstLine="511"/>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68" w:lineRule="exact"/>
        <w:rPr>
          <w:sz w:val="20"/>
          <w:szCs w:val="20"/>
          <w:color w:val="auto"/>
        </w:rPr>
      </w:pPr>
    </w:p>
    <w:p>
      <w:pPr>
        <w:ind w:right="60" w:firstLine="511"/>
        <w:spacing w:after="0" w:line="258"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 Committee of 0.26% increases beyond the applicable strike rate. The notional amounts of the interest rate caps periodically decrease over the life of the caps.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19"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10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8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Strike Rate</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8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7/31/2021</w:t>
            </w: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7/30/2023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7/30/2024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525,000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7/31/2024</w:t>
            </w:r>
          </w:p>
        </w:tc>
        <w:tc>
          <w:tcPr>
            <w:tcW w:w="18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7/30/2025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350,000</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7/30/2026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c>
          <w:tcPr>
            <w:tcW w:w="18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7/30/2027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200,000</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60" w:firstLine="511"/>
        <w:spacing w:after="0" w:line="282" w:lineRule="auto"/>
        <w:rPr>
          <w:sz w:val="20"/>
          <w:szCs w:val="20"/>
          <w:color w:val="auto"/>
        </w:rPr>
      </w:pPr>
      <w:r>
        <w:rPr>
          <w:rFonts w:ascii="Times New Roman" w:cs="Times New Roman" w:eastAsia="Times New Roman" w:hAnsi="Times New Roman"/>
          <w:sz w:val="18"/>
          <w:szCs w:val="18"/>
          <w:color w:val="auto"/>
        </w:rPr>
        <w:t>We record the effective portion of changes in the fair value of our cash flow hedges to other comprehensive income (loss), net of tax, and subsequently reclassify these amounts into earnings in the period during which the hedged transaction is recognized.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amounts included in accumulated other comprehensive income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During the year ended December 31, 2023, fully offsetting unrealized gains and losses were incurred from our cash flow hedges that were considered ineffective as a result of a voluntary partial de-designation of the hedge relationship related to a prepayment of our existing variable-rate debt discussed in Note 9, “Long-Term Debt and Other Liabilities.” No gains or losses of our cash flow hedges were considered to be ineffective and reclassified from other comprehensive income (loss) to earnings for the years ended December 31, 2025 and 2024. We estimate that approximately $1.4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consolidated statements of cash flows as investing activities.</w:t>
      </w:r>
    </w:p>
    <w:p>
      <w:pPr>
        <w:spacing w:after="0" w:line="80" w:lineRule="exact"/>
        <w:rPr>
          <w:sz w:val="20"/>
          <w:szCs w:val="20"/>
          <w:color w:val="auto"/>
        </w:rPr>
      </w:pPr>
    </w:p>
    <w:p>
      <w:pPr>
        <w:jc w:val="both"/>
        <w:ind w:right="180" w:firstLine="511"/>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recorded a decrease in fair value on the interest rate caps of $8.3 million, net of tax of $2.1 million. For the year ended December 31, 2024, we recorded a decrease in fair value on the interest rate caps of $12.0 million, net of tax of $3.0 million. Increases and decreases in fair value on interest rate caps above exclude amortization of the purchase price paid for the interest rate caps.</w:t>
      </w:r>
    </w:p>
    <w:p>
      <w:pPr>
        <w:spacing w:after="0" w:line="68" w:lineRule="exact"/>
        <w:rPr>
          <w:sz w:val="20"/>
          <w:szCs w:val="20"/>
          <w:color w:val="auto"/>
        </w:rPr>
      </w:pPr>
    </w:p>
    <w:p>
      <w:pPr>
        <w:ind w:right="160" w:firstLine="511"/>
        <w:spacing w:after="0" w:line="261"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2" w:lineRule="exact"/>
        <w:rPr>
          <w:sz w:val="20"/>
          <w:szCs w:val="20"/>
          <w:color w:val="auto"/>
        </w:rPr>
      </w:pPr>
    </w:p>
    <w:p>
      <w:pPr>
        <w:ind w:right="280" w:firstLine="511"/>
        <w:spacing w:after="0" w:line="262"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consolidated balance sheets for the periods presented (in thousands):</w:t>
      </w: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right"/>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4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0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shd w:val="clear" w:color="auto" w:fill="CFF0FC"/>
          </w:tcPr>
          <w:p>
            <w:pPr>
              <w:spacing w:after="0"/>
              <w:rPr>
                <w:sz w:val="18"/>
                <w:szCs w:val="18"/>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tcPr>
          <w:p>
            <w:pPr>
              <w:spacing w:after="0"/>
              <w:rPr>
                <w:sz w:val="20"/>
                <w:szCs w:val="20"/>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140" w:firstLine="511"/>
        <w:spacing w:after="0" w:line="261"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 Costs</w:t>
      </w:r>
    </w:p>
    <w:p>
      <w:pPr>
        <w:spacing w:after="0" w:line="121" w:lineRule="exact"/>
        <w:rPr>
          <w:sz w:val="20"/>
          <w:szCs w:val="20"/>
          <w:color w:val="auto"/>
        </w:rPr>
      </w:pPr>
    </w:p>
    <w:p>
      <w:pPr>
        <w:ind w:firstLine="511"/>
        <w:spacing w:after="0" w:line="282"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years ended December 31, 2025, 2024 and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2,508</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2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the purchase price of interest rate caps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2,639</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rate cap benefit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(9,199)</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(20,923)</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68,217</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38,431</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22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2,787</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1,398</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costs</w:t>
            </w: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73,863</w:t>
            </w: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42,616</w:t>
            </w:r>
          </w:p>
        </w:tc>
        <w:tc>
          <w:tcPr>
            <w:tcW w:w="2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-591185</wp:posOffset>
            </wp:positionV>
            <wp:extent cx="5969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-591185</wp:posOffset>
            </wp:positionV>
            <wp:extent cx="59690" cy="146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-591185</wp:posOffset>
            </wp:positionV>
            <wp:extent cx="60325"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-25400</wp:posOffset>
            </wp:positionV>
            <wp:extent cx="596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4752975</wp:posOffset>
            </wp:positionH>
            <wp:positionV relativeFrom="paragraph">
              <wp:posOffset>-8255</wp:posOffset>
            </wp:positionV>
            <wp:extent cx="596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-25400</wp:posOffset>
            </wp:positionV>
            <wp:extent cx="596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-8255</wp:posOffset>
            </wp:positionV>
            <wp:extent cx="596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-25400</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6381750</wp:posOffset>
            </wp:positionH>
            <wp:positionV relativeFrom="paragraph">
              <wp:posOffset>-8255</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Financial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“Acquisition of Satcom Direct,” for fair value information relating to the Satcom Direct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“Derivative Instruments and Hedging Activities,” for fair value information relating to our interest rate caps.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87" w:name="page88"/>
    <w:bookmarkEnd w:id="87"/>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i w:val="1"/>
          <w:iCs w:val="1"/>
          <w:color w:val="auto"/>
        </w:rPr>
        <w:t>Investment in Convertible Note:</w:t>
      </w:r>
    </w:p>
    <w:p>
      <w:pPr>
        <w:spacing w:after="0" w:line="119" w:lineRule="exact"/>
        <w:rPr>
          <w:sz w:val="20"/>
          <w:szCs w:val="20"/>
          <w:color w:val="auto"/>
        </w:rPr>
      </w:pPr>
    </w:p>
    <w:p>
      <w:pPr>
        <w:ind w:left="7" w:right="140" w:firstLine="511"/>
        <w:spacing w:after="0" w:line="258" w:lineRule="auto"/>
        <w:rPr>
          <w:sz w:val="20"/>
          <w:szCs w:val="20"/>
          <w:color w:val="auto"/>
        </w:rPr>
      </w:pPr>
      <w:r>
        <w:rPr>
          <w:rFonts w:ascii="Times New Roman" w:cs="Times New Roman" w:eastAsia="Times New Roman" w:hAnsi="Times New Roman"/>
          <w:sz w:val="18"/>
          <w:szCs w:val="18"/>
          <w:color w:val="auto"/>
        </w:rPr>
        <w:t>On February 26, 2024, Gogo invested $5 million in a convertible note offering (“Investment in Convertible Note”). The Investment in Convertible Note accrues interest at 5% per annum, payable upon maturity of the note or upon conversion, and matures two years after the date of issuance. We have elected to measure our Investment in Convertible Note using the fair value option and record changes in fair value, including accrued interest, in Other (income) expense, net on the Consolidated Statements of Operations. The Company elected the fair value option for the Investment in Convertible Note to eliminate complexities of applying certain accounting models.</w:t>
      </w:r>
    </w:p>
    <w:p>
      <w:pPr>
        <w:spacing w:after="0" w:line="73"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 xml:space="preserve">The reconciliation of beginning and ending balances of the Investment in Convertible Note as of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 w:lineRule="exact"/>
        <w:rPr>
          <w:sz w:val="20"/>
          <w:szCs w:val="20"/>
          <w:color w:val="auto"/>
        </w:rPr>
      </w:pPr>
    </w:p>
    <w:tbl>
      <w:tblPr>
        <w:tblLayout w:type="fixed"/>
        <w:tblInd w:w="2427"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Investment in Convertible</w:t>
            </w: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Note</w:t>
            </w: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(793)</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80" w:type="dxa"/>
            <w:vAlign w:val="bottom"/>
            <w:tcBorders>
              <w:top w:val="single" w:sz="8" w:color="CFF0FC"/>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(3,552)</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Borders>
              <w:top w:val="single" w:sz="8" w:color="CFF0FC"/>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-479425</wp:posOffset>
            </wp:positionV>
            <wp:extent cx="4318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43180" cy="154305"/>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-179070</wp:posOffset>
            </wp:positionV>
            <wp:extent cx="43180" cy="179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1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ind w:left="7" w:firstLine="511"/>
        <w:spacing w:after="0" w:line="255" w:lineRule="auto"/>
        <w:rPr>
          <w:sz w:val="20"/>
          <w:szCs w:val="20"/>
          <w:color w:val="auto"/>
        </w:rPr>
      </w:pPr>
      <w:r>
        <w:rPr>
          <w:rFonts w:ascii="Times New Roman" w:cs="Times New Roman" w:eastAsia="Times New Roman" w:hAnsi="Times New Roman"/>
          <w:sz w:val="18"/>
          <w:szCs w:val="18"/>
          <w:color w:val="auto"/>
        </w:rPr>
        <w:t>As of December 31, 2025 and 2024, our only financial assets and liabilities disclosed but not measured at fair value are the 2021 Term Loan Facility and the HPS Term Loan Facility, which are reflected on the consolidated balance sheets at cost. The fair value measurements are classified as Level 2 within the fair value hierarchy since they are based on quoted market prices of our instruments in markets that are not active. We estimated the fair values of the 2021 Term Loan Facility and the HPS Term Loan Facility by calculating the upfront cash payments a market participant would require to assume these obligations. The upfront cash payments used in the calculations of fair values on our consolidated balance sheets, excluding any issuance costs, are the amounts that a market participant would be willing to lend at such date to an entity with a credit rating similar to ours and that would allow such an entity to achieve sufficient cash inflows to cover the scheduled cash outflows under the 2021 Term Loan Facility and HPS Term Loan Facility.</w:t>
      </w:r>
    </w:p>
    <w:p>
      <w:pPr>
        <w:spacing w:after="0" w:line="79"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December 31, 2025 and 2024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45" w:lineRule="exact"/>
        <w:rPr>
          <w:sz w:val="20"/>
          <w:szCs w:val="20"/>
          <w:color w:val="auto"/>
        </w:rPr>
      </w:pPr>
    </w:p>
    <w:tbl>
      <w:tblPr>
        <w:tblLayout w:type="fixed"/>
        <w:tblInd w:w="627"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i w:val="1"/>
                <w:iCs w:val="1"/>
                <w:color w:val="auto"/>
                <w:vertAlign w:val="superscript"/>
              </w:rPr>
              <w:t>(1)</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37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i w:val="1"/>
                <w:iCs w:val="1"/>
                <w:color w:val="auto"/>
                <w:vertAlign w:val="superscript"/>
              </w:rPr>
              <w:t>(1)</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ind w:right="359"/>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2021 Term Loan Facility</w:t>
            </w: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i w:val="1"/>
                <w:iCs w:val="1"/>
                <w:color w:val="auto"/>
              </w:rPr>
              <w:t>(2)</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vMerge w:val="restart"/>
          </w:tcPr>
          <w:p>
            <w:pPr>
              <w:jc w:val="right"/>
              <w:ind w:right="60"/>
              <w:spacing w:after="0"/>
              <w:rPr>
                <w:sz w:val="20"/>
                <w:szCs w:val="20"/>
                <w:color w:val="auto"/>
              </w:rPr>
            </w:pPr>
            <w:r>
              <w:rPr>
                <w:rFonts w:ascii="Times New Roman" w:cs="Times New Roman" w:eastAsia="Times New Roman" w:hAnsi="Times New Roman"/>
                <w:sz w:val="12"/>
                <w:szCs w:val="12"/>
                <w:i w:val="1"/>
                <w:iCs w:val="1"/>
                <w:color w:val="auto"/>
              </w:rPr>
              <w:t>(2)</w:t>
            </w:r>
          </w:p>
        </w:tc>
        <w:tc>
          <w:tcPr>
            <w:tcW w:w="0" w:type="dxa"/>
            <w:vAlign w:val="bottom"/>
          </w:tcPr>
          <w:p>
            <w:pPr>
              <w:spacing w:after="0"/>
              <w:rPr>
                <w:sz w:val="1"/>
                <w:szCs w:val="1"/>
                <w:color w:val="auto"/>
              </w:rPr>
            </w:pPr>
          </w:p>
        </w:tc>
      </w:tr>
      <w:tr>
        <w:trPr>
          <w:trHeight w:val="223"/>
        </w:trPr>
        <w:tc>
          <w:tcPr>
            <w:tcW w:w="22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600,225</w:t>
            </w:r>
          </w:p>
        </w:tc>
        <w:tc>
          <w:tcPr>
            <w:tcW w:w="54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572,000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599,776</w:t>
            </w:r>
          </w:p>
        </w:tc>
        <w:tc>
          <w:tcPr>
            <w:tcW w:w="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HPS Term Loan Facility</w:t>
            </w:r>
          </w:p>
        </w:tc>
        <w:tc>
          <w:tcPr>
            <w:tcW w:w="6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243,273</w:t>
            </w:r>
          </w:p>
        </w:tc>
        <w:tc>
          <w:tcPr>
            <w:tcW w:w="54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i w:val="1"/>
                <w:iCs w:val="1"/>
                <w:color w:val="auto"/>
              </w:rPr>
              <w:t>(3)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244,469</w:t>
            </w:r>
          </w:p>
        </w:tc>
        <w:tc>
          <w:tcPr>
            <w:tcW w:w="3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i w:val="1"/>
                <w:iCs w:val="1"/>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7" w:hanging="371"/>
        <w:spacing w:after="0"/>
        <w:tabs>
          <w:tab w:leader="none" w:pos="747" w:val="left"/>
        </w:tabs>
        <w:numPr>
          <w:ilvl w:val="1"/>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27" w:lineRule="exact"/>
        <w:rPr>
          <w:rFonts w:ascii="Times New Roman" w:cs="Times New Roman" w:eastAsia="Times New Roman" w:hAnsi="Times New Roman"/>
          <w:sz w:val="18"/>
          <w:szCs w:val="18"/>
          <w:i w:val="1"/>
          <w:iCs w:val="1"/>
          <w:color w:val="auto"/>
        </w:rPr>
      </w:pPr>
    </w:p>
    <w:p>
      <w:pPr>
        <w:ind w:left="747" w:right="720" w:hanging="371"/>
        <w:spacing w:after="0" w:line="250" w:lineRule="auto"/>
        <w:tabs>
          <w:tab w:leader="none" w:pos="747" w:val="left"/>
        </w:tabs>
        <w:numPr>
          <w:ilvl w:val="1"/>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2021 Term Loan Facility reflects the unaccreted debt discount of $1.2 million and $1.7 million, respectively, as of December 31, 2025 and 2024. See Note 9, “Long-Term Debt and Other Liabilities,” for further information.</w:t>
      </w:r>
    </w:p>
    <w:p>
      <w:pPr>
        <w:ind w:left="747" w:right="740" w:hanging="371"/>
        <w:spacing w:after="0" w:line="260" w:lineRule="auto"/>
        <w:tabs>
          <w:tab w:leader="none" w:pos="747" w:val="left"/>
        </w:tabs>
        <w:numPr>
          <w:ilvl w:val="1"/>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HPS Term Loan Facility reflects the unaccreted debt discount of $3.6 million and $4.9 million, respectively, as of December 31, 2025 and 2024. See Note 9, “Long-Term Debt and Other Liabilities,” for further information.</w:t>
      </w:r>
    </w:p>
    <w:p>
      <w:pPr>
        <w:spacing w:after="0" w:line="177" w:lineRule="exact"/>
        <w:rPr>
          <w:rFonts w:ascii="Times New Roman" w:cs="Times New Roman" w:eastAsia="Times New Roman" w:hAnsi="Times New Roman"/>
          <w:sz w:val="18"/>
          <w:szCs w:val="18"/>
          <w:i w:val="1"/>
          <w:iCs w:val="1"/>
          <w:color w:val="auto"/>
        </w:rPr>
      </w:pPr>
    </w:p>
    <w:p>
      <w:pPr>
        <w:ind w:left="267" w:hanging="267"/>
        <w:spacing w:after="0"/>
        <w:tabs>
          <w:tab w:leader="none" w:pos="267"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w:t>
      </w:r>
    </w:p>
    <w:p>
      <w:pPr>
        <w:spacing w:after="0" w:line="121" w:lineRule="exact"/>
        <w:rPr>
          <w:sz w:val="20"/>
          <w:szCs w:val="20"/>
          <w:color w:val="auto"/>
        </w:rPr>
      </w:pPr>
    </w:p>
    <w:p>
      <w:pPr>
        <w:ind w:left="7" w:right="600" w:firstLine="511"/>
        <w:spacing w:after="0" w:line="312" w:lineRule="auto"/>
        <w:rPr>
          <w:sz w:val="20"/>
          <w:szCs w:val="20"/>
          <w:color w:val="auto"/>
        </w:rPr>
      </w:pPr>
      <w:r>
        <w:rPr>
          <w:rFonts w:ascii="Times New Roman" w:cs="Times New Roman" w:eastAsia="Times New Roman" w:hAnsi="Times New Roman"/>
          <w:sz w:val="17"/>
          <w:szCs w:val="17"/>
          <w:color w:val="auto"/>
        </w:rPr>
        <w:t>The accounting policies of the operating segments are the same as those described in Note 1, “Summary of Significant Accounting Policies.” Intercompany transactions between segments are excluded as they are not included in management’s performance review of the segments.</w:t>
      </w:r>
    </w:p>
    <w:p>
      <w:pPr>
        <w:spacing w:after="0" w:line="32" w:lineRule="exact"/>
        <w:rPr>
          <w:sz w:val="20"/>
          <w:szCs w:val="20"/>
          <w:color w:val="auto"/>
        </w:rPr>
      </w:pPr>
    </w:p>
    <w:p>
      <w:pPr>
        <w:ind w:left="7" w:right="140" w:firstLine="511"/>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(“CEO”). The CODM makes resource and operating decisions by evaluating performance and business results of the consolidated company. As a result, the Company has a single reportable segment, with net income (loss) utilized as the performance measure.</w:t>
      </w:r>
    </w:p>
    <w:p>
      <w:pPr>
        <w:spacing w:after="0" w:line="174"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 xml:space="preserve">Information regarding consolidated revenues by geographic area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760" w:right="318"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79" w:lineRule="exact"/>
        <w:rPr>
          <w:sz w:val="20"/>
          <w:szCs w:val="20"/>
          <w:color w:val="auto"/>
        </w:rPr>
      </w:pPr>
    </w:p>
    <w:tbl>
      <w:tblPr>
        <w:tblLayout w:type="fixed"/>
        <w:tblInd w:w="196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1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r>
      <w:tr>
        <w:trPr>
          <w:trHeight w:val="223"/>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671,253</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397,375</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372,246</w:t>
            </w:r>
          </w:p>
        </w:tc>
        <w:tc>
          <w:tcPr>
            <w:tcW w:w="80" w:type="dxa"/>
            <w:vAlign w:val="bottom"/>
            <w:shd w:val="clear" w:color="auto" w:fill="CFF0FC"/>
          </w:tcPr>
          <w:p>
            <w:pPr>
              <w:spacing w:after="0"/>
              <w:rPr>
                <w:sz w:val="19"/>
                <w:szCs w:val="19"/>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5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239,238</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47,334</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25,331</w:t>
            </w:r>
          </w:p>
        </w:tc>
        <w:tc>
          <w:tcPr>
            <w:tcW w:w="80" w:type="dxa"/>
            <w:vAlign w:val="bottom"/>
          </w:tcPr>
          <w:p>
            <w:pPr>
              <w:spacing w:after="0"/>
              <w:rPr>
                <w:sz w:val="19"/>
                <w:szCs w:val="19"/>
                <w:color w:val="auto"/>
              </w:rPr>
            </w:pPr>
          </w:p>
        </w:tc>
      </w:tr>
      <w:tr>
        <w:trPr>
          <w:trHeight w:val="263"/>
        </w:trPr>
        <w:tc>
          <w:tcPr>
            <w:tcW w:w="1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910,491</w:t>
            </w:r>
          </w:p>
        </w:tc>
        <w:tc>
          <w:tcPr>
            <w:tcW w:w="3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444,709</w:t>
            </w:r>
          </w:p>
        </w:tc>
        <w:tc>
          <w:tcPr>
            <w:tcW w:w="3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397,577</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-25400</wp:posOffset>
            </wp:positionV>
            <wp:extent cx="431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-7620</wp:posOffset>
            </wp:positionV>
            <wp:extent cx="431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-25400</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-7620</wp:posOffset>
            </wp:positionV>
            <wp:extent cx="431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-25400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-7620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120" w:firstLine="511"/>
        <w:spacing w:after="0" w:line="282" w:lineRule="auto"/>
        <w:rPr>
          <w:sz w:val="20"/>
          <w:szCs w:val="20"/>
          <w:color w:val="auto"/>
        </w:rPr>
      </w:pPr>
      <w:r>
        <w:rPr>
          <w:rFonts w:ascii="Times New Roman" w:cs="Times New Roman" w:eastAsia="Times New Roman" w:hAnsi="Times New Roman"/>
          <w:sz w:val="18"/>
          <w:szCs w:val="18"/>
          <w:color w:val="auto"/>
        </w:rPr>
        <w:t xml:space="preserve">Information regarding consolidated long-lived assets by geographic area, which consist of property and equipment, net and operating lease right-of-use assets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8" w:lineRule="exact"/>
        <w:rPr>
          <w:sz w:val="20"/>
          <w:szCs w:val="20"/>
          <w:color w:val="auto"/>
        </w:rPr>
      </w:pPr>
    </w:p>
    <w:tbl>
      <w:tblPr>
        <w:tblLayout w:type="fixed"/>
        <w:tblInd w:w="20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155,714</w:t>
            </w:r>
          </w:p>
        </w:tc>
        <w:tc>
          <w:tcPr>
            <w:tcW w:w="24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175,264</w:t>
            </w:r>
          </w:p>
        </w:tc>
        <w:tc>
          <w:tcPr>
            <w:tcW w:w="6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4975860</wp:posOffset>
            </wp:positionH>
            <wp:positionV relativeFrom="paragraph">
              <wp:posOffset>-179070</wp:posOffset>
            </wp:positionV>
            <wp:extent cx="4318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-179070</wp:posOffset>
            </wp:positionV>
            <wp:extent cx="51435"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70" w:lineRule="exact"/>
        <w:rPr>
          <w:sz w:val="20"/>
          <w:szCs w:val="20"/>
          <w:color w:val="auto"/>
        </w:rPr>
      </w:pPr>
    </w:p>
    <w:p>
      <w:pPr>
        <w:ind w:right="180" w:firstLine="511"/>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total revenue for the years ended December 31, 2025, 2024 and 2023 and no customer accounted for more than 10% of accounts receivable as of December 31, 2025 or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 and Retirement Plans</w:t>
      </w:r>
    </w:p>
    <w:p>
      <w:pPr>
        <w:spacing w:after="0" w:line="121"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As of December 31, 2025, we maintained the 2024 Omnibus Equity Incentive Plan (the “2024 Plan”), which replaced the Second Amended and Restated Gogo Inc. 2016 Omnibus Incentive Plan (the “2016 Plan”). The 2024 Plan provides for the grant of both equity and cash awards, including non-qualified stock options, incentive stock options, stock appreciation rights, performance awards (shares and units), restricted stock, RSUs, deferred share units (“DSUs”) and other stock-based awards and dividend equivalents to eligible employees, directors and consultants, as determined by the Compensation Committee of our Board of Directors (the “Compensation Committee”). Concurrent with the effectiveness of the 2024 Plan on June 4, 2024, no further grants are being made under the 2016 Plan. The 2016 Plan remains in effect for all awards outstanding thereunder on or after June 4, 2024. The majority of our equity grants are awarded on an annual basis.</w:t>
      </w:r>
    </w:p>
    <w:p>
      <w:pPr>
        <w:spacing w:after="0" w:line="81" w:lineRule="exact"/>
        <w:rPr>
          <w:sz w:val="20"/>
          <w:szCs w:val="20"/>
          <w:color w:val="auto"/>
        </w:rPr>
      </w:pPr>
    </w:p>
    <w:p>
      <w:pPr>
        <w:ind w:right="40" w:firstLine="511"/>
        <w:spacing w:after="0" w:line="258" w:lineRule="auto"/>
        <w:rPr>
          <w:sz w:val="20"/>
          <w:szCs w:val="20"/>
          <w:color w:val="auto"/>
        </w:rPr>
      </w:pPr>
      <w:r>
        <w:rPr>
          <w:rFonts w:ascii="Times New Roman" w:cs="Times New Roman" w:eastAsia="Times New Roman" w:hAnsi="Times New Roman"/>
          <w:sz w:val="18"/>
          <w:szCs w:val="18"/>
          <w:color w:val="auto"/>
        </w:rPr>
        <w:t>Additionally, in connection with the Company’s acquisition of Satcom Direct on December 3, 2024, 2,275,000 shares were granted, consisting of a combination of RSUs and performance-based restricted stock units (“PSUs”) (together, the “Inducement Awards”) by the Compensation Committee to certain executives of the Company. The RSUs will vest in equal annual installments over the five-year period following the grant date. The PSUs are subject to performance-based vesting and will vest when the performance-based vesting conditions are met. Though not awarded pursuant to the 2024 Plan, the Inducement Awards have been issued subject to the terms and conditions of the 2024 Plan.</w:t>
      </w:r>
    </w:p>
    <w:p>
      <w:pPr>
        <w:spacing w:after="0" w:line="75" w:lineRule="exact"/>
        <w:rPr>
          <w:sz w:val="20"/>
          <w:szCs w:val="20"/>
          <w:color w:val="auto"/>
        </w:rPr>
      </w:pPr>
    </w:p>
    <w:p>
      <w:pPr>
        <w:ind w:right="80" w:firstLine="511"/>
        <w:spacing w:after="0" w:line="261" w:lineRule="auto"/>
        <w:rPr>
          <w:sz w:val="20"/>
          <w:szCs w:val="20"/>
          <w:color w:val="auto"/>
        </w:rPr>
      </w:pPr>
      <w:r>
        <w:rPr>
          <w:rFonts w:ascii="Times New Roman" w:cs="Times New Roman" w:eastAsia="Times New Roman" w:hAnsi="Times New Roman"/>
          <w:sz w:val="18"/>
          <w:szCs w:val="18"/>
          <w:color w:val="auto"/>
        </w:rPr>
        <w:t>Upon effectiveness of the 2024 Plan on June 4, 2024, 6,940,644 shares of common stock were reserved for issuance. As of December 31, 2025, 3,429,888 shares remained available for grant under the 2024 Plan. The contractual life of granted options is 10 years. Except as otherwise approved by the Compensation Committee, all options that are unvested as of the date on which a recipient’s employment terminates, as well as vested options that are not exercised within a prescribed period following termination, are forfeited and become available for future grants.</w:t>
      </w:r>
    </w:p>
    <w:p>
      <w:pPr>
        <w:spacing w:after="0" w:line="72" w:lineRule="exact"/>
        <w:rPr>
          <w:sz w:val="20"/>
          <w:szCs w:val="20"/>
          <w:color w:val="auto"/>
        </w:rPr>
      </w:pPr>
    </w:p>
    <w:p>
      <w:pPr>
        <w:ind w:right="420" w:firstLine="511"/>
        <w:spacing w:after="0" w:line="261" w:lineRule="auto"/>
        <w:rPr>
          <w:sz w:val="20"/>
          <w:szCs w:val="20"/>
          <w:color w:val="auto"/>
        </w:rPr>
      </w:pPr>
      <w:r>
        <w:rPr>
          <w:rFonts w:ascii="Times New Roman" w:cs="Times New Roman" w:eastAsia="Times New Roman" w:hAnsi="Times New Roman"/>
          <w:sz w:val="18"/>
          <w:szCs w:val="18"/>
          <w:color w:val="auto"/>
        </w:rPr>
        <w:t>We grant RSUs, which generally vest in equal annual increments over a four-year period. Vested RSUs will be settled, at the discretion of the Compensation Committee, in shares of our common stock or in cash equal to the value of the applicable number of shares of our common stock on the vesting date. We also grant DSUs to directors, some of which vest on the grant date and others on the first anniversary of the grant date. DSUs will be settled in shares of our common stock after the director ceases to serve as a director. We intend to settle RSU and DSU awards in stock.</w:t>
      </w:r>
    </w:p>
    <w:p>
      <w:pPr>
        <w:spacing w:after="0" w:line="72" w:lineRule="exact"/>
        <w:rPr>
          <w:sz w:val="20"/>
          <w:szCs w:val="20"/>
          <w:color w:val="auto"/>
        </w:rPr>
      </w:pPr>
    </w:p>
    <w:p>
      <w:pPr>
        <w:ind w:right="40" w:firstLine="511"/>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included in the consolidated statements of operations, for the years December 31, 2025, 2024 and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4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3,369</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15,083</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80" w:type="dxa"/>
            <w:vAlign w:val="bottom"/>
          </w:tcPr>
          <w:p>
            <w:pPr>
              <w:spacing w:after="0"/>
              <w:rPr>
                <w:sz w:val="18"/>
                <w:szCs w:val="18"/>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24,072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-1079500</wp:posOffset>
            </wp:positionV>
            <wp:extent cx="51435"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5318760</wp:posOffset>
            </wp:positionH>
            <wp:positionV relativeFrom="paragraph">
              <wp:posOffset>-1079500</wp:posOffset>
            </wp:positionV>
            <wp:extent cx="4318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-1079500</wp:posOffset>
            </wp:positionV>
            <wp:extent cx="51435"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2025 is as follows:</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98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88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98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 January 1, 2025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3,468,716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4.22</w:t>
            </w:r>
          </w:p>
        </w:tc>
        <w:tc>
          <w:tcPr>
            <w:tcW w:w="1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15,134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(1,523,441)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3.23</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(82,171)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17.93</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Options outstanding – December 31,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1,863,104</w:t>
            </w:r>
          </w:p>
        </w:tc>
        <w:tc>
          <w:tcPr>
            <w:tcW w:w="1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ind w:right="78"/>
              <w:spacing w:after="0"/>
              <w:rPr>
                <w:sz w:val="20"/>
                <w:szCs w:val="20"/>
                <w:color w:val="auto"/>
              </w:rPr>
            </w:pPr>
            <w:r>
              <w:rPr>
                <w:rFonts w:ascii="Times New Roman" w:cs="Times New Roman" w:eastAsia="Times New Roman" w:hAnsi="Times New Roman"/>
                <w:sz w:val="18"/>
                <w:szCs w:val="18"/>
                <w:color w:val="auto"/>
              </w:rPr>
              <w:t>4.42</w:t>
            </w:r>
          </w:p>
        </w:tc>
        <w:tc>
          <w:tcPr>
            <w:tcW w:w="1160" w:type="dxa"/>
            <w:vAlign w:val="bottom"/>
            <w:tcBorders>
              <w:top w:val="single" w:sz="8" w:color="CFF0FC"/>
            </w:tcBorders>
          </w:tcPr>
          <w:p>
            <w:pPr>
              <w:jc w:val="right"/>
              <w:ind w:right="41"/>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tcPr>
          <w:p>
            <w:pPr>
              <w:jc w:val="right"/>
              <w:ind w:right="19"/>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 December 31, 2025</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1,863,104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4.42</w:t>
            </w:r>
          </w:p>
        </w:tc>
        <w:tc>
          <w:tcPr>
            <w:tcW w:w="116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-351155</wp:posOffset>
            </wp:positionV>
            <wp:extent cx="60325" cy="1803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4161790</wp:posOffset>
            </wp:positionH>
            <wp:positionV relativeFrom="paragraph">
              <wp:posOffset>-25400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4161790</wp:posOffset>
            </wp:positionH>
            <wp:positionV relativeFrom="paragraph">
              <wp:posOffset>-8255</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total grant date fair value of stock options vested in 2024 and 2023 was approximately $0.1 million and $0.3 million, respectively.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activities for our unvested RSUs, PSUs and DSUs for the year ended December 31, 2025:</w:t>
      </w:r>
    </w:p>
    <w:p>
      <w:pPr>
        <w:spacing w:after="0" w:line="31"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 January 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6,119,261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3,125,746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(2,533,637)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Forfeited/canceled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(652,344)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 December 31, 2025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6,059,026</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-25400</wp:posOffset>
            </wp:positionV>
            <wp:extent cx="51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-8255</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160" w:firstLine="511"/>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approximately $46 million of unrecognized compensation cost related to unvested employee RSUs and PSUs. This amount is expected to be recognized over a weighted-average period of approximately 2.8 years. The total grant date fair value of RSUs and DSUs vested in 2025 was approximately $27 million.</w:t>
      </w:r>
    </w:p>
    <w:p>
      <w:pPr>
        <w:spacing w:after="0" w:line="68" w:lineRule="exact"/>
        <w:rPr>
          <w:sz w:val="20"/>
          <w:szCs w:val="20"/>
          <w:color w:val="auto"/>
        </w:rPr>
      </w:pPr>
    </w:p>
    <w:p>
      <w:pPr>
        <w:ind w:right="220" w:firstLine="511"/>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Satcom Direct discussed in Note 2, “Acquisition of Satcom Direct,” the Company issued PSUs to certain executives that vest upon the achievement of pre-established metrics tied to the price of the Company’s common stock. The PSUs have an indefinite contractual life and are expensed over the estimated expected life of the award. We estimated the fair value of PSUs using a Monte Carlo simulation. The significant assumptions used in the Monte Carlo simulation were as follows:</w:t>
      </w:r>
    </w:p>
    <w:p>
      <w:pPr>
        <w:spacing w:after="0" w:line="93"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Years</w:t>
            </w:r>
          </w:p>
        </w:tc>
      </w:tr>
      <w:tr>
        <w:trPr>
          <w:trHeight w:val="148"/>
        </w:trPr>
        <w:tc>
          <w:tcPr>
            <w:tcW w:w="5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r>
      <w:tr>
        <w:trPr>
          <w:trHeight w:val="173"/>
        </w:trPr>
        <w:tc>
          <w:tcPr>
            <w:tcW w:w="5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5"/>
                <w:szCs w:val="15"/>
                <w:color w:val="auto"/>
              </w:rPr>
            </w:pPr>
          </w:p>
        </w:tc>
      </w:tr>
      <w:tr>
        <w:trPr>
          <w:trHeight w:val="155"/>
        </w:trPr>
        <w:tc>
          <w:tcPr>
            <w:tcW w:w="5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1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Approximate risk-free interest rate</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Average expected life (years)</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of PSUs granted</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shd w:val="clear" w:color="auto" w:fill="CFF0FC"/>
          </w:tcPr>
          <w:p>
            <w:pPr>
              <w:spacing w:after="0"/>
              <w:rPr>
                <w:sz w:val="19"/>
                <w:szCs w:val="19"/>
                <w:color w:val="auto"/>
              </w:rPr>
            </w:pPr>
          </w:p>
        </w:tc>
      </w:tr>
    </w:tbl>
    <w:p>
      <w:pPr>
        <w:spacing w:after="0" w:line="90"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8"/>
          <w:szCs w:val="18"/>
          <w:color w:val="auto"/>
        </w:rPr>
        <w:t>The risk-free interest rate assumption was based on the U.S. Treasury yield curve for the term that mirrored the Monte Carlo simulation term. The expected life of the PSUs represents the derived service period that is inferred from the median of the distribution of share price paths on which the PSU conditions are satisfied. The dividend yield was based on expected dividends at the time of grant. Volatility was calculated using the historical volatility of the Company’s common stock.</w:t>
      </w:r>
    </w:p>
    <w:p>
      <w:pPr>
        <w:spacing w:after="0" w:line="68"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ESPP </w:t>
      </w:r>
      <w:r>
        <w:rPr>
          <w:rFonts w:ascii="Times New Roman" w:cs="Times New Roman" w:eastAsia="Times New Roman" w:hAnsi="Times New Roman"/>
          <w:sz w:val="18"/>
          <w:szCs w:val="18"/>
          <w:color w:val="auto"/>
        </w:rPr>
        <w:t>- In 2024, the Board of Directors and stockholders approved the 2024 Employee Stock Purchase Plan (the “ESPP”), which became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4, 2024. The prior ESPP expired during 2023. The ESPP allows eligible employees to purchase a limited number of shares of common stock during pre-specified offering periods at a discount established by the Compensation Committee which may not exceed 15% of the fair market value of the common stock at the beginning or end of the offering period (whichever was lower). Under the ESPP, 700,000 shares were reserved for issuance and 110,337 shares of common stock were issued during the year ended December 31, 2025. As of December 31, 2025, 552,959 shares remained available for purchase under the ESPP.</w:t>
      </w:r>
    </w:p>
    <w:p>
      <w:pPr>
        <w:spacing w:after="0" w:line="74" w:lineRule="exact"/>
        <w:rPr>
          <w:sz w:val="20"/>
          <w:szCs w:val="20"/>
          <w:color w:val="auto"/>
        </w:rPr>
      </w:pPr>
    </w:p>
    <w:p>
      <w:pPr>
        <w:ind w:firstLine="37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Retirement Plans </w:t>
      </w:r>
      <w:r>
        <w:rPr>
          <w:rFonts w:ascii="Times New Roman" w:cs="Times New Roman" w:eastAsia="Times New Roman" w:hAnsi="Times New Roman"/>
          <w:sz w:val="18"/>
          <w:szCs w:val="18"/>
          <w:color w:val="auto"/>
        </w:rPr>
        <w:t>- We have a 401(k) plan for U.S.-based employees, as well as various defined contribution plans for international employees.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401(k) plan, all employees who are eligible to participate are entitled to make tax-deferred</w:t>
      </w:r>
    </w:p>
    <w:p>
      <w:pPr>
        <w:sectPr>
          <w:pgSz w:w="11920" w:h="16838" w:orient="portrait"/>
          <w:cols w:equalWidth="0" w:num="1">
            <w:col w:w="11260"/>
          </w:cols>
          <w:pgMar w:left="340" w:top="760" w:right="318"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type w:val="continuous"/>
        </w:sectPr>
      </w:pPr>
    </w:p>
    <w:bookmarkStart w:id="90" w:name="page91"/>
    <w:bookmarkEnd w:id="9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contributions, subject to Internal Revenue Service limitations. We match 100% of the employee’s first 4% of 401(k) contributions made, subject to annual limitations. Our matching contributions for all plans were $4.1 million, $2.8 million, and $2.3 million for the years ended December 31,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w:t>
      </w:r>
    </w:p>
    <w:p>
      <w:pPr>
        <w:spacing w:after="0" w:line="121" w:lineRule="exact"/>
        <w:rPr>
          <w:sz w:val="20"/>
          <w:szCs w:val="20"/>
          <w:color w:val="auto"/>
        </w:rPr>
      </w:pPr>
    </w:p>
    <w:p>
      <w:pPr>
        <w:ind w:right="80" w:firstLine="376"/>
        <w:spacing w:after="0" w:line="270" w:lineRule="auto"/>
        <w:rPr>
          <w:sz w:val="20"/>
          <w:szCs w:val="20"/>
          <w:color w:val="auto"/>
        </w:rPr>
      </w:pPr>
      <w:r>
        <w:rPr>
          <w:rFonts w:ascii="Times New Roman" w:cs="Times New Roman" w:eastAsia="Times New Roman" w:hAnsi="Times New Roman"/>
          <w:sz w:val="18"/>
          <w:szCs w:val="18"/>
          <w:color w:val="auto"/>
        </w:rPr>
        <w:t>For financial reporting purposes, the income before income taxes included the following components for the years ended December 31, 2025, 2024, and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168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 w:type="dxa"/>
            <w:vAlign w:val="bottom"/>
          </w:tcPr>
          <w:p>
            <w:pPr>
              <w:spacing w:after="0"/>
              <w:rPr>
                <w:sz w:val="15"/>
                <w:szCs w:val="15"/>
                <w:color w:val="auto"/>
              </w:rPr>
            </w:pPr>
          </w:p>
        </w:tc>
      </w:tr>
      <w:tr>
        <w:trPr>
          <w:trHeight w:val="156"/>
        </w:trPr>
        <w:tc>
          <w:tcPr>
            <w:tcW w:w="4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97,212</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(2,683)</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(2,105)</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r>
      <w:tr>
        <w:trPr>
          <w:trHeight w:val="263"/>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97,603</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-24765</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-7620</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-24765</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-24765</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Significant components of the provision (benefit) for income taxes for the years ended December 31, 2025, 2024, and 2023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168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00" w:type="dxa"/>
            <w:vAlign w:val="bottom"/>
            <w:gridSpan w:val="9"/>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56"/>
        </w:trPr>
        <w:tc>
          <w:tcPr>
            <w:tcW w:w="26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r>
      <w:tr>
        <w:trPr>
          <w:trHeight w:val="223"/>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2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FF0FC"/>
          </w:tcPr>
          <w:p>
            <w:pPr>
              <w:spacing w:after="0"/>
              <w:rPr>
                <w:sz w:val="19"/>
                <w:szCs w:val="19"/>
                <w:color w:val="auto"/>
              </w:rPr>
            </w:pPr>
          </w:p>
        </w:tc>
      </w:tr>
      <w:tr>
        <w:trPr>
          <w:trHeight w:val="216"/>
        </w:trPr>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40" w:type="dxa"/>
            <w:vAlign w:val="bottom"/>
            <w:tcBorders>
              <w:bottom w:val="single" w:sz="8" w:color="CFF0FC"/>
            </w:tcBorders>
            <w:shd w:val="clear" w:color="auto" w:fill="CFF0FC"/>
          </w:tcPr>
          <w:p>
            <w:pPr>
              <w:spacing w:after="0"/>
              <w:rPr>
                <w:sz w:val="19"/>
                <w:szCs w:val="19"/>
                <w:color w:val="auto"/>
              </w:rPr>
            </w:pPr>
          </w:p>
        </w:tc>
        <w:tc>
          <w:tcPr>
            <w:tcW w:w="19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00" w:type="dxa"/>
            <w:vAlign w:val="bottom"/>
            <w:tcBorders>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(40,743)</w:t>
            </w:r>
          </w:p>
        </w:tc>
      </w:tr>
      <w:tr>
        <w:trPr>
          <w:trHeight w:val="229"/>
        </w:trPr>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(7,971)</w:t>
            </w:r>
          </w:p>
        </w:tc>
      </w:tr>
      <w:tr>
        <w:trPr>
          <w:trHeight w:val="230"/>
        </w:trPr>
        <w:tc>
          <w:tcPr>
            <w:tcW w:w="2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264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3"/>
        </w:trPr>
        <w:tc>
          <w:tcPr>
            <w:tcW w:w="2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(49,172)</w:t>
            </w:r>
          </w:p>
        </w:tc>
      </w:tr>
      <w:tr>
        <w:trPr>
          <w:trHeight w:val="263"/>
        </w:trPr>
        <w:tc>
          <w:tcPr>
            <w:tcW w:w="2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200" w:type="dxa"/>
            <w:vAlign w:val="bottom"/>
            <w:tcBorders>
              <w:bottom w:val="single" w:sz="8" w:color="CFF0FC"/>
              <w:right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-925195</wp:posOffset>
            </wp:positionV>
            <wp:extent cx="51435"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-925195</wp:posOffset>
            </wp:positionV>
            <wp:extent cx="51435"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-925195</wp:posOffset>
            </wp:positionV>
            <wp:extent cx="51435"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-334010</wp:posOffset>
            </wp:positionV>
            <wp:extent cx="51435"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-334010</wp:posOffset>
            </wp:positionV>
            <wp:extent cx="51435"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-24765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-8255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-24765</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-8255</wp:posOffset>
            </wp:positionV>
            <wp:extent cx="514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-24765</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-8255</wp:posOffset>
            </wp:positionV>
            <wp:extent cx="514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240" w:firstLine="511"/>
        <w:spacing w:after="0" w:line="271" w:lineRule="auto"/>
        <w:rPr>
          <w:sz w:val="20"/>
          <w:szCs w:val="20"/>
          <w:color w:val="auto"/>
        </w:rPr>
      </w:pPr>
      <w:r>
        <w:rPr>
          <w:rFonts w:ascii="Times New Roman" w:cs="Times New Roman" w:eastAsia="Times New Roman" w:hAnsi="Times New Roman"/>
          <w:sz w:val="18"/>
          <w:szCs w:val="18"/>
          <w:color w:val="auto"/>
        </w:rPr>
        <w:t>The provision (benefit) for income taxes differs from income taxes computed at the federal statutory tax rates for the years ended December 31, 2025, 2024, and 2023 as a result of the following items (dollars in thousands):</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0"/>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8"/>
        </w:trPr>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60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140" w:type="dxa"/>
            <w:vAlign w:val="bottom"/>
          </w:tcPr>
          <w:p>
            <w:pPr>
              <w:spacing w:after="0"/>
              <w:rPr>
                <w:sz w:val="19"/>
                <w:szCs w:val="19"/>
                <w:color w:val="auto"/>
              </w:rPr>
            </w:pP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cross border tax laws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(1,334)</w:t>
            </w:r>
          </w:p>
        </w:tc>
        <w:tc>
          <w:tcPr>
            <w:tcW w:w="3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(8,525)</w:t>
            </w: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Excess tax benefits on stock-based compensation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branch income/(loss)</w:t>
            </w: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(941)</w:t>
            </w:r>
          </w:p>
        </w:tc>
        <w:tc>
          <w:tcPr>
            <w:tcW w:w="3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4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 loss expiration</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-24765</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-8255</wp:posOffset>
            </wp:positionV>
            <wp:extent cx="514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-24765</wp:posOffset>
            </wp:positionV>
            <wp:extent cx="137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6227445</wp:posOffset>
            </wp:positionH>
            <wp:positionV relativeFrom="paragraph">
              <wp:posOffset>-8255</wp:posOffset>
            </wp:positionV>
            <wp:extent cx="137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20" w:h="16838" w:orient="portrait"/>
          <w:cols w:equalWidth="0" w:num="1">
            <w:col w:w="11100"/>
          </w:cols>
          <w:pgMar w:left="340" w:top="760" w:right="478"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00"/>
          </w:cols>
          <w:pgMar w:left="340" w:top="760" w:right="478"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State taxes in California, Illinois and New York City made up the majority (greater than 50%) of the effect in this category.</w:t>
      </w:r>
    </w:p>
    <w:p>
      <w:pPr>
        <w:spacing w:after="0" w:line="25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12" w:lineRule="exact"/>
        <w:rPr>
          <w:sz w:val="20"/>
          <w:szCs w:val="20"/>
          <w:color w:val="auto"/>
        </w:rPr>
      </w:pPr>
    </w:p>
    <w:tbl>
      <w:tblPr>
        <w:tblLayout w:type="fixed"/>
        <w:tblInd w:w="1120" w:type="dxa"/>
        <w:tblCellMar>
          <w:top w:w="0" w:type="dxa"/>
          <w:left w:w="0" w:type="dxa"/>
          <w:bottom w:w="0" w:type="dxa"/>
          <w:right w:w="0" w:type="dxa"/>
        </w:tblCellMar>
      </w:tblPr>
      <w:tr>
        <w:trPr>
          <w:trHeight w:val="156"/>
        </w:trPr>
        <w:tc>
          <w:tcPr>
            <w:tcW w:w="60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 of:</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6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income taxes-net of federal tax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r>
      <w:tr>
        <w:trPr>
          <w:trHeight w:val="229"/>
        </w:trPr>
        <w:tc>
          <w:tcPr>
            <w:tcW w:w="6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r>
      <w:tr>
        <w:trPr>
          <w:trHeight w:val="230"/>
        </w:trPr>
        <w:tc>
          <w:tcPr>
            <w:tcW w:w="6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Excess tax benefits on stock-based compensation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branch income (loss)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Basis adjustment</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3"/>
        </w:trPr>
        <w:tc>
          <w:tcPr>
            <w:tcW w:w="6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8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5318760</wp:posOffset>
            </wp:positionH>
            <wp:positionV relativeFrom="paragraph">
              <wp:posOffset>-25400</wp:posOffset>
            </wp:positionV>
            <wp:extent cx="1028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5318760</wp:posOffset>
            </wp:positionH>
            <wp:positionV relativeFrom="paragraph">
              <wp:posOffset>-7620</wp:posOffset>
            </wp:positionV>
            <wp:extent cx="1028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-25400</wp:posOffset>
            </wp:positionV>
            <wp:extent cx="1460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-7620</wp:posOffset>
            </wp:positionV>
            <wp:extent cx="1460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income taxes paid (net of refunds received) for the year ended December 31, 2025 in the following jurisdictions (</w:t>
      </w:r>
      <w:r>
        <w:rPr>
          <w:rFonts w:ascii="Times New Roman" w:cs="Times New Roman" w:eastAsia="Times New Roman" w:hAnsi="Times New Roman"/>
          <w:sz w:val="18"/>
          <w:szCs w:val="18"/>
          <w:i w:val="1"/>
          <w:iCs w:val="1"/>
          <w:color w:val="auto"/>
        </w:rPr>
        <w:t>in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19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r>
      <w:tr>
        <w:trPr>
          <w:trHeight w:val="223"/>
        </w:trPr>
        <w:tc>
          <w:tcPr>
            <w:tcW w:w="1900" w:type="dxa"/>
            <w:vAlign w:val="bottom"/>
          </w:tcPr>
          <w:p>
            <w:pPr>
              <w:spacing w:after="0"/>
              <w:rPr>
                <w:sz w:val="19"/>
                <w:szCs w:val="19"/>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1900" w:type="dxa"/>
            <w:vAlign w:val="bottom"/>
          </w:tcPr>
          <w:p>
            <w:pPr>
              <w:spacing w:after="0"/>
              <w:rPr>
                <w:sz w:val="19"/>
                <w:szCs w:val="19"/>
                <w:color w:val="auto"/>
              </w:rPr>
            </w:pPr>
          </w:p>
        </w:tc>
        <w:tc>
          <w:tcPr>
            <w:tcW w:w="6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60" w:type="dxa"/>
            <w:vAlign w:val="bottom"/>
            <w:shd w:val="clear" w:color="auto" w:fill="CFF0FC"/>
          </w:tcPr>
          <w:p>
            <w:pPr>
              <w:spacing w:after="0"/>
              <w:rPr>
                <w:sz w:val="19"/>
                <w:szCs w:val="19"/>
                <w:color w:val="auto"/>
              </w:rPr>
            </w:pPr>
          </w:p>
        </w:tc>
      </w:tr>
      <w:tr>
        <w:trPr>
          <w:trHeight w:val="229"/>
        </w:trPr>
        <w:tc>
          <w:tcPr>
            <w:tcW w:w="1900" w:type="dxa"/>
            <w:vAlign w:val="bottom"/>
          </w:tcPr>
          <w:p>
            <w:pPr>
              <w:spacing w:after="0"/>
              <w:rPr>
                <w:sz w:val="19"/>
                <w:szCs w:val="19"/>
                <w:color w:val="auto"/>
              </w:rPr>
            </w:pPr>
          </w:p>
        </w:tc>
        <w:tc>
          <w:tcPr>
            <w:tcW w:w="6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tcPr>
          <w:p>
            <w:pPr>
              <w:spacing w:after="0"/>
              <w:rPr>
                <w:sz w:val="19"/>
                <w:szCs w:val="19"/>
                <w:color w:val="auto"/>
              </w:rPr>
            </w:pPr>
          </w:p>
        </w:tc>
      </w:tr>
      <w:tr>
        <w:trPr>
          <w:trHeight w:val="263"/>
        </w:trPr>
        <w:tc>
          <w:tcPr>
            <w:tcW w:w="1900" w:type="dxa"/>
            <w:vAlign w:val="bottom"/>
          </w:tcPr>
          <w:p>
            <w:pPr>
              <w:spacing w:after="0"/>
              <w:rPr>
                <w:sz w:val="22"/>
                <w:szCs w:val="22"/>
                <w:color w:val="auto"/>
              </w:rPr>
            </w:pPr>
          </w:p>
        </w:tc>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payments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6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-24765</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-7620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tbl>
      <w:tblPr>
        <w:tblLayout w:type="fixed"/>
        <w:tblInd w:w="190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0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state income tax payments</w:t>
            </w:r>
          </w:p>
        </w:tc>
        <w:tc>
          <w:tcPr>
            <w:tcW w:w="30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-179705</wp:posOffset>
            </wp:positionV>
            <wp:extent cx="43180" cy="6254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43180" cy="62547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2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20" w:type="dxa"/>
            <w:vAlign w:val="bottom"/>
          </w:tcPr>
          <w:p>
            <w:pPr>
              <w:spacing w:after="0"/>
              <w:rPr>
                <w:sz w:val="20"/>
                <w:szCs w:val="20"/>
                <w:color w:val="auto"/>
              </w:rPr>
            </w:pPr>
          </w:p>
        </w:tc>
      </w:tr>
      <w:tr>
        <w:trPr>
          <w:trHeight w:val="223"/>
        </w:trPr>
        <w:tc>
          <w:tcPr>
            <w:tcW w:w="190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2960" w:type="dxa"/>
            <w:vAlign w:val="bottom"/>
          </w:tcPr>
          <w:p>
            <w:pPr>
              <w:spacing w:after="0"/>
              <w:rPr>
                <w:sz w:val="19"/>
                <w:szCs w:val="19"/>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920" w:type="dxa"/>
            <w:vAlign w:val="bottom"/>
          </w:tcPr>
          <w:p>
            <w:pPr>
              <w:spacing w:after="0"/>
              <w:rPr>
                <w:sz w:val="19"/>
                <w:szCs w:val="19"/>
                <w:color w:val="auto"/>
              </w:rPr>
            </w:pPr>
          </w:p>
        </w:tc>
      </w:tr>
      <w:tr>
        <w:trPr>
          <w:trHeight w:val="230"/>
        </w:trPr>
        <w:tc>
          <w:tcPr>
            <w:tcW w:w="1900" w:type="dxa"/>
            <w:vAlign w:val="bottom"/>
          </w:tcPr>
          <w:p>
            <w:pPr>
              <w:spacing w:after="0"/>
              <w:rPr>
                <w:sz w:val="19"/>
                <w:szCs w:val="19"/>
                <w:color w:val="auto"/>
              </w:rPr>
            </w:pPr>
          </w:p>
        </w:tc>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United Kingdon</w:t>
            </w:r>
          </w:p>
        </w:tc>
        <w:tc>
          <w:tcPr>
            <w:tcW w:w="2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920" w:type="dxa"/>
            <w:vAlign w:val="bottom"/>
          </w:tcPr>
          <w:p>
            <w:pPr>
              <w:spacing w:after="0"/>
              <w:rPr>
                <w:sz w:val="19"/>
                <w:szCs w:val="19"/>
                <w:color w:val="auto"/>
              </w:rPr>
            </w:pPr>
          </w:p>
        </w:tc>
      </w:tr>
      <w:tr>
        <w:trPr>
          <w:trHeight w:val="230"/>
        </w:trPr>
        <w:tc>
          <w:tcPr>
            <w:tcW w:w="190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920" w:type="dxa"/>
            <w:vAlign w:val="bottom"/>
          </w:tcPr>
          <w:p>
            <w:pPr>
              <w:spacing w:after="0"/>
              <w:rPr>
                <w:sz w:val="19"/>
                <w:szCs w:val="19"/>
                <w:color w:val="auto"/>
              </w:rPr>
            </w:pPr>
          </w:p>
        </w:tc>
      </w:tr>
      <w:tr>
        <w:trPr>
          <w:trHeight w:val="263"/>
        </w:trPr>
        <w:tc>
          <w:tcPr>
            <w:tcW w:w="1900" w:type="dxa"/>
            <w:vAlign w:val="bottom"/>
          </w:tcPr>
          <w:p>
            <w:pPr>
              <w:spacing w:after="0"/>
              <w:rPr>
                <w:sz w:val="22"/>
                <w:szCs w:val="22"/>
                <w:color w:val="auto"/>
              </w:rPr>
            </w:pPr>
          </w:p>
        </w:tc>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foreign income tax payments</w:t>
            </w:r>
          </w:p>
        </w:tc>
        <w:tc>
          <w:tcPr>
            <w:tcW w:w="29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920" w:type="dxa"/>
            <w:vAlign w:val="bottom"/>
          </w:tcPr>
          <w:p>
            <w:pPr>
              <w:spacing w:after="0"/>
              <w:rPr>
                <w:sz w:val="22"/>
                <w:szCs w:val="22"/>
                <w:color w:val="auto"/>
              </w:rPr>
            </w:pPr>
          </w:p>
        </w:tc>
      </w:tr>
      <w:tr>
        <w:trPr>
          <w:trHeight w:val="629"/>
        </w:trPr>
        <w:tc>
          <w:tcPr>
            <w:tcW w:w="1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96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63"/>
        </w:trPr>
        <w:tc>
          <w:tcPr>
            <w:tcW w:w="19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-934085</wp:posOffset>
            </wp:positionV>
            <wp:extent cx="431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-916940</wp:posOffset>
            </wp:positionV>
            <wp:extent cx="43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8"/>
          <w:szCs w:val="18"/>
          <w:color w:val="auto"/>
        </w:rPr>
        <w:t>In addition to the Deferred income taxes on the consolidated balance sheets, the Company has a deferred tax liability of $1.5 million and $4.7 million related to foreign entities included in Other non-current liabilities as of December 31, 2025 and 2024, respectively. Components of the net deferred income tax asset as of December 31, 2025 and 2024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168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net operating loss (NOL)</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76,249</w:t>
            </w:r>
          </w:p>
        </w:tc>
        <w:tc>
          <w:tcPr>
            <w:tcW w:w="80" w:type="dxa"/>
            <w:vAlign w:val="bottom"/>
          </w:tcPr>
          <w:p>
            <w:pPr>
              <w:spacing w:after="0"/>
              <w:rPr>
                <w:sz w:val="19"/>
                <w:szCs w:val="19"/>
                <w:color w:val="auto"/>
              </w:rPr>
            </w:pPr>
          </w:p>
        </w:tc>
      </w:tr>
      <w:tr>
        <w:trPr>
          <w:trHeight w:val="229"/>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 NOL</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NOL</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80" w:type="dxa"/>
            <w:vAlign w:val="bottom"/>
          </w:tcPr>
          <w:p>
            <w:pPr>
              <w:spacing w:after="0"/>
              <w:rPr>
                <w:sz w:val="19"/>
                <w:szCs w:val="19"/>
                <w:color w:val="auto"/>
              </w:rPr>
            </w:pPr>
          </w:p>
        </w:tc>
      </w:tr>
      <w:tr>
        <w:trPr>
          <w:trHeight w:val="229"/>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carryforward</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70,679</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19,496</w:t>
            </w:r>
          </w:p>
        </w:tc>
        <w:tc>
          <w:tcPr>
            <w:tcW w:w="80" w:type="dxa"/>
            <w:vAlign w:val="bottom"/>
          </w:tcPr>
          <w:p>
            <w:pPr>
              <w:spacing w:after="0"/>
              <w:rPr>
                <w:sz w:val="19"/>
                <w:szCs w:val="19"/>
                <w:color w:val="auto"/>
              </w:rPr>
            </w:pPr>
          </w:p>
        </w:tc>
      </w:tr>
      <w:tr>
        <w:trPr>
          <w:trHeight w:val="229"/>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Section 174 costs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80" w:type="dxa"/>
            <w:vAlign w:val="bottom"/>
            <w:shd w:val="clear" w:color="auto" w:fill="CFF0FC"/>
          </w:tcPr>
          <w:p>
            <w:pPr>
              <w:spacing w:after="0"/>
              <w:rPr>
                <w:sz w:val="19"/>
                <w:szCs w:val="19"/>
                <w:color w:val="auto"/>
              </w:rPr>
            </w:pPr>
          </w:p>
        </w:tc>
      </w:tr>
      <w:tr>
        <w:trPr>
          <w:trHeight w:val="229"/>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Pr>
          <w:p>
            <w:pPr>
              <w:spacing w:after="0"/>
              <w:rPr>
                <w:sz w:val="19"/>
                <w:szCs w:val="19"/>
                <w:color w:val="auto"/>
              </w:rPr>
            </w:pPr>
          </w:p>
        </w:tc>
      </w:tr>
      <w:tr>
        <w:trPr>
          <w:trHeight w:val="216"/>
        </w:trPr>
        <w:tc>
          <w:tcPr>
            <w:tcW w:w="40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48,509</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3"/>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240,335</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266,878</w:t>
            </w:r>
          </w:p>
        </w:tc>
        <w:tc>
          <w:tcPr>
            <w:tcW w:w="80" w:type="dxa"/>
            <w:vAlign w:val="bottom"/>
          </w:tcPr>
          <w:p>
            <w:pPr>
              <w:spacing w:after="0"/>
              <w:rPr>
                <w:sz w:val="19"/>
                <w:szCs w:val="19"/>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(11,123)</w:t>
            </w:r>
          </w:p>
        </w:tc>
      </w:tr>
      <w:tr>
        <w:trPr>
          <w:trHeight w:val="229"/>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Right-of-use asset</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(14,608)</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(16,455)</w:t>
            </w:r>
          </w:p>
        </w:tc>
      </w:tr>
      <w:tr>
        <w:trPr>
          <w:trHeight w:val="23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cap valuation</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(2,366)</w:t>
            </w:r>
          </w:p>
        </w:tc>
      </w:tr>
      <w:tr>
        <w:trPr>
          <w:trHeight w:val="229"/>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r>
      <w:tr>
        <w:trPr>
          <w:trHeight w:val="20"/>
        </w:trPr>
        <w:tc>
          <w:tcPr>
            <w:tcW w:w="40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3"/>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(31,143)</w:t>
            </w:r>
          </w:p>
        </w:tc>
      </w:tr>
      <w:tr>
        <w:trPr>
          <w:trHeight w:val="223"/>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income tax</w:t>
            </w:r>
          </w:p>
        </w:tc>
        <w:tc>
          <w:tcPr>
            <w:tcW w:w="13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225,145</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235,735</w:t>
            </w:r>
          </w:p>
        </w:tc>
        <w:tc>
          <w:tcPr>
            <w:tcW w:w="8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(16,977)</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(23,160)</w:t>
            </w:r>
          </w:p>
        </w:tc>
      </w:tr>
      <w:tr>
        <w:trPr>
          <w:trHeight w:val="263"/>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13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208,168</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212,575</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5190490</wp:posOffset>
            </wp:positionH>
            <wp:positionV relativeFrom="paragraph">
              <wp:posOffset>-1525270</wp:posOffset>
            </wp:positionV>
            <wp:extent cx="51435" cy="162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-1525270</wp:posOffset>
            </wp:positionV>
            <wp:extent cx="51435" cy="162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-24765</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5190490</wp:posOffset>
            </wp:positionH>
            <wp:positionV relativeFrom="paragraph">
              <wp:posOffset>-7620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-24765</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Based on our most recent assessment, as of December 31, 2025 and 2024, the Company had valuation allowances of $17.0 million and $23.2 million, respectively, against its deferred tax assets. The Company’s valuation allowance decreased by $6.2 million. The decrease primarily related to the expiration of an unused U.S. federal and state capital loss tax attributes, partially offset by the establishment of a valuation allowance on state net operating loss carryforwards. Management believes the remaining deferred tax assets are more likely than not to be realized based on the weight of available positive and negative evidence.</w:t>
      </w:r>
    </w:p>
    <w:p>
      <w:pPr>
        <w:spacing w:after="0" w:line="84" w:lineRule="exact"/>
        <w:rPr>
          <w:sz w:val="20"/>
          <w:szCs w:val="20"/>
          <w:color w:val="auto"/>
        </w:rPr>
      </w:pPr>
    </w:p>
    <w:p>
      <w:pPr>
        <w:jc w:val="both"/>
        <w:ind w:right="360" w:firstLine="511"/>
        <w:spacing w:after="0" w:line="266" w:lineRule="auto"/>
        <w:rPr>
          <w:sz w:val="20"/>
          <w:szCs w:val="20"/>
          <w:color w:val="auto"/>
        </w:rPr>
      </w:pPr>
      <w:r>
        <w:rPr>
          <w:rFonts w:ascii="Times New Roman" w:cs="Times New Roman" w:eastAsia="Times New Roman" w:hAnsi="Times New Roman"/>
          <w:sz w:val="18"/>
          <w:szCs w:val="18"/>
          <w:color w:val="auto"/>
        </w:rPr>
        <w:t>The valuation allowances pertain to foreign and state net operating losses. Management believes it is more likely than not that these deferred tax assets will not be realized as of December 31, 2025. If our current operating performance continues, further reversals of our valuation allowance could occur within the next twelve months.</w:t>
      </w:r>
    </w:p>
    <w:p>
      <w:pPr>
        <w:spacing w:after="0" w:line="68" w:lineRule="exact"/>
        <w:rPr>
          <w:sz w:val="20"/>
          <w:szCs w:val="20"/>
          <w:color w:val="auto"/>
        </w:rPr>
      </w:pPr>
    </w:p>
    <w:p>
      <w:pPr>
        <w:ind w:right="100" w:firstLine="511"/>
        <w:spacing w:after="0" w:line="261" w:lineRule="auto"/>
        <w:rPr>
          <w:sz w:val="20"/>
          <w:szCs w:val="20"/>
          <w:color w:val="auto"/>
        </w:rPr>
      </w:pPr>
      <w:r>
        <w:rPr>
          <w:rFonts w:ascii="Times New Roman" w:cs="Times New Roman" w:eastAsia="Times New Roman" w:hAnsi="Times New Roman"/>
          <w:sz w:val="18"/>
          <w:szCs w:val="18"/>
          <w:color w:val="auto"/>
        </w:rPr>
        <w:t>As of December 31, 2025, the federal net operating loss (“NOL”) carryforward, state NOL carryforward and Canadian NOL carryforward were approximately $259 million, $304 million, and $57 million, respectively. We have recorded a deferred tax asset of $54.4 million, $18.4 million, and $15.2 million for federal NOLs, state NOLs, and foreign NOLs, respectively, reflecting the benefit of these loss carryforwards. The federal and state NOLs begin to expire in 2035 and 2027, respectively. The Canadian NOL carryforward begins to expire in 2034.</w:t>
      </w:r>
    </w:p>
    <w:p>
      <w:pPr>
        <w:spacing w:after="0" w:line="68" w:lineRule="exact"/>
        <w:rPr>
          <w:sz w:val="20"/>
          <w:szCs w:val="20"/>
          <w:color w:val="auto"/>
        </w:rPr>
      </w:pPr>
    </w:p>
    <w:p>
      <w:pPr>
        <w:ind w:right="500" w:firstLine="5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 As of December 31, 2025 and 2024, the total amount of gross unrecognized tax benefits was $2.0 million and $1.7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respectively.</w:t>
      </w:r>
    </w:p>
    <w:p>
      <w:pPr>
        <w:spacing w:after="0" w:line="51" w:lineRule="exact"/>
        <w:rPr>
          <w:sz w:val="20"/>
          <w:szCs w:val="20"/>
          <w:color w:val="auto"/>
        </w:rPr>
      </w:pPr>
    </w:p>
    <w:p>
      <w:pPr>
        <w:ind w:right="380" w:firstLine="511"/>
        <w:spacing w:after="0" w:line="282" w:lineRule="auto"/>
        <w:rPr>
          <w:sz w:val="20"/>
          <w:szCs w:val="20"/>
          <w:color w:val="auto"/>
        </w:rPr>
      </w:pPr>
      <w:r>
        <w:rPr>
          <w:rFonts w:ascii="Times New Roman" w:cs="Times New Roman" w:eastAsia="Times New Roman" w:hAnsi="Times New Roman"/>
          <w:sz w:val="18"/>
          <w:szCs w:val="18"/>
          <w:color w:val="auto"/>
        </w:rPr>
        <w:t xml:space="preserve">The aggregate change in the balance of gross unrecognized tax benefits, which excludes interest and penalties for the years ended December 31, 2025 and 2024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5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8"/>
        </w:trPr>
        <w:tc>
          <w:tcPr>
            <w:tcW w:w="540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200" w:type="dxa"/>
            <w:vAlign w:val="bottom"/>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r>
      <w:tr>
        <w:trPr>
          <w:trHeight w:val="173"/>
        </w:trPr>
        <w:tc>
          <w:tcPr>
            <w:tcW w:w="5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year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Decreases related to tax positions taken during a prior year</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year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Decreases related to settlements with taxing authorities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Decreases related to expiration of the statute of limitations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5198745</wp:posOffset>
            </wp:positionH>
            <wp:positionV relativeFrom="paragraph">
              <wp:posOffset>-24765</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-7620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-24765</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40" w:firstLine="511"/>
        <w:spacing w:after="0" w:line="266"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various states and several foreign jurisdictions including, but not limited to, Canada, Switzerland, United Kingdom, Australia, Brazil and Singapore. With few exceptions, as of December 31, 2025, we are no longer subject to U.S. federal, state, local or foreign examinations by tax authorities for years before 2010.</w:t>
      </w:r>
    </w:p>
    <w:p>
      <w:pPr>
        <w:spacing w:after="0" w:line="68" w:lineRule="exact"/>
        <w:rPr>
          <w:sz w:val="20"/>
          <w:szCs w:val="20"/>
          <w:color w:val="auto"/>
        </w:rPr>
      </w:pPr>
    </w:p>
    <w:p>
      <w:pPr>
        <w:ind w:right="120" w:firstLine="511"/>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reduce the Company’s effective tax rate is $2.0 million and $1.7 million as of December 31, 2025 and 2024, respectively. We record penalties and interest relating to uncertain tax positions in the income tax provision line item in the consolidated statement of operations. No penalties or interest related to uncertain tax positions were recorded for the years ended December 31, 2025, 2024 or 2023.</w:t>
      </w:r>
    </w:p>
    <w:p>
      <w:pPr>
        <w:spacing w:after="0" w:line="72" w:lineRule="exact"/>
        <w:rPr>
          <w:sz w:val="20"/>
          <w:szCs w:val="20"/>
          <w:color w:val="auto"/>
        </w:rPr>
      </w:pPr>
    </w:p>
    <w:p>
      <w:pPr>
        <w:ind w:right="20" w:firstLine="511"/>
        <w:spacing w:after="0" w:line="261" w:lineRule="auto"/>
        <w:rPr>
          <w:sz w:val="20"/>
          <w:szCs w:val="20"/>
          <w:color w:val="auto"/>
        </w:rPr>
      </w:pPr>
      <w:r>
        <w:rPr>
          <w:rFonts w:ascii="Times New Roman" w:cs="Times New Roman" w:eastAsia="Times New Roman" w:hAnsi="Times New Roman"/>
          <w:sz w:val="18"/>
          <w:szCs w:val="18"/>
          <w:color w:val="auto"/>
        </w:rPr>
        <w:t>All undistributed earnings, to the extent there are any, will remain permanently reinvested to support existing working capital needs in the international subsidiaries. The Company has not provided for deferred taxes on outside basis differences for investments in its international subsidiaries that are unrelated to unremitted earnings as these basis differences will be indefinitely reinvested. The amount of unrecognized deferred tax liability does not have a material impact on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consolidated statement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7"/>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 w:type="dxa"/>
            <w:vAlign w:val="bottom"/>
          </w:tcPr>
          <w:p>
            <w:pPr>
              <w:spacing w:after="0"/>
              <w:rPr>
                <w:sz w:val="13"/>
                <w:szCs w:val="13"/>
                <w:color w:val="auto"/>
              </w:rPr>
            </w:pPr>
          </w:p>
        </w:tc>
      </w:tr>
      <w:tr>
        <w:trPr>
          <w:trHeight w:val="173"/>
        </w:trPr>
        <w:tc>
          <w:tcPr>
            <w:tcW w:w="4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45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r>
      <w:tr>
        <w:trPr>
          <w:trHeight w:val="250"/>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-24765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4573270</wp:posOffset>
            </wp:positionH>
            <wp:positionV relativeFrom="paragraph">
              <wp:posOffset>-7620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-24765</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-7620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-24765</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6030595</wp:posOffset>
            </wp:positionH>
            <wp:positionV relativeFrom="paragraph">
              <wp:posOffset>-7620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(1) Includes short-term and variable lease cost.</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Other information regarding our leases is as follows </w:t>
      </w:r>
      <w:r>
        <w:rPr>
          <w:rFonts w:ascii="Times New Roman" w:cs="Times New Roman" w:eastAsia="Times New Roman" w:hAnsi="Times New Roman"/>
          <w:sz w:val="18"/>
          <w:szCs w:val="18"/>
          <w:i w:val="1"/>
          <w:iCs w:val="1"/>
          <w:color w:val="auto"/>
        </w:rPr>
        <w:t>(in thousands, except lease terms and discount rates)</w:t>
      </w:r>
      <w:r>
        <w:rPr>
          <w:rFonts w:ascii="Times New Roman" w:cs="Times New Roman" w:eastAsia="Times New Roman" w:hAnsi="Times New Roman"/>
          <w:sz w:val="18"/>
          <w:szCs w:val="18"/>
          <w:color w:val="auto"/>
        </w:rPr>
        <w: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3"/>
        </w:trPr>
        <w:tc>
          <w:tcPr>
            <w:tcW w:w="14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3"/>
        </w:trPr>
        <w:tc>
          <w:tcPr>
            <w:tcW w:w="14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r>
      <w:tr>
        <w:trPr>
          <w:trHeight w:val="211"/>
        </w:trPr>
        <w:tc>
          <w:tcPr>
            <w:tcW w:w="14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Cash paid for amounts included in measurement of lease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55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liabilities: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1460" w:type="dxa"/>
            <w:vAlign w:val="bottom"/>
          </w:tcPr>
          <w:p>
            <w:pPr>
              <w:spacing w:after="0"/>
              <w:rPr>
                <w:sz w:val="19"/>
                <w:szCs w:val="19"/>
                <w:color w:val="auto"/>
              </w:rPr>
            </w:pPr>
          </w:p>
        </w:tc>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19,419</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6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1460" w:type="dxa"/>
            <w:vAlign w:val="bottom"/>
          </w:tcPr>
          <w:p>
            <w:pPr>
              <w:spacing w:after="0"/>
              <w:rPr>
                <w:sz w:val="19"/>
                <w:szCs w:val="19"/>
                <w:color w:val="auto"/>
              </w:rPr>
            </w:pPr>
          </w:p>
        </w:tc>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60" w:type="dxa"/>
            <w:vAlign w:val="bottom"/>
            <w:shd w:val="clear" w:color="auto" w:fill="CFF0FC"/>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leases obtained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r>
      <w:tr>
        <w:trPr>
          <w:trHeight w:val="216"/>
        </w:trPr>
        <w:tc>
          <w:tcPr>
            <w:tcW w:w="146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14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 years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 years</w:t>
            </w: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years</w:t>
            </w:r>
          </w:p>
        </w:tc>
        <w:tc>
          <w:tcPr>
            <w:tcW w:w="1460" w:type="dxa"/>
            <w:vAlign w:val="bottom"/>
          </w:tcPr>
          <w:p>
            <w:pPr>
              <w:spacing w:after="0"/>
              <w:rPr>
                <w:sz w:val="19"/>
                <w:szCs w:val="19"/>
                <w:color w:val="auto"/>
              </w:rPr>
            </w:pPr>
          </w:p>
        </w:tc>
      </w:tr>
      <w:tr>
        <w:trPr>
          <w:trHeight w:val="229"/>
        </w:trPr>
        <w:tc>
          <w:tcPr>
            <w:tcW w:w="14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 year</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 years</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years</w:t>
            </w:r>
          </w:p>
        </w:tc>
        <w:tc>
          <w:tcPr>
            <w:tcW w:w="146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14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460" w:type="dxa"/>
            <w:vAlign w:val="bottom"/>
          </w:tcPr>
          <w:p>
            <w:pPr>
              <w:spacing w:after="0"/>
              <w:rPr>
                <w:sz w:val="19"/>
                <w:szCs w:val="19"/>
                <w:color w:val="auto"/>
              </w:rPr>
            </w:pPr>
          </w:p>
        </w:tc>
      </w:tr>
      <w:tr>
        <w:trPr>
          <w:trHeight w:val="234"/>
        </w:trPr>
        <w:tc>
          <w:tcPr>
            <w:tcW w:w="14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460" w:type="dxa"/>
            <w:vAlign w:val="bottom"/>
          </w:tcPr>
          <w:p>
            <w:pPr>
              <w:spacing w:after="0"/>
              <w:rPr>
                <w:sz w:val="20"/>
                <w:szCs w:val="20"/>
                <w:color w:val="auto"/>
              </w:rPr>
            </w:pPr>
          </w:p>
        </w:tc>
      </w:tr>
      <w:tr>
        <w:trPr>
          <w:trHeight w:val="643"/>
        </w:trPr>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92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14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December 31,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Financing</w:t>
            </w:r>
          </w:p>
        </w:tc>
      </w:tr>
      <w:tr>
        <w:trPr>
          <w:trHeight w:val="173"/>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82,954</w:t>
            </w:r>
          </w:p>
        </w:tc>
        <w:tc>
          <w:tcPr>
            <w:tcW w:w="1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(13,332)</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20" w:type="dxa"/>
            <w:vAlign w:val="bottom"/>
          </w:tcPr>
          <w:p>
            <w:pPr>
              <w:spacing w:after="0"/>
              <w:rPr>
                <w:sz w:val="22"/>
                <w:szCs w:val="22"/>
                <w:color w:val="auto"/>
              </w:rPr>
            </w:pPr>
          </w:p>
        </w:tc>
        <w:tc>
          <w:tcPr>
            <w:tcW w:w="46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bottom w:val="single" w:sz="8" w:color="CFF0FC"/>
            </w:tcBorders>
            <w:shd w:val="clear" w:color="auto" w:fill="CFF0FC"/>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46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Reported as of December 31, 2025</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top w:val="single" w:sz="8" w:color="CFF0FC"/>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4975860</wp:posOffset>
            </wp:positionH>
            <wp:positionV relativeFrom="paragraph">
              <wp:posOffset>-779145</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-779145</wp:posOffset>
            </wp:positionV>
            <wp:extent cx="43180" cy="1631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-179070</wp:posOffset>
            </wp:positionV>
            <wp:extent cx="43180"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-179070</wp:posOffset>
            </wp:positionV>
            <wp:extent cx="43180"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there were no significant leases which had not yet commenced.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ind w:right="320" w:firstLine="5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67"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8"/>
          <w:szCs w:val="18"/>
          <w:color w:val="auto"/>
        </w:rPr>
        <w:t>On May 17, 2024, Airspan Networks Holdings Inc. (“Airspan”) filed a plan supplement to its Joint Prepackaged Chapter 11 Plan of Reorganization, Case No. 24-10621 (the “Plan”), whereby the Company and Fortress Credit Corp. (“Fortress”) agreed in principle to each provide fifty percent (50%) of a new first lien revolving facility in an aggregate committed principal amount of $20.0 million (the “New Revolving Credit Facility”). Over the course of the first seven months of 2025, Airspan borrowed the full amount of the New Revolving Credit Facility, of which $10 million was the Company’s obligation. In August 2025, the Company, Airspan and Fortress agreed to amend the New Revolving Credit Facility to remove the Company as a lender under that agreement and the outstanding amount of $10.0 million was repaid to the Company.</w:t>
      </w:r>
    </w:p>
    <w:p>
      <w:pPr>
        <w:spacing w:after="0" w:line="79" w:lineRule="exact"/>
        <w:rPr>
          <w:sz w:val="20"/>
          <w:szCs w:val="20"/>
          <w:color w:val="auto"/>
        </w:rPr>
      </w:pPr>
    </w:p>
    <w:p>
      <w:pPr>
        <w:ind w:right="40" w:firstLine="511"/>
        <w:spacing w:after="0" w:line="254" w:lineRule="auto"/>
        <w:rPr>
          <w:sz w:val="20"/>
          <w:szCs w:val="20"/>
          <w:color w:val="auto"/>
        </w:rPr>
      </w:pPr>
      <w:r>
        <w:rPr>
          <w:rFonts w:ascii="Times New Roman" w:cs="Times New Roman" w:eastAsia="Times New Roman" w:hAnsi="Times New Roman"/>
          <w:sz w:val="18"/>
          <w:szCs w:val="18"/>
          <w:color w:val="auto"/>
        </w:rPr>
        <w:t>The Company accrued a contingent liability of $0.7 million and $5.0 million, respectively, in Accrued liabilities in the Consolidated Balance Sheets as of December 31, 2025 and 2024 for state and local taxes in a variety of jurisdictions for periods between 2010 and 2025 related to Satcom Direct’s business activities. While the Company believes that the reserve represents the best current estimate of any potential liability in state and local taxes, there can be no assurance that the outcome of discussions with any state taxing authority will not result in the payment of state sales taxes for prior periods, or that the amount of any such payments will not be materially different than the liability currently recorded. Pursuant to the terms of the Purchase Agreement, the Company has accrued a $0.6 million and $5.0 million indemnification receivable, respectively, in Prepaid expenses and other current assets in the Consolidated Balance Sheets as of December 31, 2025 and 2024. See Note 2, “Acquisition of Satcom Direct,” for further information on the Purchase Agreement.</w:t>
      </w:r>
    </w:p>
    <w:p>
      <w:pPr>
        <w:spacing w:after="0" w:line="80"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(“SmartSky”) brought suit against Gogo Inc. and its subsidiary Gogo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Aviation LLC in the U.S. District Court for the District of Delaware (the “Court”) alleging that Gogo 5G infringes four patents owned by the plaintiff. On February 21, 2023, the plaintiff amended its complaint to allege that Gogo 5G infringes two additional patents that had been recently issued to the plaintiff. The suit seeks compensatory damages as well as treble damages for alleged willful infringement and reimbursement of plaintiff's costs, disbursements and attorneys' fees. On May 29, 2024, Gogo Inc. and its subsidiary Gogo Business Aviation LLC amended their answer and counterclaims in the same suit, alleging that three of the six patents asserted by the plaintiff are unenforceable due to inequitable conduct before the U.S. Patent Office. A number of dispositive motions were filed on October 25, 2025, and the Court issued orders resolving those motions. SmartSky’s motions were denied. Gogo’s motion for summary judgment of invalidity on one of SmartSky’s asserted patents was granted. The Court also granted Gogo’s motion for summary judgment of no lost profits and Gogo’s motion to exclude SmartSky’s damages expert’s opinions on lost profits and reasonable royalty damages. On November 17, 2025, the Court commenced a jury trial on the plaintiff’s claims. On November 21, 2025, the jury determined that Gogo willfully infringed the plaintiff’s asserted patents and returned a verdict in the total amount of $22.7 million. A one-day bench trial is scheduled on March 4, 2026, to address Gogo’s inequitable conduct defense. Post-trial briefs on the jury trial are due March 18, 2026, and post-trial briefs on the bench trial are due March 30, 2026. Briefing is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expected to be completed on these motions by May 8, 2026.We continue to vigorously defend our position in the infringement suit to challenge both the verdict and the amount of the award in the trial court and will do so in the appellate court if necessary. The outcome of the underlying litigation is inherently uncertain. No judgment has been entered and Gogo has not paid any portion of the award.</w:t>
      </w:r>
    </w:p>
    <w:p>
      <w:pPr>
        <w:spacing w:after="0" w:line="68"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8"/>
          <w:szCs w:val="18"/>
          <w:color w:val="auto"/>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On December 31, 2025, Gogo Inc. and its subsidiary Gogo Business Aviation LLC amended their counterclaims to add Apcela IFC JV, LLC as a counterclaim defendant. Under a schedule agreed upon by the parties, fact discovery and claim construction proceedings will be substantially completed by June 26, 2026, and expert discovery by September 25, 2026, with dispositive motions to follow. A trial date has been scheduled for March 8, 2027.</w:t>
      </w:r>
    </w:p>
    <w:p>
      <w:pPr>
        <w:spacing w:after="0" w:line="8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color w:val="auto"/>
        </w:rPr>
        <w:t>On December 16, 2024, SmartSky sued Gogo Inc. and its subsidiaries in the U.S. District Court for the Western District of North Carolina alleging that Gogo maintains an illegal monopoly over air-to-ground broadband inflight connectivity products and services and has blocked SmartSky from entering the market in violation of antitrust laws. SmartSky also alleges claims of false advertising, unfair and deceptive trade practices, and tortious interference. The suit seeks actual damages, treble damages, punitive damages, disgorgement of profits, reimbursement of plaintiff's costs, attorneys' fees, pre- and post-judgment interest, and interest on actual damages. On March 14, 2025, Gogo Inc. and its subsidiary Gogo Business Aviation LLC filed a motion to dismiss for failure to state a claim. That motion is still pending. Fact discovery is set to be completed by June 5, 2026, and expert discovery by September 10, 2026, with dispositive motions to follow. A trial date has not been set. We will vigorously defend our position in this lawsuit. The outcome of the litigation is inherently uncertain.</w:t>
      </w:r>
    </w:p>
    <w:p>
      <w:pPr>
        <w:spacing w:after="0" w:line="84" w:lineRule="exact"/>
        <w:rPr>
          <w:sz w:val="20"/>
          <w:szCs w:val="20"/>
          <w:color w:val="auto"/>
        </w:rPr>
      </w:pPr>
    </w:p>
    <w:p>
      <w:pPr>
        <w:ind w:right="20" w:firstLine="511"/>
        <w:spacing w:after="0" w:line="253"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 The Company’s accrual for probable and estimable loss contingencies was $11.5 million as of December 31, 2025, and is recorded in Accrued liabilities on the Consolidated Balance Sheets. Other (income) expense, net on the Consolidated Statements of Operations for the year ending December 31, 2025 includes a $10 million accrual for the aforementioned litigation in which we are a defendant. The Company also recorded a $1.0 million receivable for loss recovery during 2025, which is reflected within Prepaid expenses and other current assets on the Consolidated Balance Sheets as of December 31, 2025 and a reduction to expense in Other (income) expense,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Accumulated Other Comprehensive Income (Loss)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5"/>
                <w:szCs w:val="15"/>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30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6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6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00" w:type="dxa"/>
            <w:vAlign w:val="bottom"/>
          </w:tcPr>
          <w:p>
            <w:pPr>
              <w:spacing w:after="0"/>
              <w:rPr>
                <w:sz w:val="19"/>
                <w:szCs w:val="19"/>
                <w:color w:val="auto"/>
              </w:rPr>
            </w:pPr>
          </w:p>
        </w:tc>
      </w:tr>
      <w:tr>
        <w:trPr>
          <w:trHeight w:val="230"/>
        </w:trPr>
        <w:tc>
          <w:tcPr>
            <w:tcW w:w="4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(14,623)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(14,332)</w:t>
            </w:r>
          </w:p>
        </w:tc>
      </w:tr>
      <w:tr>
        <w:trPr>
          <w:trHeight w:val="223"/>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r>
      <w:tr>
        <w:trPr>
          <w:trHeight w:val="216"/>
        </w:trPr>
        <w:tc>
          <w:tcPr>
            <w:tcW w:w="4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6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(9,406)</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(10,229)</w:t>
            </w:r>
          </w:p>
        </w:tc>
      </w:tr>
      <w:tr>
        <w:trPr>
          <w:trHeight w:val="223"/>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(814)</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(6,235)</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(5,523)</w:t>
            </w:r>
          </w:p>
        </w:tc>
      </w:tr>
      <w:tr>
        <w:trPr>
          <w:trHeight w:val="263"/>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28"/>
        </w:trPr>
        <w:tc>
          <w:tcPr>
            <w:tcW w:w="4960" w:type="dxa"/>
            <w:vAlign w:val="bottom"/>
          </w:tcPr>
          <w:p>
            <w:pPr>
              <w:spacing w:after="0"/>
              <w:rPr>
                <w:sz w:val="24"/>
                <w:szCs w:val="24"/>
                <w:color w:val="auto"/>
              </w:rPr>
            </w:pPr>
          </w:p>
        </w:tc>
        <w:tc>
          <w:tcPr>
            <w:tcW w:w="16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9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-2451100</wp:posOffset>
            </wp:positionV>
            <wp:extent cx="6858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-2142490</wp:posOffset>
            </wp:positionV>
            <wp:extent cx="76835"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-2142490</wp:posOffset>
            </wp:positionV>
            <wp:extent cx="68580"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-1542415</wp:posOffset>
            </wp:positionV>
            <wp:extent cx="6858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-1242695</wp:posOffset>
            </wp:positionV>
            <wp:extent cx="68580" cy="162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-933450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5053330</wp:posOffset>
            </wp:positionH>
            <wp:positionV relativeFrom="paragraph">
              <wp:posOffset>-916940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-933450</wp:posOffset>
            </wp:positionV>
            <wp:extent cx="768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-916940</wp:posOffset>
            </wp:positionV>
            <wp:extent cx="768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-933450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7085330</wp:posOffset>
            </wp:positionH>
            <wp:positionV relativeFrom="paragraph">
              <wp:posOffset>-916940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96" w:name="page97"/>
    <w:bookmarkEnd w:id="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Common Stock and Preferred Stock</w:t>
      </w:r>
    </w:p>
    <w:p>
      <w:pPr>
        <w:spacing w:after="0" w:line="117" w:lineRule="exact"/>
        <w:rPr>
          <w:sz w:val="20"/>
          <w:szCs w:val="20"/>
          <w:color w:val="auto"/>
        </w:rPr>
      </w:pPr>
    </w:p>
    <w:p>
      <w:pPr>
        <w:ind w:right="20" w:firstLine="511"/>
        <w:spacing w:after="0" w:line="268" w:lineRule="auto"/>
        <w:rPr>
          <w:sz w:val="20"/>
          <w:szCs w:val="20"/>
          <w:color w:val="auto"/>
        </w:rPr>
      </w:pPr>
      <w:r>
        <w:rPr>
          <w:rFonts w:ascii="Times New Roman" w:cs="Times New Roman" w:eastAsia="Times New Roman" w:hAnsi="Times New Roman"/>
          <w:sz w:val="18"/>
          <w:szCs w:val="18"/>
          <w:b w:val="1"/>
          <w:bCs w:val="1"/>
          <w:i w:val="1"/>
          <w:iCs w:val="1"/>
          <w:color w:val="221E1F"/>
        </w:rPr>
        <w:t xml:space="preserve">Common Stock – </w:t>
      </w:r>
      <w:r>
        <w:rPr>
          <w:rFonts w:ascii="Times New Roman" w:cs="Times New Roman" w:eastAsia="Times New Roman" w:hAnsi="Times New Roman"/>
          <w:sz w:val="18"/>
          <w:szCs w:val="18"/>
          <w:color w:val="221E1F"/>
        </w:rPr>
        <w:t>We have one class of common stock outstanding as of December 31, 2025 and 2024. Our common stock is junior to our preferred</w:t>
      </w:r>
      <w:r>
        <w:rPr>
          <w:rFonts w:ascii="Times New Roman" w:cs="Times New Roman" w:eastAsia="Times New Roman" w:hAnsi="Times New Roman"/>
          <w:sz w:val="18"/>
          <w:szCs w:val="18"/>
          <w:b w:val="1"/>
          <w:bCs w:val="1"/>
          <w:i w:val="1"/>
          <w:iCs w:val="1"/>
          <w:color w:val="221E1F"/>
        </w:rPr>
        <w:t xml:space="preserve"> </w:t>
      </w:r>
      <w:r>
        <w:rPr>
          <w:rFonts w:ascii="Times New Roman" w:cs="Times New Roman" w:eastAsia="Times New Roman" w:hAnsi="Times New Roman"/>
          <w:sz w:val="18"/>
          <w:szCs w:val="18"/>
          <w:color w:val="221E1F"/>
        </w:rPr>
        <w:t xml:space="preserve">stock, if and when issued. </w:t>
      </w:r>
      <w:r>
        <w:rPr>
          <w:rFonts w:ascii="Times New Roman" w:cs="Times New Roman" w:eastAsia="Times New Roman" w:hAnsi="Times New Roman"/>
          <w:sz w:val="18"/>
          <w:szCs w:val="18"/>
          <w:color w:val="000000"/>
        </w:rPr>
        <w:t>Our Third Amended and Restated Certificate of Incorporation authorizes a total of 500,000,000 shares of common stock with a</w:t>
      </w:r>
      <w:r>
        <w:rPr>
          <w:rFonts w:ascii="Times New Roman" w:cs="Times New Roman" w:eastAsia="Times New Roman" w:hAnsi="Times New Roman"/>
          <w:sz w:val="18"/>
          <w:szCs w:val="18"/>
          <w:color w:val="221E1F"/>
        </w:rPr>
        <w:t xml:space="preserve"> </w:t>
      </w:r>
      <w:r>
        <w:rPr>
          <w:rFonts w:ascii="Times New Roman" w:cs="Times New Roman" w:eastAsia="Times New Roman" w:hAnsi="Times New Roman"/>
          <w:sz w:val="18"/>
          <w:szCs w:val="18"/>
          <w:color w:val="000000"/>
        </w:rPr>
        <w:t>par value of $0.0001 per share.</w:t>
      </w:r>
    </w:p>
    <w:p>
      <w:pPr>
        <w:spacing w:after="0" w:line="63" w:lineRule="exact"/>
        <w:rPr>
          <w:sz w:val="20"/>
          <w:szCs w:val="20"/>
          <w:color w:val="auto"/>
        </w:rPr>
      </w:pPr>
    </w:p>
    <w:p>
      <w:pPr>
        <w:ind w:right="240" w:firstLine="511"/>
        <w:spacing w:after="0" w:line="259" w:lineRule="auto"/>
        <w:rPr>
          <w:sz w:val="20"/>
          <w:szCs w:val="20"/>
          <w:color w:val="auto"/>
        </w:rPr>
      </w:pPr>
      <w:r>
        <w:rPr>
          <w:rFonts w:ascii="Times New Roman" w:cs="Times New Roman" w:eastAsia="Times New Roman" w:hAnsi="Times New Roman"/>
          <w:sz w:val="18"/>
          <w:szCs w:val="18"/>
          <w:b w:val="1"/>
          <w:bCs w:val="1"/>
          <w:i w:val="1"/>
          <w:iCs w:val="1"/>
          <w:color w:val="221E1F"/>
        </w:rPr>
        <w:t xml:space="preserve">Preferred Stock </w:t>
      </w:r>
      <w:r>
        <w:rPr>
          <w:rFonts w:ascii="Times New Roman" w:cs="Times New Roman" w:eastAsia="Times New Roman" w:hAnsi="Times New Roman"/>
          <w:sz w:val="18"/>
          <w:szCs w:val="18"/>
          <w:color w:val="000000"/>
        </w:rPr>
        <w:t>– Our Third Amended and Restated Certificate of Incorporation authorizes 100,000,000 shares of new preferred stock with a par</w:t>
      </w:r>
      <w:r>
        <w:rPr>
          <w:rFonts w:ascii="Times New Roman" w:cs="Times New Roman" w:eastAsia="Times New Roman" w:hAnsi="Times New Roman"/>
          <w:sz w:val="18"/>
          <w:szCs w:val="18"/>
          <w:b w:val="1"/>
          <w:bCs w:val="1"/>
          <w:i w:val="1"/>
          <w:iCs w:val="1"/>
          <w:color w:val="221E1F"/>
        </w:rPr>
        <w:t xml:space="preserve"> </w:t>
      </w:r>
      <w:r>
        <w:rPr>
          <w:rFonts w:ascii="Times New Roman" w:cs="Times New Roman" w:eastAsia="Times New Roman" w:hAnsi="Times New Roman"/>
          <w:sz w:val="18"/>
          <w:szCs w:val="18"/>
          <w:color w:val="000000"/>
        </w:rPr>
        <w:t>value of $0.01 per share. No shares of this new preferred stock have been issued. The preferred stock may be issued, from time to time, in one or more series as authorized by the Board of Directors, which has the authority to designate the terms of any series of preferred stock issued, including, without limitation, the number of shares to be included in such series of preferred stock, any dividend, redemption, conversion rights or voting powers and the designations, preferences and relative participating, optional or other special rights.</w:t>
      </w:r>
    </w:p>
    <w:p>
      <w:pPr>
        <w:spacing w:after="0" w:line="71"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8"/>
          <w:szCs w:val="18"/>
          <w:b w:val="1"/>
          <w:bCs w:val="1"/>
          <w:i w:val="1"/>
          <w:iCs w:val="1"/>
          <w:color w:val="221E1F"/>
        </w:rPr>
        <w:t xml:space="preserve">Share Repurchases </w:t>
      </w:r>
      <w:r>
        <w:rPr>
          <w:rFonts w:ascii="Times New Roman" w:cs="Times New Roman" w:eastAsia="Times New Roman" w:hAnsi="Times New Roman"/>
          <w:sz w:val="18"/>
          <w:szCs w:val="18"/>
          <w:color w:val="000000"/>
        </w:rPr>
        <w:t>– On September 5, 2023, we announced a share repurchase program that grants the Company authority to repurchase up to $50</w:t>
      </w:r>
      <w:r>
        <w:rPr>
          <w:rFonts w:ascii="Times New Roman" w:cs="Times New Roman" w:eastAsia="Times New Roman" w:hAnsi="Times New Roman"/>
          <w:sz w:val="18"/>
          <w:szCs w:val="18"/>
          <w:b w:val="1"/>
          <w:bCs w:val="1"/>
          <w:i w:val="1"/>
          <w:iCs w:val="1"/>
          <w:color w:val="221E1F"/>
        </w:rPr>
        <w:t xml:space="preserve"> </w:t>
      </w:r>
      <w:r>
        <w:rPr>
          <w:rFonts w:ascii="Times New Roman" w:cs="Times New Roman" w:eastAsia="Times New Roman" w:hAnsi="Times New Roman"/>
          <w:sz w:val="18"/>
          <w:szCs w:val="18"/>
          <w:color w:val="000000"/>
        </w:rPr>
        <w:t xml:space="preserve">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of 1934, as amended, in accordance with applicable securities laws and other restrictions.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No shares were repurchased during the year ended December 31, 2025. During the years ended December 31, 2024 </w:t>
      </w:r>
      <w:r>
        <w:rPr>
          <w:rFonts w:ascii="Times New Roman" w:cs="Times New Roman" w:eastAsia="Times New Roman" w:hAnsi="Times New Roman"/>
          <w:sz w:val="18"/>
          <w:szCs w:val="18"/>
          <w:color w:val="221E1F"/>
        </w:rPr>
        <w:t>and 2023</w:t>
      </w:r>
      <w:r>
        <w:rPr>
          <w:rFonts w:ascii="Times New Roman" w:cs="Times New Roman" w:eastAsia="Times New Roman" w:hAnsi="Times New Roman"/>
          <w:sz w:val="18"/>
          <w:szCs w:val="18"/>
          <w:color w:val="000000"/>
        </w:rPr>
        <w:t>, we repurchased an aggregate 4.0 million shares and 0.5 million shares, respectively, of our common stock for $33.2 million and $4.8 million, respectively. As of December 31, 2025, approximately $12.1 million remains available under the share repurchase program.</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00"/>
          </w:cols>
          <w:pgMar w:left="340" w:top="760" w:right="378"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Condensed Financial Information of Registrant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presents the condensed financial information of our parent company on a standalone basis.</w:t>
      </w:r>
    </w:p>
    <w:p>
      <w:pPr>
        <w:spacing w:after="0" w:line="11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7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3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Borders>
              <w:right w:val="single" w:sz="8" w:color="CFF0FC"/>
            </w:tcBorders>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1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206,260</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216,926</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580" w:type="dxa"/>
            <w:vAlign w:val="bottom"/>
          </w:tcPr>
          <w:p>
            <w:pPr>
              <w:spacing w:after="0"/>
              <w:rPr>
                <w:sz w:val="22"/>
                <w:szCs w:val="22"/>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208,945</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219,723</w:t>
            </w:r>
          </w:p>
        </w:tc>
        <w:tc>
          <w:tcPr>
            <w:tcW w:w="80" w:type="dxa"/>
            <w:vAlign w:val="bottom"/>
            <w:tcBorders>
              <w:bottom w:val="single" w:sz="8" w:color="CFF0FC"/>
              <w:right w:val="single" w:sz="8" w:color="CFF0FC"/>
            </w:tcBorders>
            <w:shd w:val="clear" w:color="auto" w:fill="CFF0FC"/>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8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vMerge w:val="continue"/>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33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Investments and payables with subsidiaries</w:t>
            </w:r>
          </w:p>
        </w:tc>
        <w:tc>
          <w:tcPr>
            <w:tcW w:w="1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150,362</w:t>
            </w: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107,816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150,399</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101,129</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69,324</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208,945</w:t>
            </w:r>
          </w:p>
        </w:tc>
        <w:tc>
          <w:tcPr>
            <w:tcW w:w="7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219,723</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6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Gogo Inc.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5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580" w:type="dxa"/>
            <w:vAlign w:val="bottom"/>
          </w:tcPr>
          <w:p>
            <w:pPr>
              <w:spacing w:after="0"/>
              <w:rPr>
                <w:sz w:val="18"/>
                <w:szCs w:val="18"/>
                <w:color w:val="auto"/>
              </w:rPr>
            </w:pPr>
          </w:p>
        </w:tc>
        <w:tc>
          <w:tcPr>
            <w:tcW w:w="7020" w:type="dxa"/>
            <w:vAlign w:val="bottom"/>
            <w:gridSpan w:val="11"/>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 and Comprehensive Income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520" w:type="dxa"/>
            <w:vAlign w:val="bottom"/>
            <w:gridSpan w:val="3"/>
          </w:tcPr>
          <w:p>
            <w:pPr>
              <w:jc w:val="center"/>
              <w:ind w:right="56"/>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0" w:type="dxa"/>
            <w:vAlign w:val="bottom"/>
            <w:gridSpan w:val="12"/>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ind w:right="28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80" w:type="dxa"/>
            <w:vAlign w:val="bottom"/>
            <w:tcBorders>
              <w:right w:val="single" w:sz="8" w:color="CFF0FC"/>
            </w:tcBorders>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Borders>
              <w:right w:val="single" w:sz="8" w:color="CFF0FC"/>
            </w:tcBorders>
          </w:tcPr>
          <w:p>
            <w:pPr>
              <w:spacing w:after="0"/>
              <w:rPr>
                <w:sz w:val="19"/>
                <w:szCs w:val="19"/>
                <w:color w:val="auto"/>
              </w:rPr>
            </w:pPr>
          </w:p>
        </w:tc>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5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right w:val="single" w:sz="8" w:color="CFF0FC"/>
            </w:tcBorders>
          </w:tcPr>
          <w:p>
            <w:pPr>
              <w:spacing w:after="0"/>
              <w:rPr>
                <w:sz w:val="19"/>
                <w:szCs w:val="19"/>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(2,624)</w:t>
            </w:r>
          </w:p>
        </w:tc>
        <w:tc>
          <w:tcPr>
            <w:tcW w:w="15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2,624</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Borders>
              <w:right w:val="single" w:sz="8" w:color="CFF0FC"/>
            </w:tcBorders>
          </w:tcPr>
          <w:p>
            <w:pPr>
              <w:spacing w:after="0"/>
              <w:rPr>
                <w:sz w:val="19"/>
                <w:szCs w:val="19"/>
                <w:color w:val="auto"/>
              </w:rPr>
            </w:pPr>
          </w:p>
        </w:tc>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(48,075)</w:t>
            </w:r>
          </w:p>
        </w:tc>
        <w:tc>
          <w:tcPr>
            <w:tcW w:w="15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(gains) losses of subsidiaries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(18,316)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(94,979)</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580" w:type="dxa"/>
            <w:vAlign w:val="bottom"/>
            <w:tcBorders>
              <w:right w:val="single" w:sz="8" w:color="CFF0FC"/>
            </w:tcBorders>
          </w:tcPr>
          <w:p>
            <w:pPr>
              <w:spacing w:after="0"/>
              <w:rPr>
                <w:sz w:val="22"/>
                <w:szCs w:val="22"/>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CFF0FC"/>
            </w:tcBorders>
            <w:gridSpan w:val="2"/>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145,678</w:t>
            </w:r>
          </w:p>
        </w:tc>
        <w:tc>
          <w:tcPr>
            <w:tcW w:w="1580" w:type="dxa"/>
            <w:vAlign w:val="bottom"/>
            <w:tcBorders>
              <w:left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20" w:type="dxa"/>
            <w:vAlign w:val="bottom"/>
          </w:tcPr>
          <w:p>
            <w:pPr>
              <w:spacing w:after="0"/>
              <w:rPr>
                <w:sz w:val="18"/>
                <w:szCs w:val="18"/>
                <w:color w:val="auto"/>
              </w:rPr>
            </w:pP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2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145,678</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6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96</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-4174490</wp:posOffset>
            </wp:positionV>
            <wp:extent cx="122555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1225550" cy="171450"/>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-3574415</wp:posOffset>
            </wp:positionV>
            <wp:extent cx="51435"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6099175</wp:posOffset>
            </wp:positionH>
            <wp:positionV relativeFrom="paragraph">
              <wp:posOffset>-3574415</wp:posOffset>
            </wp:positionV>
            <wp:extent cx="51435"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-3274060</wp:posOffset>
            </wp:positionV>
            <wp:extent cx="51435" cy="1797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6099175</wp:posOffset>
            </wp:positionH>
            <wp:positionV relativeFrom="paragraph">
              <wp:posOffset>-3274060</wp:posOffset>
            </wp:positionV>
            <wp:extent cx="51435" cy="1797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-1704975</wp:posOffset>
            </wp:positionV>
            <wp:extent cx="51435"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-1704975</wp:posOffset>
            </wp:positionV>
            <wp:extent cx="51435"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-1704975</wp:posOffset>
            </wp:positionV>
            <wp:extent cx="51435"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-1105535</wp:posOffset>
            </wp:positionV>
            <wp:extent cx="1551305" cy="1974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1551305" cy="19748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7"/>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145,678</w:t>
            </w:r>
          </w:p>
        </w:tc>
        <w:tc>
          <w:tcPr>
            <w:tcW w:w="10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Subsidiary equity (gains) losses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(26,157)</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(94,979)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(49,172)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equity investment</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(2,810)</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and advances with subsidiaries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Purchase of equity investment</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sale of equity investment</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(33,185)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(4,822)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activity</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(8,230)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(19,888)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37,174</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3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19"/>
                <w:szCs w:val="19"/>
                <w:color w:val="auto"/>
              </w:rPr>
            </w:pP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1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19"/>
                <w:szCs w:val="19"/>
                <w:color w:val="auto"/>
              </w:rPr>
            </w:pP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6870700</wp:posOffset>
            </wp:positionH>
            <wp:positionV relativeFrom="paragraph">
              <wp:posOffset>-3496945</wp:posOffset>
            </wp:positionV>
            <wp:extent cx="68580" cy="1631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-2605405</wp:posOffset>
            </wp:positionV>
            <wp:extent cx="5969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-2605405</wp:posOffset>
            </wp:positionV>
            <wp:extent cx="6858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6870700</wp:posOffset>
            </wp:positionH>
            <wp:positionV relativeFrom="paragraph">
              <wp:posOffset>-2605405</wp:posOffset>
            </wp:positionV>
            <wp:extent cx="6858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-1704975</wp:posOffset>
            </wp:positionV>
            <wp:extent cx="59690" cy="1797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-1704975</wp:posOffset>
            </wp:positionV>
            <wp:extent cx="68580" cy="1797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6870700</wp:posOffset>
            </wp:positionH>
            <wp:positionV relativeFrom="paragraph">
              <wp:posOffset>-1704975</wp:posOffset>
            </wp:positionV>
            <wp:extent cx="68580" cy="1797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4967605</wp:posOffset>
            </wp:positionH>
            <wp:positionV relativeFrom="paragraph">
              <wp:posOffset>-1087755</wp:posOffset>
            </wp:positionV>
            <wp:extent cx="59690" cy="1797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-1087755</wp:posOffset>
            </wp:positionV>
            <wp:extent cx="68580" cy="1797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6870700</wp:posOffset>
            </wp:positionH>
            <wp:positionV relativeFrom="paragraph">
              <wp:posOffset>-1087755</wp:posOffset>
            </wp:positionV>
            <wp:extent cx="68580" cy="1797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ectPr>
          <w:pgSz w:w="11920" w:h="16838" w:orient="portrait"/>
          <w:cols w:equalWidth="0" w:num="1">
            <w:col w:w="11260"/>
          </w:cols>
          <w:pgMar w:left="340" w:top="760" w:right="318" w:bottom="1440" w:gutter="0" w:footer="0" w:header="0"/>
        </w:sectPr>
      </w:pPr>
    </w:p>
    <w:bookmarkStart w:id="99" w:name="page100"/>
    <w:bookmarkEnd w:id="99"/>
    <w:p>
      <w:pPr>
        <w:ind w:left="7"/>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left="7" w:right="320" w:firstLine="511"/>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evaluated the effectiveness of the Company’s disclosure controls and procedures, as defined in Rules 13a-15(e) and 15d-15(e) under the Exchange Act, as of December 31, 2025. Based upon this evaluation, our Chief Executive Officer and Chief Financial Officer have concluded that our disclosure controls and procedures were not effective as of December 31, 2025 due to a material weakness in internal control over financial reporting, as described below.</w:t>
      </w:r>
    </w:p>
    <w:p>
      <w:pPr>
        <w:spacing w:after="0" w:line="72" w:lineRule="exact"/>
        <w:rPr>
          <w:sz w:val="20"/>
          <w:szCs w:val="20"/>
          <w:color w:val="auto"/>
        </w:rPr>
      </w:pPr>
    </w:p>
    <w:p>
      <w:pPr>
        <w:ind w:left="7" w:right="20" w:firstLine="511"/>
        <w:spacing w:after="0" w:line="261" w:lineRule="auto"/>
        <w:rPr>
          <w:sz w:val="20"/>
          <w:szCs w:val="20"/>
          <w:color w:val="auto"/>
        </w:rPr>
      </w:pPr>
      <w:r>
        <w:rPr>
          <w:rFonts w:ascii="Times New Roman" w:cs="Times New Roman" w:eastAsia="Times New Roman" w:hAnsi="Times New Roman"/>
          <w:sz w:val="18"/>
          <w:szCs w:val="18"/>
          <w:color w:val="auto"/>
        </w:rPr>
        <w:t>Notwithstanding the ineffective disclosure controls and procedures due to the material weakness in internal control over financial reporting, our Chief Executive Officer and Chief Financial Officer have concluded that the consolidated financial statements in this Annual Report on Form 10-K present fairly, in all material respects, our financial position, results of operations and cash flows in conformity with accounting principles generally accepted in the United States of America (“U.S. GAAP”).</w:t>
      </w:r>
    </w:p>
    <w:p>
      <w:pPr>
        <w:spacing w:after="0" w:line="68"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121" w:lineRule="exact"/>
        <w:rPr>
          <w:sz w:val="20"/>
          <w:szCs w:val="20"/>
          <w:color w:val="auto"/>
        </w:rPr>
      </w:pPr>
    </w:p>
    <w:p>
      <w:pPr>
        <w:ind w:left="7" w:firstLine="511"/>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is responsible for establishing and maintaining adequate internal control over financial reporting, as defined in Rules 13a-15(f) and 15d-15(f) under the Exchange Act, and based upon the criteria established in Internal Control-Integrated Framework (2013) issued by the Committee of Sponsoring Organizations of the Treadway Commission (“the COSO framework”). Gogo’s internal control over financial reporting is designed to provide reasonable assurance regarding the reliability of financial reporting and the preparation and fair presentation of its published financial statements in accordance with U.S. GAAP.</w:t>
      </w:r>
    </w:p>
    <w:p>
      <w:pPr>
        <w:spacing w:after="0" w:line="75" w:lineRule="exact"/>
        <w:rPr>
          <w:sz w:val="20"/>
          <w:szCs w:val="20"/>
          <w:color w:val="auto"/>
        </w:rPr>
      </w:pPr>
    </w:p>
    <w:p>
      <w:pPr>
        <w:ind w:left="7" w:right="180" w:firstLine="511"/>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assessed the effectiveness of our internal control over financial reporting based on the COSO framework. Based on our assessment, our management concluded that our internal control over financial reporting was not effective as of December 31, 2025, due to the material weakness described below.</w:t>
      </w:r>
    </w:p>
    <w:p>
      <w:pPr>
        <w:spacing w:after="0" w:line="68" w:lineRule="exact"/>
        <w:rPr>
          <w:sz w:val="20"/>
          <w:szCs w:val="20"/>
          <w:color w:val="auto"/>
        </w:rPr>
      </w:pPr>
    </w:p>
    <w:p>
      <w:pPr>
        <w:ind w:left="7" w:right="380" w:firstLine="511"/>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4"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The following material weakness disclosed in the Annual Report on Form 10-K for the year ended December 31, 2024 remains unremediated as of</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December 31, 2025:</w:t>
      </w:r>
    </w:p>
    <w:p>
      <w:pPr>
        <w:spacing w:after="0" w:line="99" w:lineRule="exact"/>
        <w:rPr>
          <w:sz w:val="20"/>
          <w:szCs w:val="20"/>
          <w:color w:val="auto"/>
        </w:rPr>
      </w:pPr>
    </w:p>
    <w:p>
      <w:pPr>
        <w:ind w:left="507" w:right="140" w:hanging="507"/>
        <w:spacing w:after="0" w:line="282" w:lineRule="auto"/>
        <w:tabs>
          <w:tab w:leader="none" w:pos="50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insufficient effective controls in place at Satcom Direct to ensure the completeness and accuracy of Satcom Direct’s financial reporting information that is consolidated into Gogo’s financial statements, due to the following deficiencies at Satcom Direct:</w:t>
      </w:r>
    </w:p>
    <w:p>
      <w:pPr>
        <w:spacing w:after="0" w:line="54" w:lineRule="exact"/>
        <w:rPr>
          <w:sz w:val="20"/>
          <w:szCs w:val="20"/>
          <w:color w:val="auto"/>
        </w:rPr>
      </w:pPr>
    </w:p>
    <w:p>
      <w:pPr>
        <w:ind w:left="1267" w:right="200" w:hanging="516"/>
        <w:spacing w:after="0" w:line="255" w:lineRule="auto"/>
        <w:tabs>
          <w:tab w:leader="none" w:pos="12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Satcom Direct had ineffective general information technology controls (“GITCs”) over relevant information technology (“IT”) systems. Specifically, Satcom Direct management did not design and maintain effective GITCs for information systems and applications that are relevant to the preparation of the consolidated financial statements. Specifically, they did not design and maintain: (i) sufficient user access controls to ensure appropriate segregation of duties and adequately restrict user and privileged access to financial applications, programs and data to appropriate company personnel; and (ii) program change management controls to ensure that IT program and data changes affecting financial IT applications and underlying accounting records are identified, tested, authorized and implemented appropriately with appropriate segregation of duties.</w:t>
      </w:r>
    </w:p>
    <w:p>
      <w:pPr>
        <w:spacing w:after="0" w:line="80" w:lineRule="exact"/>
        <w:rPr>
          <w:rFonts w:ascii="Times New Roman" w:cs="Times New Roman" w:eastAsia="Times New Roman" w:hAnsi="Times New Roman"/>
          <w:sz w:val="18"/>
          <w:szCs w:val="18"/>
          <w:color w:val="auto"/>
        </w:rPr>
      </w:pPr>
    </w:p>
    <w:p>
      <w:pPr>
        <w:ind w:left="1267" w:right="340" w:hanging="516"/>
        <w:spacing w:after="0" w:line="282" w:lineRule="auto"/>
        <w:tabs>
          <w:tab w:leader="none" w:pos="12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Satcom Direct’s management did not design and implement control activities necessary to provide reasonable assurance regarding the reliability of financial reporting and the preparation of financial statements.</w:t>
      </w:r>
    </w:p>
    <w:p>
      <w:pPr>
        <w:spacing w:after="0" w:line="54" w:lineRule="exact"/>
        <w:rPr>
          <w:sz w:val="20"/>
          <w:szCs w:val="20"/>
          <w:color w:val="auto"/>
        </w:rPr>
      </w:pPr>
    </w:p>
    <w:p>
      <w:pPr>
        <w:jc w:val="both"/>
        <w:ind w:left="7" w:right="120" w:firstLine="511"/>
        <w:spacing w:after="0" w:line="266" w:lineRule="auto"/>
        <w:rPr>
          <w:sz w:val="20"/>
          <w:szCs w:val="20"/>
          <w:color w:val="auto"/>
        </w:rPr>
      </w:pPr>
      <w:r>
        <w:rPr>
          <w:rFonts w:ascii="Times New Roman" w:cs="Times New Roman" w:eastAsia="Times New Roman" w:hAnsi="Times New Roman"/>
          <w:sz w:val="18"/>
          <w:szCs w:val="18"/>
          <w:color w:val="auto"/>
        </w:rPr>
        <w:t>Deloitte &amp; Touche LLP, the Company’s independent registered public accounting firm, has issued an attestation report on our internal control over financial reporting as of December 31, 2025, which report is included on Page 100 of this Annual Report on Form 10-K under the caption entitled “Report of Independent Registered Public Accounting Firm.”</w:t>
      </w:r>
    </w:p>
    <w:p>
      <w:pPr>
        <w:spacing w:after="0" w:line="64"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 in Internal Control over Financial Reporting</w:t>
      </w:r>
    </w:p>
    <w:p>
      <w:pPr>
        <w:spacing w:after="0" w:line="121" w:lineRule="exact"/>
        <w:rPr>
          <w:sz w:val="20"/>
          <w:szCs w:val="20"/>
          <w:color w:val="auto"/>
        </w:rPr>
      </w:pPr>
    </w:p>
    <w:p>
      <w:pPr>
        <w:ind w:left="7" w:right="700" w:firstLine="51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with the oversight of the Audit Committee of our Board of Directors, we began implementing a remediation plan to address the material weakness described above. Action items include the following:</w:t>
      </w:r>
    </w:p>
    <w:p>
      <w:pPr>
        <w:spacing w:after="0" w:line="5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621665</wp:posOffset>
            </wp:positionV>
            <wp:extent cx="71831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7"/>
          </w:cols>
          <w:pgMar w:left="333" w:top="1300" w:right="338" w:bottom="1440" w:gutter="0" w:footer="0" w:header="0"/>
        </w:sectPr>
      </w:pPr>
    </w:p>
    <w:bookmarkStart w:id="100" w:name="page101"/>
    <w:bookmarkEnd w:id="100"/>
    <w:p>
      <w:pPr>
        <w:ind w:left="507" w:right="580" w:hanging="507"/>
        <w:spacing w:after="0" w:line="282" w:lineRule="auto"/>
        <w:tabs>
          <w:tab w:leader="none" w:pos="5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finance and accounting team, including hiring additional individuals with the requisite public company financial reporting, accounting, and internal control knowledge and experience.</w:t>
      </w:r>
    </w:p>
    <w:p>
      <w:pPr>
        <w:spacing w:after="0" w:line="53"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designed and implemented effective GITCs related to user access and change management over relevant Satcom Direct’s IT systems.</w:t>
      </w:r>
    </w:p>
    <w:p>
      <w:pPr>
        <w:spacing w:after="0" w:line="117" w:lineRule="exact"/>
        <w:rPr>
          <w:sz w:val="20"/>
          <w:szCs w:val="20"/>
          <w:color w:val="auto"/>
        </w:rPr>
      </w:pPr>
    </w:p>
    <w:p>
      <w:pPr>
        <w:ind w:left="7" w:right="120" w:firstLine="511"/>
        <w:spacing w:after="0" w:line="282" w:lineRule="auto"/>
        <w:rPr>
          <w:sz w:val="20"/>
          <w:szCs w:val="20"/>
          <w:color w:val="auto"/>
        </w:rPr>
      </w:pPr>
      <w:r>
        <w:rPr>
          <w:rFonts w:ascii="Times New Roman" w:cs="Times New Roman" w:eastAsia="Times New Roman" w:hAnsi="Times New Roman"/>
          <w:sz w:val="18"/>
          <w:szCs w:val="18"/>
          <w:color w:val="auto"/>
        </w:rPr>
        <w:t>While we believe that our efforts have improved our internal control over financial reporting, remediation of the material weakness as of December 31, 2025 is expected to require further strengthening of our internal control environment and substantial effort throughout 2026, including:</w:t>
      </w:r>
    </w:p>
    <w:p>
      <w:pPr>
        <w:spacing w:after="0" w:line="54" w:lineRule="exact"/>
        <w:rPr>
          <w:sz w:val="20"/>
          <w:szCs w:val="20"/>
          <w:color w:val="auto"/>
        </w:rPr>
      </w:pPr>
    </w:p>
    <w:p>
      <w:pPr>
        <w:ind w:left="507" w:hanging="507"/>
        <w:spacing w:after="0"/>
        <w:tabs>
          <w:tab w:leader="none" w:pos="5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design and implement internal control over financial reporting for processes specific to Satcom Direct.</w:t>
      </w:r>
    </w:p>
    <w:p>
      <w:pPr>
        <w:spacing w:after="0" w:line="117" w:lineRule="exact"/>
        <w:rPr>
          <w:rFonts w:ascii="Times New Roman" w:cs="Times New Roman" w:eastAsia="Times New Roman" w:hAnsi="Times New Roman"/>
          <w:sz w:val="18"/>
          <w:szCs w:val="18"/>
          <w:color w:val="auto"/>
        </w:rPr>
      </w:pPr>
    </w:p>
    <w:p>
      <w:pPr>
        <w:ind w:left="507" w:right="20" w:hanging="507"/>
        <w:spacing w:after="0" w:line="282" w:lineRule="auto"/>
        <w:tabs>
          <w:tab w:leader="none" w:pos="5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Migrating from or enhancing certain legacy Satcom Direct IT systems to allow for the ability to obtain sufficiently reliable information and facilitate the effective design, implementation and operating effectiveness of relevant internal control over financial reporting.</w:t>
      </w:r>
    </w:p>
    <w:p>
      <w:pPr>
        <w:spacing w:after="0" w:line="53" w:lineRule="exact"/>
        <w:rPr>
          <w:rFonts w:ascii="Times New Roman" w:cs="Times New Roman" w:eastAsia="Times New Roman" w:hAnsi="Times New Roman"/>
          <w:sz w:val="18"/>
          <w:szCs w:val="18"/>
          <w:color w:val="auto"/>
        </w:rPr>
      </w:pPr>
    </w:p>
    <w:p>
      <w:pPr>
        <w:ind w:left="507" w:right="540" w:hanging="507"/>
        <w:spacing w:after="0" w:line="282" w:lineRule="auto"/>
        <w:tabs>
          <w:tab w:leader="none" w:pos="5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Migrating from or enhancing certain legacy Satcom Direct IT systems to improve functionality and sufficiently enforce segregation of duties, including segregation of duties related to the posting and review of manual journal entries.</w:t>
      </w:r>
    </w:p>
    <w:p>
      <w:pPr>
        <w:spacing w:after="0" w:line="54" w:lineRule="exact"/>
        <w:rPr>
          <w:sz w:val="20"/>
          <w:szCs w:val="20"/>
          <w:color w:val="auto"/>
        </w:rPr>
      </w:pPr>
    </w:p>
    <w:p>
      <w:pPr>
        <w:ind w:left="7" w:right="40" w:firstLine="511"/>
        <w:spacing w:after="0" w:line="312" w:lineRule="auto"/>
        <w:rPr>
          <w:sz w:val="20"/>
          <w:szCs w:val="20"/>
          <w:color w:val="auto"/>
        </w:rPr>
      </w:pPr>
      <w:r>
        <w:rPr>
          <w:rFonts w:ascii="Times New Roman" w:cs="Times New Roman" w:eastAsia="Times New Roman" w:hAnsi="Times New Roman"/>
          <w:sz w:val="17"/>
          <w:szCs w:val="17"/>
          <w:color w:val="auto"/>
        </w:rPr>
        <w:t>We will test the effectiveness of the new and existing controls in future periods. The material weakness cannot be considered completely remediated until the applicable controls have been implemented and management has concluded, through testing, that these controls are operating effectively.</w:t>
      </w:r>
    </w:p>
    <w:p>
      <w:pPr>
        <w:spacing w:after="0" w:line="28"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w:t>
      </w:r>
    </w:p>
    <w:p>
      <w:pPr>
        <w:spacing w:after="0" w:line="121" w:lineRule="exact"/>
        <w:rPr>
          <w:sz w:val="20"/>
          <w:szCs w:val="20"/>
          <w:color w:val="auto"/>
        </w:rPr>
      </w:pPr>
    </w:p>
    <w:p>
      <w:pPr>
        <w:jc w:val="both"/>
        <w:ind w:left="7" w:firstLine="511"/>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implemented controls related to complex accounting transactions, including the review of third-party specialists’ work and the reasonableness of key assumptions, methodologies and underlying data. This remediation plan was aimed at addressing a separate material weakness in internal control over financial reporting, which existed as of December 31, 2024, as disclosed in our Annual Report on Form 10-K for the fiscal year ended December 31, 2024, relating to controls over the accounting for the Satcom Direct acquisition. As a result of these remediation steps in 2025, this material weakness in internal control over financial reporting no longer existed as of December 31, 2025.</w:t>
      </w:r>
    </w:p>
    <w:p>
      <w:pPr>
        <w:spacing w:after="0" w:line="71"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21" w:lineRule="exact"/>
        <w:rPr>
          <w:sz w:val="20"/>
          <w:szCs w:val="20"/>
          <w:color w:val="auto"/>
        </w:rPr>
      </w:pPr>
    </w:p>
    <w:p>
      <w:pPr>
        <w:ind w:left="7" w:right="40" w:firstLine="511"/>
        <w:spacing w:after="0" w:line="266" w:lineRule="auto"/>
        <w:rPr>
          <w:sz w:val="20"/>
          <w:szCs w:val="20"/>
          <w:color w:val="auto"/>
        </w:rPr>
      </w:pPr>
      <w:r>
        <w:rPr>
          <w:rFonts w:ascii="Times New Roman" w:cs="Times New Roman" w:eastAsia="Times New Roman" w:hAnsi="Times New Roman"/>
          <w:sz w:val="18"/>
          <w:szCs w:val="18"/>
          <w:color w:val="auto"/>
        </w:rPr>
        <w:t>Except as described above, 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 w:right="280" w:firstLine="511"/>
        <w:spacing w:after="0" w:line="257" w:lineRule="auto"/>
        <w:rPr>
          <w:sz w:val="20"/>
          <w:szCs w:val="20"/>
          <w:color w:val="auto"/>
        </w:rPr>
      </w:pPr>
      <w:r>
        <w:rPr>
          <w:rFonts w:ascii="Times New Roman" w:cs="Times New Roman" w:eastAsia="Times New Roman" w:hAnsi="Times New Roman"/>
          <w:sz w:val="18"/>
          <w:szCs w:val="18"/>
          <w:color w:val="auto"/>
        </w:rPr>
        <w:t>On December 15, 2025, director (and then-Executive Chair) Oakleigh Thorne adopted a Rule 10b5-1 trading arrangement, which is intended to satisfy the affirmative defense of Rule 10b5-1(c) under the Exchange Act. The arrangement provides for the potential sale of up to 325,409 shares of the Company’s common stock and expires on February 15, 2027, unless earlier terminated in accordance with its terms. No sales may occur under the</w:t>
      </w:r>
    </w:p>
    <w:p>
      <w:pPr>
        <w:spacing w:after="0" w:line="1" w:lineRule="exact"/>
        <w:rPr>
          <w:sz w:val="20"/>
          <w:szCs w:val="20"/>
          <w:color w:val="auto"/>
        </w:rPr>
      </w:pPr>
    </w:p>
    <w:p>
      <w:pPr>
        <w:ind w:left="7" w:right="160"/>
        <w:spacing w:after="0" w:line="230" w:lineRule="auto"/>
        <w:rPr>
          <w:sz w:val="20"/>
          <w:szCs w:val="20"/>
          <w:color w:val="auto"/>
        </w:rPr>
      </w:pPr>
      <w:r>
        <w:rPr>
          <w:rFonts w:ascii="Times New Roman" w:cs="Times New Roman" w:eastAsia="Times New Roman" w:hAnsi="Times New Roman"/>
          <w:sz w:val="18"/>
          <w:szCs w:val="18"/>
          <w:color w:val="auto"/>
        </w:rPr>
        <w:t>arrangement until August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2026, presumably after the Company’s Q2 2026 earnings release. The plan is intended to facilitate certain estate and other financial planning initiatives, and the minimum sale price under the plan is substantially higher than the closing price of the Company’s common stock on the date of this Annual Report on Form 10-K.</w:t>
      </w:r>
    </w:p>
    <w:p>
      <w:pPr>
        <w:spacing w:after="0" w:line="90" w:lineRule="exact"/>
        <w:rPr>
          <w:sz w:val="20"/>
          <w:szCs w:val="20"/>
          <w:color w:val="auto"/>
        </w:rPr>
      </w:pPr>
    </w:p>
    <w:p>
      <w:pPr>
        <w:ind w:left="7" w:right="20" w:firstLine="511"/>
        <w:spacing w:after="0" w:line="282" w:lineRule="auto"/>
        <w:rPr>
          <w:sz w:val="20"/>
          <w:szCs w:val="20"/>
          <w:color w:val="auto"/>
        </w:rPr>
      </w:pPr>
      <w:r>
        <w:rPr>
          <w:rFonts w:ascii="Times New Roman" w:cs="Times New Roman" w:eastAsia="Times New Roman" w:hAnsi="Times New Roman"/>
          <w:sz w:val="18"/>
          <w:szCs w:val="18"/>
          <w:color w:val="auto"/>
        </w:rPr>
        <w:t>Except as described above, during the fiscal quarter ended December 31, 2025, none of our directors or officers adopted or terminated a “Rule 10b5-1 trading arrangement” or “non-Rule 10b5-1 trading arrangement” as such terms are defined in Item 408 of Regulation S-K.</w:t>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47"/>
          </w:cols>
          <w:pgMar w:left="333" w:top="1088" w:right="338" w:bottom="1440" w:gutter="0" w:footer="0" w:header="0"/>
        </w:sectPr>
      </w:pPr>
    </w:p>
    <w:bookmarkStart w:id="101" w:name="page102"/>
    <w:bookmarkEnd w:id="101"/>
    <w:p>
      <w:pPr>
        <w:ind w:left="7" w:right="51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Gogo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Gogo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COSO.</w:t>
      </w:r>
    </w:p>
    <w:p>
      <w:pPr>
        <w:spacing w:after="0" w:line="75"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27, 2026, expressed an unqualified opinion on those financial statements.</w:t>
      </w:r>
    </w:p>
    <w:p>
      <w:pPr>
        <w:spacing w:after="0" w:line="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ind w:left="7"/>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21"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68"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8"/>
          <w:szCs w:val="18"/>
          <w:color w:val="auto"/>
        </w:rPr>
        <w:t>A material weakness exists in controls over the financial close and reporting process as a result of the Satcom Direct acquisition in 2024. Specifically, there were insufficient effective controls in place to ensure the completeness and accuracy of Satcom Direct's financial reporting information that is consolidated into the Company's financial statements. This material weakness was due to the following deficiencies at Satcom Direct:</w:t>
      </w:r>
    </w:p>
    <w:p>
      <w:pPr>
        <w:spacing w:after="0" w:line="68" w:lineRule="exact"/>
        <w:rPr>
          <w:sz w:val="20"/>
          <w:szCs w:val="20"/>
          <w:color w:val="auto"/>
        </w:rPr>
      </w:pPr>
    </w:p>
    <w:p>
      <w:pPr>
        <w:jc w:val="both"/>
        <w:ind w:left="447" w:hanging="447"/>
        <w:spacing w:after="0" w:line="255" w:lineRule="auto"/>
        <w:tabs>
          <w:tab w:leader="none" w:pos="4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Satcom Direct had ineffective general information technology controls ("GITCs") over relevant information technology ("IT") systems. Specifically, Satcom Direct management did not design and maintain effective GITCs for information systems and applications that are relevant to the preparation of the consolidated financial statements. Specifically, they did not design and maintain: (i) sufficient user access controls to ensure appropriate segregation of duties and adequately restrict user and privileged access to financial applications, programs and data to appropriate company personnel and (ii) program change management controls to ensure that information technology, or IT, program and data changes affecting financial IT applications and underlying accounting records are identified, tested, authorized and implemented appropriately with appropriate segregation of duties.</w:t>
      </w:r>
    </w:p>
    <w:p>
      <w:pPr>
        <w:spacing w:after="0" w:line="2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192" w:right="318" w:bottom="1440" w:gutter="0" w:footer="0" w:header="0"/>
        </w:sectPr>
      </w:pPr>
    </w:p>
    <w:bookmarkStart w:id="102" w:name="page103"/>
    <w:bookmarkEnd w:id="102"/>
    <w:p>
      <w:pPr>
        <w:ind w:left="447" w:hanging="447"/>
        <w:spacing w:after="0" w:line="282" w:lineRule="auto"/>
        <w:tabs>
          <w:tab w:leader="none" w:pos="4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Satcom Direct management did not design and implement control activities necessary to provide reasonable assurance regarding the reliability of financial reporting and the preparation of financial statements.</w:t>
      </w:r>
    </w:p>
    <w:p>
      <w:pPr>
        <w:spacing w:after="0" w:line="54" w:lineRule="exact"/>
        <w:rPr>
          <w:sz w:val="20"/>
          <w:szCs w:val="20"/>
          <w:color w:val="auto"/>
        </w:rPr>
      </w:pPr>
    </w:p>
    <w:p>
      <w:pPr>
        <w:ind w:left="7"/>
        <w:spacing w:after="0" w:line="282" w:lineRule="auto"/>
        <w:rPr>
          <w:sz w:val="20"/>
          <w:szCs w:val="20"/>
          <w:color w:val="auto"/>
        </w:rPr>
      </w:pPr>
      <w:r>
        <w:rPr>
          <w:rFonts w:ascii="Times New Roman" w:cs="Times New Roman" w:eastAsia="Times New Roman" w:hAnsi="Times New Roman"/>
          <w:sz w:val="18"/>
          <w:szCs w:val="18"/>
          <w:color w:val="auto"/>
        </w:rPr>
        <w:t>This material weakness was considered in determining the nature, timing, and extent of audit tests applied in our audit of the consolidated financial statements as of and for the year ended December 31, 2025, of the Company, and this report does not affect our report on such financial statements.</w:t>
      </w:r>
    </w:p>
    <w:p>
      <w:pPr>
        <w:spacing w:after="0" w:line="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2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831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88" w:right="318" w:bottom="1440" w:gutter="0" w:footer="0" w:header="0"/>
        </w:sectPr>
      </w:pPr>
    </w:p>
    <w:bookmarkStart w:id="103" w:name="page104"/>
    <w:bookmarkEnd w:id="103"/>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7" w:right="320" w:firstLine="37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Securities and Exchange Commission (“SEC”) within 120 days of the fiscal year ended December 31, 2025.</w:t>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7" w:right="320" w:firstLine="37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7" w:firstLine="376"/>
        <w:spacing w:after="0" w:line="282" w:lineRule="auto"/>
        <w:rPr>
          <w:sz w:val="20"/>
          <w:szCs w:val="20"/>
          <w:color w:val="auto"/>
        </w:rPr>
      </w:pPr>
      <w:r>
        <w:rPr>
          <w:rFonts w:ascii="Times New Roman" w:cs="Times New Roman" w:eastAsia="Times New Roman" w:hAnsi="Times New Roman"/>
          <w:sz w:val="18"/>
          <w:szCs w:val="18"/>
          <w:color w:val="auto"/>
        </w:rPr>
        <w:t>Information appearing under the caption “Security Ownership of Certain Beneficial Owners and Management” in our Proxy Statement for the 2026 Annual Meeting of Stockholders to be filed with the SEC within 120 days of the fiscal year ended December 31, 2025 is incorporated herein by reference.</w:t>
      </w:r>
    </w:p>
    <w:p>
      <w:pPr>
        <w:spacing w:after="0" w:line="54" w:lineRule="exact"/>
        <w:rPr>
          <w:sz w:val="20"/>
          <w:szCs w:val="20"/>
          <w:color w:val="auto"/>
        </w:rPr>
      </w:pPr>
    </w:p>
    <w:p>
      <w:pPr>
        <w:ind w:left="7" w:firstLine="376"/>
        <w:spacing w:after="0" w:line="276"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reserved for issuance under our equity compensation plans as of the end of 2025:</w:t>
      </w:r>
    </w:p>
    <w:tbl>
      <w:tblPr>
        <w:tblLayout w:type="fixed"/>
        <w:tblInd w:w="17" w:type="dxa"/>
        <w:tblCellMar>
          <w:top w:w="0" w:type="dxa"/>
          <w:left w:w="0" w:type="dxa"/>
          <w:bottom w:w="0" w:type="dxa"/>
          <w:right w:w="0" w:type="dxa"/>
        </w:tblCellMar>
      </w:tblPr>
      <w:tr>
        <w:trPr>
          <w:trHeight w:val="119"/>
        </w:trPr>
        <w:tc>
          <w:tcPr>
            <w:tcW w:w="3520" w:type="dxa"/>
            <w:vAlign w:val="bottom"/>
            <w:tcBorders>
              <w:top w:val="single" w:sz="8" w:color="auto"/>
              <w:left w:val="single" w:sz="8" w:color="auto"/>
            </w:tcBorders>
          </w:tcPr>
          <w:p>
            <w:pPr>
              <w:spacing w:after="0"/>
              <w:rPr>
                <w:sz w:val="10"/>
                <w:szCs w:val="10"/>
                <w:color w:val="auto"/>
              </w:rPr>
            </w:pPr>
          </w:p>
        </w:tc>
        <w:tc>
          <w:tcPr>
            <w:tcW w:w="2900" w:type="dxa"/>
            <w:vAlign w:val="bottom"/>
            <w:tcBorders>
              <w:top w:val="single" w:sz="8" w:color="auto"/>
            </w:tcBorders>
          </w:tcPr>
          <w:p>
            <w:pPr>
              <w:spacing w:after="0"/>
              <w:rPr>
                <w:sz w:val="10"/>
                <w:szCs w:val="10"/>
                <w:color w:val="auto"/>
              </w:rPr>
            </w:pPr>
          </w:p>
        </w:tc>
        <w:tc>
          <w:tcPr>
            <w:tcW w:w="2400" w:type="dxa"/>
            <w:vAlign w:val="bottom"/>
            <w:tcBorders>
              <w:top w:val="single" w:sz="8" w:color="auto"/>
            </w:tcBorders>
          </w:tcPr>
          <w:p>
            <w:pPr>
              <w:spacing w:after="0"/>
              <w:rPr>
                <w:sz w:val="10"/>
                <w:szCs w:val="10"/>
                <w:color w:val="auto"/>
              </w:rPr>
            </w:pPr>
          </w:p>
        </w:tc>
        <w:tc>
          <w:tcPr>
            <w:tcW w:w="2460" w:type="dxa"/>
            <w:vAlign w:val="bottom"/>
            <w:tcBorders>
              <w:top w:val="single" w:sz="8" w:color="auto"/>
              <w:right w:val="single" w:sz="8" w:color="auto"/>
            </w:tcBorders>
          </w:tcPr>
          <w:p>
            <w:pPr>
              <w:jc w:val="center"/>
              <w:ind w:right="123"/>
              <w:spacing w:after="0" w:line="119"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520" w:type="dxa"/>
            <w:vAlign w:val="bottom"/>
            <w:tcBorders>
              <w:left w:val="single" w:sz="8" w:color="auto"/>
            </w:tcBorders>
          </w:tcPr>
          <w:p>
            <w:pPr>
              <w:spacing w:after="0"/>
              <w:rPr>
                <w:sz w:val="12"/>
                <w:szCs w:val="12"/>
                <w:color w:val="auto"/>
              </w:rPr>
            </w:pPr>
          </w:p>
        </w:tc>
        <w:tc>
          <w:tcPr>
            <w:tcW w:w="2900" w:type="dxa"/>
            <w:vAlign w:val="bottom"/>
            <w:vMerge w:val="restart"/>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40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 average exercise price of</w:t>
            </w:r>
          </w:p>
        </w:tc>
        <w:tc>
          <w:tcPr>
            <w:tcW w:w="2460" w:type="dxa"/>
            <w:vAlign w:val="bottom"/>
            <w:tcBorders>
              <w:right w:val="single" w:sz="8" w:color="auto"/>
            </w:tcBorders>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9"/>
        </w:trPr>
        <w:tc>
          <w:tcPr>
            <w:tcW w:w="3520" w:type="dxa"/>
            <w:vAlign w:val="bottom"/>
            <w:tcBorders>
              <w:left w:val="single" w:sz="8" w:color="auto"/>
            </w:tcBorders>
          </w:tcPr>
          <w:p>
            <w:pPr>
              <w:spacing w:after="0"/>
              <w:rPr>
                <w:sz w:val="12"/>
                <w:szCs w:val="12"/>
                <w:color w:val="auto"/>
              </w:rPr>
            </w:pPr>
          </w:p>
        </w:tc>
        <w:tc>
          <w:tcPr>
            <w:tcW w:w="290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2460" w:type="dxa"/>
            <w:vAlign w:val="bottom"/>
            <w:tcBorders>
              <w:right w:val="single" w:sz="8" w:color="auto"/>
            </w:tcBorders>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3520" w:type="dxa"/>
            <w:vAlign w:val="bottom"/>
            <w:tcBorders>
              <w:left w:val="single" w:sz="8" w:color="auto"/>
            </w:tcBorders>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900" w:type="dxa"/>
            <w:vAlign w:val="bottom"/>
          </w:tcPr>
          <w:p>
            <w:pPr>
              <w:jc w:val="cente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240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 and</w:t>
            </w:r>
          </w:p>
        </w:tc>
        <w:tc>
          <w:tcPr>
            <w:tcW w:w="2460" w:type="dxa"/>
            <w:vAlign w:val="bottom"/>
            <w:tcBorders>
              <w:right w:val="single" w:sz="8" w:color="auto"/>
            </w:tcBorders>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48"/>
        </w:trPr>
        <w:tc>
          <w:tcPr>
            <w:tcW w:w="3520" w:type="dxa"/>
            <w:vAlign w:val="bottom"/>
            <w:tcBorders>
              <w:left w:val="single" w:sz="8" w:color="auto"/>
            </w:tcBorders>
            <w:vMerge w:val="continue"/>
          </w:tcPr>
          <w:p>
            <w:pPr>
              <w:spacing w:after="0"/>
              <w:rPr>
                <w:sz w:val="12"/>
                <w:szCs w:val="12"/>
                <w:color w:val="auto"/>
              </w:rPr>
            </w:pPr>
          </w:p>
        </w:tc>
        <w:tc>
          <w:tcPr>
            <w:tcW w:w="2900" w:type="dxa"/>
            <w:vAlign w:val="bottom"/>
          </w:tcPr>
          <w:p>
            <w:pPr>
              <w:jc w:val="cente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 (#)</w:t>
            </w:r>
          </w:p>
        </w:tc>
        <w:tc>
          <w:tcPr>
            <w:tcW w:w="24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 ($)</w:t>
            </w:r>
          </w:p>
        </w:tc>
        <w:tc>
          <w:tcPr>
            <w:tcW w:w="2460" w:type="dxa"/>
            <w:vAlign w:val="bottom"/>
            <w:tcBorders>
              <w:right w:val="single" w:sz="8" w:color="auto"/>
            </w:tcBorders>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tcBorders>
          </w:tcPr>
          <w:p>
            <w:pPr>
              <w:spacing w:after="0"/>
              <w:rPr>
                <w:sz w:val="15"/>
                <w:szCs w:val="15"/>
                <w:color w:val="auto"/>
              </w:rPr>
            </w:pPr>
          </w:p>
        </w:tc>
        <w:tc>
          <w:tcPr>
            <w:tcW w:w="2900" w:type="dxa"/>
            <w:vAlign w:val="bottom"/>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4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w:t>
            </w:r>
          </w:p>
        </w:tc>
        <w:tc>
          <w:tcPr>
            <w:tcW w:w="2460" w:type="dxa"/>
            <w:vAlign w:val="bottom"/>
            <w:tcBorders>
              <w:right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98"/>
        </w:trPr>
        <w:tc>
          <w:tcPr>
            <w:tcW w:w="3520" w:type="dxa"/>
            <w:vAlign w:val="bottom"/>
            <w:tcBorders>
              <w:left w:val="single" w:sz="8" w:color="auto"/>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90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246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Borders>
              <w:lef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2900" w:type="dxa"/>
            <w:vAlign w:val="bottom"/>
            <w:shd w:val="clear" w:color="auto" w:fill="CFF0FC"/>
          </w:tcPr>
          <w:p>
            <w:pPr>
              <w:ind w:left="1960"/>
              <w:spacing w:after="0" w:line="234" w:lineRule="exact"/>
              <w:rPr>
                <w:sz w:val="20"/>
                <w:szCs w:val="20"/>
                <w:color w:val="auto"/>
              </w:rPr>
            </w:pPr>
            <w:r>
              <w:rPr>
                <w:rFonts w:ascii="Times New Roman" w:cs="Times New Roman" w:eastAsia="Times New Roman" w:hAnsi="Times New Roman"/>
                <w:sz w:val="18"/>
                <w:szCs w:val="18"/>
                <w:color w:val="auto"/>
                <w:w w:val="96"/>
              </w:rPr>
              <w:t xml:space="preserve">7,053,494 </w:t>
            </w:r>
            <w:r>
              <w:rPr>
                <w:rFonts w:ascii="Times New Roman" w:cs="Times New Roman" w:eastAsia="Times New Roman" w:hAnsi="Times New Roman"/>
                <w:sz w:val="24"/>
                <w:szCs w:val="24"/>
                <w:color w:val="auto"/>
                <w:w w:val="96"/>
                <w:vertAlign w:val="superscript"/>
              </w:rPr>
              <w:t>(1)</w:t>
            </w:r>
          </w:p>
        </w:tc>
        <w:tc>
          <w:tcPr>
            <w:tcW w:w="2400" w:type="dxa"/>
            <w:vAlign w:val="bottom"/>
            <w:shd w:val="clear" w:color="auto" w:fill="CFF0FC"/>
          </w:tcPr>
          <w:p>
            <w:pPr>
              <w:ind w:left="1900"/>
              <w:spacing w:after="0" w:line="234" w:lineRule="exact"/>
              <w:rPr>
                <w:sz w:val="20"/>
                <w:szCs w:val="20"/>
                <w:color w:val="auto"/>
              </w:rPr>
            </w:pPr>
            <w:r>
              <w:rPr>
                <w:rFonts w:ascii="Times New Roman" w:cs="Times New Roman" w:eastAsia="Times New Roman" w:hAnsi="Times New Roman"/>
                <w:sz w:val="18"/>
                <w:szCs w:val="18"/>
                <w:color w:val="auto"/>
                <w:w w:val="95"/>
              </w:rPr>
              <w:t>4.42</w:t>
            </w:r>
            <w:r>
              <w:rPr>
                <w:rFonts w:ascii="Times New Roman" w:cs="Times New Roman" w:eastAsia="Times New Roman" w:hAnsi="Times New Roman"/>
                <w:sz w:val="24"/>
                <w:szCs w:val="24"/>
                <w:color w:val="auto"/>
                <w:w w:val="95"/>
                <w:vertAlign w:val="superscript"/>
              </w:rPr>
              <w:t>(2)</w:t>
            </w:r>
          </w:p>
        </w:tc>
        <w:tc>
          <w:tcPr>
            <w:tcW w:w="2460" w:type="dxa"/>
            <w:vAlign w:val="bottom"/>
            <w:tcBorders>
              <w:right w:val="single" w:sz="8" w:color="auto"/>
            </w:tcBorders>
            <w:shd w:val="clear" w:color="auto" w:fill="CFF0FC"/>
          </w:tcPr>
          <w:p>
            <w:pPr>
              <w:jc w:val="right"/>
              <w:spacing w:after="0" w:line="234" w:lineRule="exact"/>
              <w:rPr>
                <w:sz w:val="20"/>
                <w:szCs w:val="20"/>
                <w:color w:val="auto"/>
              </w:rPr>
            </w:pPr>
            <w:r>
              <w:rPr>
                <w:rFonts w:ascii="Times New Roman" w:cs="Times New Roman" w:eastAsia="Times New Roman" w:hAnsi="Times New Roman"/>
                <w:sz w:val="18"/>
                <w:szCs w:val="18"/>
                <w:color w:val="auto"/>
              </w:rPr>
              <w:t xml:space="preserve">3,982,847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198"/>
        </w:trPr>
        <w:tc>
          <w:tcPr>
            <w:tcW w:w="3520" w:type="dxa"/>
            <w:vAlign w:val="bottom"/>
            <w:tcBorders>
              <w:lef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2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by security holders</w:t>
            </w:r>
          </w:p>
        </w:tc>
        <w:tc>
          <w:tcPr>
            <w:tcW w:w="29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2,030,000</w:t>
            </w:r>
          </w:p>
        </w:tc>
        <w:tc>
          <w:tcPr>
            <w:tcW w:w="24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w:t>
            </w:r>
          </w:p>
        </w:tc>
        <w:tc>
          <w:tcPr>
            <w:tcW w:w="2460" w:type="dxa"/>
            <w:vAlign w:val="bottom"/>
            <w:tcBorders>
              <w:right w:val="single" w:sz="8" w:color="auto"/>
            </w:tcBorders>
          </w:tcPr>
          <w:p>
            <w:pPr>
              <w:jc w:val="right"/>
              <w:ind w:right="16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00" w:type="dxa"/>
            <w:vAlign w:val="bottom"/>
            <w:tcBorders>
              <w:bottom w:val="single" w:sz="8" w:color="auto"/>
            </w:tcBorders>
            <w:shd w:val="clear" w:color="auto" w:fill="CFF0FC"/>
          </w:tcPr>
          <w:p>
            <w:pPr>
              <w:ind w:left="1960"/>
              <w:spacing w:after="0"/>
              <w:rPr>
                <w:sz w:val="20"/>
                <w:szCs w:val="20"/>
                <w:color w:val="auto"/>
              </w:rPr>
            </w:pPr>
            <w:r>
              <w:rPr>
                <w:rFonts w:ascii="Times New Roman" w:cs="Times New Roman" w:eastAsia="Times New Roman" w:hAnsi="Times New Roman"/>
                <w:sz w:val="18"/>
                <w:szCs w:val="18"/>
                <w:color w:val="auto"/>
              </w:rPr>
              <w:t>9,083,494</w:t>
            </w:r>
          </w:p>
        </w:tc>
        <w:tc>
          <w:tcPr>
            <w:tcW w:w="2400" w:type="dxa"/>
            <w:vAlign w:val="bottom"/>
            <w:tcBorders>
              <w:bottom w:val="single" w:sz="8" w:color="auto"/>
            </w:tcBorders>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4.42</w:t>
            </w:r>
          </w:p>
        </w:tc>
        <w:tc>
          <w:tcPr>
            <w:tcW w:w="2460" w:type="dxa"/>
            <w:vAlign w:val="bottom"/>
            <w:tcBorders>
              <w:bottom w:val="single" w:sz="8" w:color="auto"/>
              <w:right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8"/>
                <w:szCs w:val="18"/>
                <w:color w:val="auto"/>
              </w:rPr>
              <w:t>3,982,847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7" w:hanging="507"/>
        <w:spacing w:after="0"/>
        <w:tabs>
          <w:tab w:leader="none" w:pos="5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associated with options, RSUs and DSUs outstanding as of December 31, 2025.</w:t>
      </w:r>
    </w:p>
    <w:p>
      <w:pPr>
        <w:spacing w:after="0" w:line="27" w:lineRule="exact"/>
        <w:rPr>
          <w:rFonts w:ascii="Times New Roman" w:cs="Times New Roman" w:eastAsia="Times New Roman" w:hAnsi="Times New Roman"/>
          <w:sz w:val="18"/>
          <w:szCs w:val="18"/>
          <w:color w:val="auto"/>
        </w:rPr>
      </w:pPr>
    </w:p>
    <w:p>
      <w:pPr>
        <w:ind w:left="507" w:hanging="507"/>
        <w:spacing w:after="0"/>
        <w:tabs>
          <w:tab w:leader="none" w:pos="5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the 1,863,104 options disclosed in column (a).</w:t>
      </w:r>
    </w:p>
    <w:p>
      <w:pPr>
        <w:spacing w:after="0" w:line="9" w:lineRule="exact"/>
        <w:rPr>
          <w:rFonts w:ascii="Times New Roman" w:cs="Times New Roman" w:eastAsia="Times New Roman" w:hAnsi="Times New Roman"/>
          <w:sz w:val="18"/>
          <w:szCs w:val="18"/>
          <w:color w:val="auto"/>
        </w:rPr>
      </w:pPr>
    </w:p>
    <w:p>
      <w:pPr>
        <w:ind w:left="507" w:right="40" w:hanging="507"/>
        <w:spacing w:after="0" w:line="250" w:lineRule="auto"/>
        <w:tabs>
          <w:tab w:leader="none" w:pos="5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remaining available for future issuance under our 2024 Plan (3,429,888 shares) and 2024 Employee Stock Purchase Plan (552,959). Of this number, only 2,365,440 shares are available for issuance with respect to RSUs, DSUs and other awards based on the full</w:t>
      </w:r>
    </w:p>
    <w:p>
      <w:pPr>
        <w:spacing w:after="0" w:line="1"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value of stock (rather than an increase in value) under the 2024 Omnibus Equity Incentive Plan.</w:t>
      </w:r>
    </w:p>
    <w:p>
      <w:pPr>
        <w:spacing w:after="0" w:line="9" w:lineRule="exact"/>
        <w:rPr>
          <w:sz w:val="20"/>
          <w:szCs w:val="20"/>
          <w:color w:val="auto"/>
        </w:rPr>
      </w:pPr>
    </w:p>
    <w:p>
      <w:pPr>
        <w:ind w:left="5507"/>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610235</wp:posOffset>
            </wp:positionV>
            <wp:extent cx="71831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976" w:right="318"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7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37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2026 Annual Meeting of Stockholders to be filed with the SEC within 120 days of the fiscal year ended December 31, 2025.</w:t>
      </w:r>
    </w:p>
    <w:p>
      <w:pPr>
        <w:spacing w:after="0" w:line="1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940"/>
          </w:cols>
          <w:pgMar w:left="340" w:top="1084" w:right="638" w:bottom="1440" w:gutter="0" w:footer="0" w:header="0"/>
        </w:sectPr>
      </w:pPr>
    </w:p>
    <w:bookmarkStart w:id="105" w:name="page106"/>
    <w:bookmarkEnd w:id="105"/>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117" w:lineRule="exact"/>
        <w:rPr>
          <w:sz w:val="20"/>
          <w:szCs w:val="20"/>
          <w:color w:val="auto"/>
        </w:rPr>
      </w:pPr>
    </w:p>
    <w:p>
      <w:pPr>
        <w:ind w:left="507" w:hanging="507"/>
        <w:spacing w:after="0"/>
        <w:tabs>
          <w:tab w:leader="none" w:pos="5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44"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42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040" w:type="dxa"/>
            <w:vAlign w:val="bottom"/>
            <w:vMerge w:val="restart"/>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FF"/>
            </w:tcBorders>
            <w:gridSpan w:val="8"/>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10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6520" w:type="dxa"/>
            <w:vAlign w:val="bottom"/>
            <w:gridSpan w:val="3"/>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8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(Deficit)</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42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060" w:type="dxa"/>
            <w:vAlign w:val="bottom"/>
            <w:gridSpan w:val="2"/>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45"/>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2820" w:type="dxa"/>
            <w:vAlign w:val="bottom"/>
            <w:tcBorders>
              <w:top w:val="single" w:sz="8" w:color="0000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712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 w:right="700" w:firstLine="511"/>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not present in amounts sufficient to require submission of the schedule, or the required information is otherwise included.</w:t>
      </w:r>
    </w:p>
    <w:p>
      <w:pPr>
        <w:spacing w:after="0" w:line="54" w:lineRule="exact"/>
        <w:rPr>
          <w:sz w:val="20"/>
          <w:szCs w:val="20"/>
          <w:color w:val="auto"/>
        </w:rPr>
      </w:pPr>
    </w:p>
    <w:p>
      <w:pPr>
        <w:ind w:left="507" w:hanging="507"/>
        <w:spacing w:after="0"/>
        <w:tabs>
          <w:tab w:leader="none" w:pos="5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40" w:type="dxa"/>
            <w:vAlign w:val="bottom"/>
            <w:gridSpan w:val="2"/>
          </w:tcPr>
          <w:p>
            <w:pPr>
              <w:spacing w:after="0"/>
              <w:rPr>
                <w:sz w:val="17"/>
                <w:szCs w:val="17"/>
                <w:color w:val="auto"/>
              </w:rPr>
            </w:pPr>
          </w:p>
        </w:tc>
        <w:tc>
          <w:tcPr>
            <w:tcW w:w="17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Description of Exhibits</w:t>
            </w:r>
          </w:p>
        </w:tc>
        <w:tc>
          <w:tcPr>
            <w:tcW w:w="8140" w:type="dxa"/>
            <w:vAlign w:val="bottom"/>
            <w:gridSpan w:val="20"/>
            <w:vMerge w:val="restart"/>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6"/>
              </w:rPr>
              <w:t>Number</w:t>
            </w:r>
          </w:p>
        </w:tc>
        <w:tc>
          <w:tcPr>
            <w:tcW w:w="700" w:type="dxa"/>
            <w:vAlign w:val="bottom"/>
          </w:tcPr>
          <w:p>
            <w:pPr>
              <w:spacing w:after="0"/>
              <w:rPr>
                <w:sz w:val="17"/>
                <w:szCs w:val="17"/>
                <w:color w:val="auto"/>
              </w:rPr>
            </w:pPr>
          </w:p>
        </w:tc>
        <w:tc>
          <w:tcPr>
            <w:tcW w:w="1780" w:type="dxa"/>
            <w:vAlign w:val="bottom"/>
            <w:tcBorders>
              <w:bottom w:val="single" w:sz="8" w:color="auto"/>
            </w:tcBorders>
            <w:gridSpan w:val="4"/>
            <w:vMerge w:val="continue"/>
          </w:tcPr>
          <w:p>
            <w:pPr>
              <w:spacing w:after="0"/>
              <w:rPr>
                <w:sz w:val="17"/>
                <w:szCs w:val="17"/>
                <w:color w:val="auto"/>
              </w:rPr>
            </w:pPr>
          </w:p>
        </w:tc>
        <w:tc>
          <w:tcPr>
            <w:tcW w:w="8140" w:type="dxa"/>
            <w:vAlign w:val="bottom"/>
            <w:gridSpan w:val="20"/>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96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Purchase Agreement, by and among Satcom Direct Holdings, Inc., SDHC Holdings, Inc., Satcom Direct Government Holdings, Inc.,</w:t>
              </w:r>
            </w:hyperlink>
          </w:p>
        </w:tc>
        <w:tc>
          <w:tcPr>
            <w:tcW w:w="3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ndtHost Holdings, Inc., Satcom Direct, Inc., Satcom Direct Holding Company, LLC, Satcom Direct Government, Inc., ndtHost, LLC,</w:t>
              </w:r>
            </w:hyperlink>
          </w:p>
        </w:tc>
        <w:tc>
          <w:tcPr>
            <w:tcW w:w="2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Gogo Direct Holdings LLC, James W. Jensen and Gogo Inc., dated as of September 29, 2024 (incorporated by reference to Exhibit 2.1 to</w:t>
              </w:r>
            </w:hyperlink>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Form 8-K filed on October 1, 2024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Third Amended and Restated Certificate of Incorporation (incorporated by reference to Exhibit 3.1 to Form 10-Q filed on August 7, 2013</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07">
              <w:r>
                <w:rPr>
                  <w:rFonts w:ascii="Times New Roman" w:cs="Times New Roman" w:eastAsia="Times New Roman" w:hAnsi="Times New Roman"/>
                  <w:sz w:val="18"/>
                  <w:szCs w:val="18"/>
                  <w:color w:val="0000FF"/>
                  <w:w w:val="99"/>
                </w:rPr>
                <w:t>(File No. 001-35975))</w:t>
              </w:r>
            </w:hyperlink>
          </w:p>
        </w:tc>
        <w:tc>
          <w:tcPr>
            <w:tcW w:w="832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Amended and Restated Bylaws (incorporated by reference to Exhibit 3.1 to Form 8-K filed on August 2, 2023 (File No. 001-35975))</w:t>
              </w:r>
            </w:hyperlink>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of Common Stock Certificate (incorporated by reference to Exhibit 4.1 to Gogo Inc. Registration Statement on Form S-1 (File No.</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409">
              <w:r>
                <w:rPr>
                  <w:rFonts w:ascii="Times New Roman" w:cs="Times New Roman" w:eastAsia="Times New Roman" w:hAnsi="Times New Roman"/>
                  <w:sz w:val="18"/>
                  <w:szCs w:val="18"/>
                  <w:color w:val="0000FF"/>
                  <w:w w:val="98"/>
                </w:rPr>
                <w:t>333-178727))</w:t>
              </w:r>
            </w:hyperlink>
          </w:p>
        </w:tc>
        <w:tc>
          <w:tcPr>
            <w:tcW w:w="6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3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7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Registration Rights Agreement, dated as of December 31, 2009, by and between AC Holdco Inc. and the Class A Holders, the Thorne</w:t>
              </w:r>
            </w:hyperlink>
          </w:p>
        </w:tc>
        <w:tc>
          <w:tcPr>
            <w:tcW w:w="2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410">
              <w:r>
                <w:rPr>
                  <w:rFonts w:ascii="Times New Roman" w:cs="Times New Roman" w:eastAsia="Times New Roman" w:hAnsi="Times New Roman"/>
                  <w:sz w:val="18"/>
                  <w:szCs w:val="18"/>
                  <w:color w:val="0000FF"/>
                  <w:w w:val="99"/>
                </w:rPr>
                <w:t>Investors and the other investors named therein (incorporated by reference to Exhibit 4.3 to Gogo Inc. Registration Statement on Form 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1 (File No. 333-178727))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Description of Capital Stock and Registered Securities (incorporated by reference to Exhibit 4.3 to Form 10-K filed on February 28, 2024</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11">
              <w:r>
                <w:rPr>
                  <w:rFonts w:ascii="Times New Roman" w:cs="Times New Roman" w:eastAsia="Times New Roman" w:hAnsi="Times New Roman"/>
                  <w:sz w:val="18"/>
                  <w:szCs w:val="18"/>
                  <w:color w:val="0000FF"/>
                  <w:w w:val="99"/>
                </w:rPr>
                <w:t>(File No. 001-35975))</w:t>
              </w:r>
            </w:hyperlink>
          </w:p>
        </w:tc>
        <w:tc>
          <w:tcPr>
            <w:tcW w:w="832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Registration Rights Agreement, dated as of April 9, 2021, by and among Gogo Inc., Silver (XII) Holdings, LLC and Silver (Equity)</w:t>
              </w:r>
            </w:hyperlink>
          </w:p>
        </w:tc>
        <w:tc>
          <w:tcPr>
            <w:tcW w:w="3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Holdings, LP (incorporated by reference to Exhibit 10.2 to Form 8-K filed on April 14, 2021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40" w:type="dxa"/>
            <w:vAlign w:val="bottom"/>
            <w:tcBorders>
              <w:right w:val="single" w:sz="8" w:color="0000FF"/>
            </w:tcBorders>
            <w:gridSpan w:val="6"/>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Amendment to the Registration Rights Agreement, dated as of April 9, 2021, by and between Gogo Inc. (f/k/a AC HoldCo Inc.) and</w:t>
              </w:r>
            </w:hyperlink>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Thorndale Farm Gogo, LLC (as assignee to the interests of the Thorne Investors, as defined therein) (incorporated by reference to Exhibit</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Form 8-K filed on April 14, 2021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40" w:type="dxa"/>
            <w:vAlign w:val="bottom"/>
            <w:tcBorders>
              <w:right w:val="single" w:sz="8" w:color="0000EE"/>
            </w:tcBorders>
            <w:gridSpan w:val="6"/>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Amendment to the Registration Rights Agreement, dated as of May 25, 2021, by and among Gogo Inc., Silver (XII) Holdings, LLC and</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14">
              <w:r>
                <w:rPr>
                  <w:rFonts w:ascii="Times New Roman" w:cs="Times New Roman" w:eastAsia="Times New Roman" w:hAnsi="Times New Roman"/>
                  <w:sz w:val="18"/>
                  <w:szCs w:val="18"/>
                  <w:color w:val="0000FF"/>
                  <w:w w:val="99"/>
                </w:rPr>
                <w:t>Silver (Equity) Holdings, LP (incorporated by reference to Exhibit 4.3 to Form 10-Q filed on August 5, 2021 (File No. 001-35975))</w:t>
              </w:r>
            </w:hyperlink>
          </w:p>
        </w:tc>
        <w:tc>
          <w:tcPr>
            <w:tcW w:w="4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Amendment No. 2 to the Registration Rights Agreement, dated as of March 2, 2022, by and among Gogo Inc., Silver (XII) Holdings,</w:t>
              </w:r>
            </w:hyperlink>
          </w:p>
        </w:tc>
        <w:tc>
          <w:tcPr>
            <w:tcW w:w="2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LLC and Silver (Equity) Holdings LP (incorporated by reference to Exhibit 4.10 to Form 10-K filed on March 3, 2022 (File No. 001-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415">
              <w:r>
                <w:rPr>
                  <w:rFonts w:ascii="Times New Roman" w:cs="Times New Roman" w:eastAsia="Times New Roman" w:hAnsi="Times New Roman"/>
                  <w:sz w:val="18"/>
                  <w:szCs w:val="18"/>
                  <w:color w:val="0000FF"/>
                  <w:w w:val="98"/>
                </w:rPr>
                <w:t>35975)</w:t>
              </w:r>
              <w:r>
                <w:rPr>
                  <w:rFonts w:ascii="Times New Roman" w:cs="Times New Roman" w:eastAsia="Times New Roman" w:hAnsi="Times New Roman"/>
                  <w:sz w:val="18"/>
                  <w:szCs w:val="18"/>
                  <w:u w:val="single" w:color="auto"/>
                  <w:color w:val="0000FF"/>
                  <w:w w:val="98"/>
                </w:rPr>
                <w:t>)</w:t>
              </w:r>
            </w:hyperlink>
          </w:p>
        </w:tc>
        <w:tc>
          <w:tcPr>
            <w:tcW w:w="4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34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5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Qualcomm Technologies, Inc. Master Software Agreement, dated June 13, 2018, by and between Qualcomm Technologies, Inc. and</w:t>
              </w:r>
            </w:hyperlink>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7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16">
              <w:r>
                <w:rPr>
                  <w:rFonts w:ascii="Times New Roman" w:cs="Times New Roman" w:eastAsia="Times New Roman" w:hAnsi="Times New Roman"/>
                  <w:sz w:val="18"/>
                  <w:szCs w:val="18"/>
                  <w:color w:val="0000FF"/>
                  <w:w w:val="99"/>
                </w:rPr>
                <w:t>Gogo LLC (incorporated by reference to Exhibit 10.1.48 to Form 10-Q filed on November 6, 2018 (File No. 001-35975))</w:t>
              </w:r>
            </w:hyperlink>
          </w:p>
        </w:tc>
        <w:tc>
          <w:tcPr>
            <w:tcW w:w="11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6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Qualcomm Technologies, Inc. AMSS6695 Software Addendum to Master Software Agreement, dated June 13, 2018, by and between</w:t>
              </w:r>
            </w:hyperlink>
          </w:p>
        </w:tc>
        <w:tc>
          <w:tcPr>
            <w:tcW w:w="2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Qualcomm Technologies, Inc. and Gogo LLC (incorporated by reference to Exhibit 10.1.49 to Form 10-Q filed on November 6, 2018</w:t>
              </w:r>
            </w:hyperlink>
          </w:p>
        </w:tc>
        <w:tc>
          <w:tcPr>
            <w:tcW w:w="2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17">
              <w:r>
                <w:rPr>
                  <w:rFonts w:ascii="Times New Roman" w:cs="Times New Roman" w:eastAsia="Times New Roman" w:hAnsi="Times New Roman"/>
                  <w:sz w:val="18"/>
                  <w:szCs w:val="18"/>
                  <w:color w:val="0000FF"/>
                  <w:w w:val="99"/>
                </w:rPr>
                <w:t>(File No. 001-35975))</w:t>
              </w:r>
            </w:hyperlink>
          </w:p>
        </w:tc>
        <w:tc>
          <w:tcPr>
            <w:tcW w:w="832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7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Access Point Patent License Agreement, dated July 6, 2018, by and between Qualcomm Incorporated and Gogo LLC (incorporated by</w:t>
              </w:r>
            </w:hyperlink>
          </w:p>
        </w:tc>
        <w:tc>
          <w:tcPr>
            <w:tcW w:w="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20" w:type="dxa"/>
            <w:vAlign w:val="bottom"/>
            <w:gridSpan w:val="24"/>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reference to Exhibit 10.1.50 to Form 10-Q filed on November 6, 2018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Borders>
              <w:top w:val="single" w:sz="8" w:color="0000EE"/>
            </w:tcBorders>
            <w:gridSpan w:val="7"/>
          </w:tcPr>
          <w:p>
            <w:pPr>
              <w:ind w:left="4160"/>
              <w:spacing w:after="0"/>
              <w:rPr>
                <w:sz w:val="20"/>
                <w:szCs w:val="20"/>
                <w:color w:val="auto"/>
              </w:rPr>
            </w:pPr>
            <w:r>
              <w:rPr>
                <w:rFonts w:ascii="Times New Roman" w:cs="Times New Roman" w:eastAsia="Times New Roman" w:hAnsi="Times New Roman"/>
                <w:sz w:val="18"/>
                <w:szCs w:val="18"/>
                <w:color w:val="auto"/>
              </w:rPr>
              <w:t>104</w:t>
            </w:r>
          </w:p>
        </w:tc>
        <w:tc>
          <w:tcPr>
            <w:tcW w:w="210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307"/>
          </w:cols>
          <w:pgMar w:left="333" w:top="976" w:right="278"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ATG Network Sharing Agreement, dated as of December 1, 2020, by and between Gogo Business Aviation LLC and Gogo LLC</w:t>
              </w:r>
            </w:hyperlink>
          </w:p>
        </w:tc>
        <w:tc>
          <w:tcPr>
            <w:tcW w:w="6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(incorporated by reference to Exhibit 10.1 to Form 8-K filed on December 1, 2020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Master Services Agreement, dated as of November 25, 2019, by and between Gogo Business Aviation LLC and Airspan Networks Inc.</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76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(incorporated by reference to Exhibit 10.1.5 to Form 10-K filed on March 11, 2021 (File No. 001-35975))</w:t>
              </w:r>
            </w:hyperlink>
          </w:p>
        </w:tc>
        <w:tc>
          <w:tcPr>
            <w:tcW w:w="22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99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Waiver and Omnibus Amendment to Airspan/Gogo Agreements, effective as of June 27, 2024 (incorporated by reference to Exhibit 10.4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to Form 10-Q filed on August 7, 2024)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96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Supply and Product Support Agreement, dated as of November 25, 2019, by and between Gogo Business Aviation LLC and Airspan</w:t>
              </w:r>
            </w:hyperlink>
          </w:p>
        </w:tc>
        <w:tc>
          <w:tcPr>
            <w:tcW w:w="3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87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Networks Inc. (incorporated by reference to Exhibit 10.1.6 to Form 10-K filed on March 11, 2021 (File No. 001-35975))</w:t>
              </w:r>
            </w:hyperlink>
          </w:p>
        </w:tc>
        <w:tc>
          <w:tcPr>
            <w:tcW w:w="12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6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Master Services Agreement, dated as of May 21, 2022, by and between Gogo Business Aviation LLC and Hughes Network Systems,</w:t>
              </w:r>
            </w:hyperlink>
          </w:p>
        </w:tc>
        <w:tc>
          <w:tcPr>
            <w:tcW w:w="28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76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LLC (incorporated by reference to Exhibit 10.1 to Form 8-K filed on May 26, 2022 (File No. 001-35975))</w:t>
              </w:r>
            </w:hyperlink>
          </w:p>
        </w:tc>
        <w:tc>
          <w:tcPr>
            <w:tcW w:w="226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7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Supply and Product Support Agreement, dated as of June 6, 2022, by and between Gogo Business Aviation LLC and Hughes Network</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Systems, LLC (incorporated by reference to Exhibit 10.1 to Form 8-K filed on June 14, 2022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7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Amended and Restated Supply and Product Support Agreement, dated as of March 31, 2023, by and between Gogo Business Aviation</w:t>
              </w:r>
            </w:hyperlink>
          </w:p>
        </w:tc>
        <w:tc>
          <w:tcPr>
            <w:tcW w:w="20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LLC and Hughes Network Systems, LLC (incorporated by reference to Exhibit 10.1.1 to Form 10-Q filed on May 3, 2023 (File No. 001-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427">
              <w:r>
                <w:rPr>
                  <w:rFonts w:ascii="Times New Roman" w:cs="Times New Roman" w:eastAsia="Times New Roman" w:hAnsi="Times New Roman"/>
                  <w:sz w:val="18"/>
                  <w:szCs w:val="18"/>
                  <w:color w:val="0000FF"/>
                  <w:w w:val="98"/>
                </w:rPr>
                <w:t>35975)</w:t>
              </w:r>
              <w:r>
                <w:rPr>
                  <w:rFonts w:ascii="Times New Roman" w:cs="Times New Roman" w:eastAsia="Times New Roman" w:hAnsi="Times New Roman"/>
                  <w:sz w:val="18"/>
                  <w:szCs w:val="18"/>
                  <w:u w:val="single" w:color="auto"/>
                  <w:color w:val="0000FF"/>
                  <w:w w:val="98"/>
                </w:rPr>
                <w:t>)</w:t>
              </w:r>
            </w:hyperlink>
          </w:p>
        </w:tc>
        <w:tc>
          <w:tcPr>
            <w:tcW w:w="110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2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Employment Agreement, effective as of November 2, 2022, by and between Gogo Business Aviation LLC and Crystal Gordon</w:t>
              </w:r>
            </w:hyperlink>
          </w:p>
        </w:tc>
        <w:tc>
          <w:tcPr>
            <w:tcW w:w="7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(incorporated by reference to Exhibit 10.2.21 to Form 10-K filed on February 28, 2023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9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429">
              <w:r>
                <w:rPr>
                  <w:rFonts w:ascii="Times New Roman" w:cs="Times New Roman" w:eastAsia="Times New Roman" w:hAnsi="Times New Roman"/>
                  <w:sz w:val="18"/>
                  <w:szCs w:val="18"/>
                  <w:color w:val="0000FF"/>
                  <w:w w:val="99"/>
                </w:rPr>
                <w:t>Change in Control Severance Agreement, effective as of November 2, 2022, by and between Gogo Inc. and Crystal Gordon (incorporated</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by reference to Exhibit 10.2.22 to Form 10-K filed on February 28, 2023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6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Employment Agreement, dated November 13, 2024, between Gogo Inc. and Christopher Moore (incorporated by reference to Exhibit</w:t>
              </w:r>
            </w:hyperlink>
          </w:p>
        </w:tc>
        <w:tc>
          <w:tcPr>
            <w:tcW w:w="2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9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0000FF"/>
                </w:rPr>
                <w:t xml:space="preserve"> to Form 10-K filed on March 14, 2025 (File No. 001-35975))</w:t>
              </w:r>
            </w:hyperlink>
          </w:p>
        </w:tc>
        <w:tc>
          <w:tcPr>
            <w:tcW w:w="500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3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Change in Control Severance Agreement, dated November 13, 2024, between Gogo Inc. and Christopher Moore (incorporated by</w:t>
              </w:r>
            </w:hyperlink>
          </w:p>
        </w:tc>
        <w:tc>
          <w:tcPr>
            <w:tcW w:w="5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reference to Exhibit 10.17 to Form 10-K filed on March 14, 2025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9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Retention Bonus Agreement, dated November 13, 2024, between Gogo Inc. and Christopher Moore (incorporated by reference to Exhibit</w:t>
              </w:r>
            </w:hyperlink>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8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18</w:t>
              </w:r>
              <w:r>
                <w:rPr>
                  <w:rFonts w:ascii="Times New Roman" w:cs="Times New Roman" w:eastAsia="Times New Roman" w:hAnsi="Times New Roman"/>
                  <w:sz w:val="18"/>
                  <w:szCs w:val="18"/>
                  <w:color w:val="0000FF"/>
                  <w:w w:val="99"/>
                </w:rPr>
                <w:t xml:space="preserve"> to Form 10-K filed on March 14, 2025 (File No. 001-35975))</w:t>
              </w:r>
            </w:hyperlink>
          </w:p>
        </w:tc>
        <w:tc>
          <w:tcPr>
            <w:tcW w:w="504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9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Employment Agreement, dated November 27, 2024, between Gogo Inc. and Zachary Cotner (incorporated by reference to Exhibit 10.19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to Form 10-K filed on March 14, 2025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7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Retention Bonus Agreement, dated November 27, 2024, between Gogo Inc. and Zachary Cotner (incorporated by reference to Exhibit</w:t>
              </w:r>
            </w:hyperlink>
          </w:p>
        </w:tc>
        <w:tc>
          <w:tcPr>
            <w:tcW w:w="2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8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3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20</w:t>
              </w:r>
              <w:r>
                <w:rPr>
                  <w:rFonts w:ascii="Times New Roman" w:cs="Times New Roman" w:eastAsia="Times New Roman" w:hAnsi="Times New Roman"/>
                  <w:sz w:val="18"/>
                  <w:szCs w:val="18"/>
                  <w:color w:val="0000FF"/>
                  <w:w w:val="99"/>
                </w:rPr>
                <w:t xml:space="preserve"> to Form 10-K filed on March 14, 2025 (File No. 001-35975))</w:t>
              </w:r>
            </w:hyperlink>
          </w:p>
        </w:tc>
        <w:tc>
          <w:tcPr>
            <w:tcW w:w="504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8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Change in Control Severance Agreement, dated November 27, 2024, between Gogo Inc. and Zachary Cotner (incorporated by reference</w:t>
              </w:r>
            </w:hyperlink>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56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35">
              <w:r>
                <w:rPr>
                  <w:rFonts w:ascii="Times New Roman" w:cs="Times New Roman" w:eastAsia="Times New Roman" w:hAnsi="Times New Roman"/>
                  <w:sz w:val="18"/>
                  <w:szCs w:val="18"/>
                  <w:color w:val="0000FF"/>
                  <w:w w:val="99"/>
                </w:rPr>
                <w:t>to Exhibit 10.21 to Form 10-K filed on March 14, 2025 (File No. 001-35975))</w:t>
              </w:r>
            </w:hyperlink>
          </w:p>
        </w:tc>
        <w:tc>
          <w:tcPr>
            <w:tcW w:w="428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9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Employment Agreement, dated November 13, 2024, between Gogo Inc. and Hayden Olson (incorporated by reference to Exhibit 10.22 to</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Form 10-K filed on March 14, 2025 (File No. 001-35975))</w:t>
              </w:r>
            </w:hyperlink>
          </w:p>
        </w:tc>
        <w:tc>
          <w:tcPr>
            <w:tcW w:w="568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9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Change in Control Severance Agreement, dated November 13, 2024, between Gogo Inc. and Hayden Olson (incorporated by reference to</w:t>
              </w:r>
            </w:hyperlink>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Exhibit 10.23 to Form 10-K filed on March 14, 2025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8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6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38">
              <w:r>
                <w:rPr>
                  <w:rFonts w:ascii="Times New Roman" w:cs="Times New Roman" w:eastAsia="Times New Roman" w:hAnsi="Times New Roman"/>
                  <w:sz w:val="18"/>
                  <w:szCs w:val="18"/>
                  <w:color w:val="0000FF"/>
                </w:rPr>
                <w:t>Retention Bonus Agreement, dated November 13, 2024, between Gogo Inc. and Hayden Olson (incorporated by reference to Exhibit</w:t>
              </w:r>
            </w:hyperlink>
          </w:p>
        </w:tc>
        <w:tc>
          <w:tcPr>
            <w:tcW w:w="3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8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38">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24</w:t>
              </w:r>
              <w:r>
                <w:rPr>
                  <w:rFonts w:ascii="Times New Roman" w:cs="Times New Roman" w:eastAsia="Times New Roman" w:hAnsi="Times New Roman"/>
                  <w:sz w:val="18"/>
                  <w:szCs w:val="18"/>
                  <w:color w:val="0000FF"/>
                  <w:w w:val="99"/>
                </w:rPr>
                <w:t xml:space="preserve"> to Form 10-K file don March 14, 2025 (File No. 001-35975))</w:t>
              </w:r>
            </w:hyperlink>
          </w:p>
        </w:tc>
        <w:tc>
          <w:tcPr>
            <w:tcW w:w="504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6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Gogo Inc. 2013 Omnibus Incentive Plan (incorporated by reference to Exhibit 10.5 to Gogo Inc. Registration Statement on Form S-1</w:t>
              </w:r>
            </w:hyperlink>
          </w:p>
        </w:tc>
        <w:tc>
          <w:tcPr>
            <w:tcW w:w="30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39">
              <w:r>
                <w:rPr>
                  <w:rFonts w:ascii="Times New Roman" w:cs="Times New Roman" w:eastAsia="Times New Roman" w:hAnsi="Times New Roman"/>
                  <w:sz w:val="18"/>
                  <w:szCs w:val="18"/>
                  <w:color w:val="0000FF"/>
                </w:rPr>
                <w:t>(File No. 333-178727))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308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9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Form of Stock Option Agreement for Gogo Inc. 2013 Omnibus Incentive Plan (incorporated by reference to Exhibit 10.5.2 to Form 10-K</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40">
              <w:r>
                <w:rPr>
                  <w:rFonts w:ascii="Times New Roman" w:cs="Times New Roman" w:eastAsia="Times New Roman" w:hAnsi="Times New Roman"/>
                  <w:sz w:val="18"/>
                  <w:szCs w:val="18"/>
                  <w:color w:val="0000FF"/>
                </w:rPr>
                <w:t>filed on March 14, 2014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40" w:type="dxa"/>
            <w:vAlign w:val="bottom"/>
            <w:tcBorders>
              <w:left w:val="single" w:sz="8" w:color="0000FF"/>
            </w:tcBorders>
            <w:gridSpan w:val="8"/>
          </w:tcPr>
          <w:p>
            <w:pPr>
              <w:spacing w:after="0" w:line="20" w:lineRule="exact"/>
              <w:rPr>
                <w:sz w:val="1"/>
                <w:szCs w:val="1"/>
                <w:color w:val="auto"/>
              </w:rPr>
            </w:pPr>
          </w:p>
        </w:tc>
        <w:tc>
          <w:tcPr>
            <w:tcW w:w="308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8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Second Amended and Restated Gogo Inc. 2016 Omnibus Incentive Plan (incorporated by reference to Exhibit 10.4.1 to Form 10-Q filed</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9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41">
              <w:r>
                <w:rPr>
                  <w:rFonts w:ascii="Times New Roman" w:cs="Times New Roman" w:eastAsia="Times New Roman" w:hAnsi="Times New Roman"/>
                  <w:sz w:val="18"/>
                  <w:szCs w:val="18"/>
                  <w:color w:val="0000FF"/>
                  <w:w w:val="99"/>
                </w:rPr>
                <w:t>on August 5, 2022 (File No. 001-35975))</w:t>
              </w:r>
            </w:hyperlink>
          </w:p>
        </w:tc>
        <w:tc>
          <w:tcPr>
            <w:tcW w:w="6940" w:type="dxa"/>
            <w:vAlign w:val="bottom"/>
            <w:gridSpan w:val="3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9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Form of Stock Option Agreement for Gogo Inc. 2016 Omnibus Incentive Plan (incorporated by reference to Exhibit 10.4.6 to Form 10-Q</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filed on August 4, 2016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308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9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443">
              <w:r>
                <w:rPr>
                  <w:rFonts w:ascii="Times New Roman" w:cs="Times New Roman" w:eastAsia="Times New Roman" w:hAnsi="Times New Roman"/>
                  <w:sz w:val="18"/>
                  <w:szCs w:val="18"/>
                  <w:color w:val="0000FF"/>
                  <w:w w:val="99"/>
                </w:rPr>
                <w:t>2024 Omnibus Equity Incentive Plan (incorporated by reference to Exhibit 10.1 to Form 8-K filed on June 6, 2024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99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w w:val="99"/>
              </w:rPr>
            </w:pPr>
            <w:hyperlink r:id="rId444">
              <w:r>
                <w:rPr>
                  <w:rFonts w:ascii="Times New Roman" w:cs="Times New Roman" w:eastAsia="Times New Roman" w:hAnsi="Times New Roman"/>
                  <w:sz w:val="18"/>
                  <w:szCs w:val="18"/>
                  <w:color w:val="0000FF"/>
                  <w:w w:val="99"/>
                </w:rPr>
                <w:t>Old Form of Restricted Stock Unit Agreement for Gogo 2024 Omnibus Equity Incentive Plan (incorporated by reference to Exhibit 10.34</w:t>
              </w:r>
            </w:hyperlink>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to Form 10-K filed on March 14, 2025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280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308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67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New Form of Restricted Sock Unit Agreement for Gogo 2024 Omnibus Equity Incentive Plan</w:t>
            </w:r>
          </w:p>
        </w:tc>
        <w:tc>
          <w:tcPr>
            <w:tcW w:w="314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98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445">
              <w:r>
                <w:rPr>
                  <w:rFonts w:ascii="Times New Roman" w:cs="Times New Roman" w:eastAsia="Times New Roman" w:hAnsi="Times New Roman"/>
                  <w:sz w:val="18"/>
                  <w:szCs w:val="18"/>
                  <w:color w:val="0000FF"/>
                  <w:w w:val="99"/>
                </w:rPr>
                <w:t>2024 Employee Stock Purchase Plan (incorporated by reference to Exhibit 10.2 to Form 8-K filed on June 6, 2024 (File No. 001-35975))</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98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Gogo Inc. Annual Incentive Plan (as amended as of April 14, 2016) (incorporated by reference to Exhibit 10.4.10 to Form 10-Q filed on</w:t>
              </w:r>
            </w:hyperlink>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36"/>
          </w:tcPr>
          <w:p>
            <w:pPr>
              <w:spacing w:after="0" w:line="196" w:lineRule="exact"/>
              <w:rPr>
                <w:rFonts w:ascii="Times New Roman" w:cs="Times New Roman" w:eastAsia="Times New Roman" w:hAnsi="Times New Roman"/>
                <w:sz w:val="18"/>
                <w:szCs w:val="18"/>
                <w:color w:val="0000FF"/>
              </w:rPr>
            </w:pPr>
            <w:hyperlink r:id="rId446">
              <w:r>
                <w:rPr>
                  <w:rFonts w:ascii="Times New Roman" w:cs="Times New Roman" w:eastAsia="Times New Roman" w:hAnsi="Times New Roman"/>
                  <w:sz w:val="18"/>
                  <w:szCs w:val="18"/>
                  <w:color w:val="0000FF"/>
                </w:rPr>
                <w:t>August 4, 2016 (File No. 001-35975))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2"/>
        </w:trPr>
        <w:tc>
          <w:tcPr>
            <w:tcW w:w="1340" w:type="dxa"/>
            <w:vAlign w:val="bottom"/>
          </w:tcPr>
          <w:p>
            <w:pPr>
              <w:spacing w:after="0"/>
              <w:rPr>
                <w:sz w:val="24"/>
                <w:szCs w:val="24"/>
                <w:color w:val="auto"/>
              </w:rPr>
            </w:pPr>
          </w:p>
        </w:tc>
        <w:tc>
          <w:tcPr>
            <w:tcW w:w="2800" w:type="dxa"/>
            <w:vAlign w:val="bottom"/>
            <w:tcBorders>
              <w:top w:val="single" w:sz="8" w:color="0000FF"/>
            </w:tcBorders>
            <w:gridSpan w:val="3"/>
          </w:tcPr>
          <w:p>
            <w:pPr>
              <w:spacing w:after="0"/>
              <w:rPr>
                <w:sz w:val="24"/>
                <w:szCs w:val="24"/>
                <w:color w:val="auto"/>
              </w:rPr>
            </w:pPr>
          </w:p>
        </w:tc>
        <w:tc>
          <w:tcPr>
            <w:tcW w:w="20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300"/>
          </w:cols>
          <w:pgMar w:left="340" w:top="994" w:right="278"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7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Gogo Inc. Section 409A Specified Employee Policy (incorporated by reference to Exhibit 10.7 to Gogo Inc. Registration Statement on</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4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449">
              <w:r>
                <w:rPr>
                  <w:rFonts w:ascii="Times New Roman" w:cs="Times New Roman" w:eastAsia="Times New Roman" w:hAnsi="Times New Roman"/>
                  <w:sz w:val="18"/>
                  <w:szCs w:val="18"/>
                  <w:color w:val="0000FF"/>
                  <w:w w:val="99"/>
                </w:rPr>
                <w:t>Form S-1 (File No. 333-178727))</w:t>
              </w:r>
            </w:hyperlink>
          </w:p>
        </w:tc>
        <w:tc>
          <w:tcPr>
            <w:tcW w:w="7500" w:type="dxa"/>
            <w:vAlign w:val="bottom"/>
            <w:gridSpan w:val="3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95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Form of Indemnification Agreement entered into between Gogo Inc. and each of its Directors (incorporated by reference to Exhibit</w:t>
              </w:r>
            </w:hyperlink>
          </w:p>
        </w:tc>
        <w:tc>
          <w:tcPr>
            <w:tcW w:w="4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57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5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7.1</w:t>
              </w:r>
              <w:r>
                <w:rPr>
                  <w:rFonts w:ascii="Times New Roman" w:cs="Times New Roman" w:eastAsia="Times New Roman" w:hAnsi="Times New Roman"/>
                  <w:sz w:val="18"/>
                  <w:szCs w:val="18"/>
                  <w:color w:val="0000FF"/>
                  <w:w w:val="99"/>
                </w:rPr>
                <w:t xml:space="preserve"> to Gogo Inc. Registration Statement on Form S-1 (File No. 333-178727))</w:t>
              </w:r>
            </w:hyperlink>
          </w:p>
        </w:tc>
        <w:tc>
          <w:tcPr>
            <w:tcW w:w="414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992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Form of Indemnification Agreement entered into between Gogo Inc. and each of its Officers (incorporated by reference to Exhibit 10.7.2</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to Gogo Inc. Registration Statement on Form S-1 (File No. 333-178727))</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95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Form of Director Deferred Share Unit Agreement for Gogo Inc. 2013 Omnibus Incentive Plan (incorporated by reference to Exhibit</w:t>
              </w:r>
            </w:hyperlink>
          </w:p>
        </w:tc>
        <w:tc>
          <w:tcPr>
            <w:tcW w:w="3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10.2</w:t>
              </w:r>
              <w:r>
                <w:rPr>
                  <w:rFonts w:ascii="Times New Roman" w:cs="Times New Roman" w:eastAsia="Times New Roman" w:hAnsi="Times New Roman"/>
                  <w:sz w:val="18"/>
                  <w:szCs w:val="18"/>
                  <w:color w:val="0000FF"/>
                </w:rPr>
                <w:t xml:space="preserve"> to Form 10-K filed on March 14, 2014 (File No. 001-35975))</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98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Form of Director Stock Option Agreement for Gogo Inc. 2013 Omnibus Incentive Plan (incorporated by reference to Exhibit 10.10.3 to</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453">
              <w:r>
                <w:rPr>
                  <w:rFonts w:ascii="Times New Roman" w:cs="Times New Roman" w:eastAsia="Times New Roman" w:hAnsi="Times New Roman"/>
                  <w:sz w:val="18"/>
                  <w:szCs w:val="18"/>
                  <w:color w:val="0000FF"/>
                  <w:w w:val="99"/>
                </w:rPr>
                <w:t>Form 10-K filed on March 14, 2014 (File No. 001-35975))</w:t>
              </w:r>
            </w:hyperlink>
          </w:p>
        </w:tc>
        <w:tc>
          <w:tcPr>
            <w:tcW w:w="5680" w:type="dxa"/>
            <w:vAlign w:val="bottom"/>
            <w:gridSpan w:val="3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Form of Director Deferred Share Unit Agreement for Gogo Inc. 2016 Omnibus Incentive Plan (incorporated by reference to Exhibit 10.7</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804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to Form 10-Q filed on August 5, 2021 (File No. 001-35795))</w:t>
              </w:r>
            </w:hyperlink>
          </w:p>
        </w:tc>
        <w:tc>
          <w:tcPr>
            <w:tcW w:w="40" w:type="dxa"/>
            <w:vAlign w:val="bottom"/>
          </w:tcPr>
          <w:p>
            <w:pPr>
              <w:spacing w:after="0"/>
              <w:rPr>
                <w:sz w:val="17"/>
                <w:szCs w:val="17"/>
                <w:color w:val="auto"/>
              </w:rPr>
            </w:pPr>
          </w:p>
        </w:tc>
        <w:tc>
          <w:tcPr>
            <w:tcW w:w="184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992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Form of Director Stock Option Agreement for Amended and Restated Gogo Inc. 2016 Omnibus Incentive Plan (effective April 29, 2020)</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(incorporated by reference to Exhibit 10.9.1 to Form 10-Q filed on August 10, 2020 (File No. 001-35975))</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98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Amendment to Non-Employee Director Options and Deferred Stock Units for 2016 Omnibus Incentive Plan (incorporated by reference</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to Exhibit 10.8 to Form 10-Q filed on August 5, 2021 (File No. 001-35795))</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986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Form of Director Deferred Share Unit Agreement for 2024 Omnibus Equity Incentive Plan (incorporated by reference to Exhibit 10.3 to</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2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57">
              <w:r>
                <w:rPr>
                  <w:rFonts w:ascii="Times New Roman" w:cs="Times New Roman" w:eastAsia="Times New Roman" w:hAnsi="Times New Roman"/>
                  <w:sz w:val="18"/>
                  <w:szCs w:val="18"/>
                  <w:color w:val="0000FF"/>
                  <w:w w:val="99"/>
                </w:rPr>
                <w:t>Form 10-Q filed on August 7, 2024 (File No. 001-35795))</w:t>
              </w:r>
            </w:hyperlink>
          </w:p>
        </w:tc>
        <w:tc>
          <w:tcPr>
            <w:tcW w:w="572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98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Credit Agreement, dated as of April 30, 2021, among Gogo Inc., Gogo Intermediate Holdings LLC, the lenders and issuing banks party</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thereto and Morgan Stanley Senior Funding, Inc., as administrative agent (incorporated by reference to Exhibit 10.1 to Form 8-K filed on</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5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58">
              <w:r>
                <w:rPr>
                  <w:rFonts w:ascii="Times New Roman" w:cs="Times New Roman" w:eastAsia="Times New Roman" w:hAnsi="Times New Roman"/>
                  <w:sz w:val="18"/>
                  <w:szCs w:val="18"/>
                  <w:color w:val="0000FF"/>
                  <w:w w:val="99"/>
                </w:rPr>
                <w:t>May 3, 2021 (File No. 001-35975))</w:t>
              </w:r>
            </w:hyperlink>
          </w:p>
        </w:tc>
        <w:tc>
          <w:tcPr>
            <w:tcW w:w="7360" w:type="dxa"/>
            <w:vAlign w:val="bottom"/>
            <w:gridSpan w:val="3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96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Guarantee Agreement, dated as of April 30, 2021, among Gogo Inc., Gogo Intermediate Holdings LLC and certain of its subsidiaries,</w:t>
              </w:r>
            </w:hyperlink>
          </w:p>
        </w:tc>
        <w:tc>
          <w:tcPr>
            <w:tcW w:w="2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6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and Morgan Stanley Senior Funding, Inc., as collateral agent. (incorporated by reference to Exhibit 10.2 to Form 8-K filed on May 3,</w:t>
              </w:r>
            </w:hyperlink>
          </w:p>
        </w:tc>
        <w:tc>
          <w:tcPr>
            <w:tcW w:w="2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59">
              <w:r>
                <w:rPr>
                  <w:rFonts w:ascii="Times New Roman" w:cs="Times New Roman" w:eastAsia="Times New Roman" w:hAnsi="Times New Roman"/>
                  <w:sz w:val="18"/>
                  <w:szCs w:val="18"/>
                  <w:color w:val="0000FF"/>
                </w:rPr>
                <w:t>2021 (File No. 001-35975))</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992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Collateral Agreement, dated as of April 30, 2021, among Gogo Inc., Gogo Intermediate Holdings LLC and certain of its subsidiaries, and</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7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60">
              <w:r>
                <w:rPr>
                  <w:rFonts w:ascii="Times New Roman" w:cs="Times New Roman" w:eastAsia="Times New Roman" w:hAnsi="Times New Roman"/>
                  <w:sz w:val="18"/>
                  <w:szCs w:val="18"/>
                  <w:color w:val="0000FF"/>
                </w:rPr>
                <w:t>Morgan Stanley Senior Funding, Inc., as collateral agent (incorporated by reference to Exhibit 10.3 to Form 8-K filed on May 3, 2021</w:t>
              </w:r>
            </w:hyperlink>
          </w:p>
        </w:tc>
        <w:tc>
          <w:tcPr>
            <w:tcW w:w="2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6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60">
              <w:r>
                <w:rPr>
                  <w:rFonts w:ascii="Times New Roman" w:cs="Times New Roman" w:eastAsia="Times New Roman" w:hAnsi="Times New Roman"/>
                  <w:sz w:val="18"/>
                  <w:szCs w:val="18"/>
                  <w:color w:val="0000FF"/>
                  <w:w w:val="99"/>
                </w:rPr>
                <w:t>(File No. 001-35975))</w:t>
              </w:r>
            </w:hyperlink>
          </w:p>
        </w:tc>
        <w:tc>
          <w:tcPr>
            <w:tcW w:w="8320" w:type="dxa"/>
            <w:vAlign w:val="bottom"/>
            <w:gridSpan w:val="3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97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First Amendment to Credit Agreement, dated as of February 2, 2023, among Gogo Inc., Gogo Intermediate Holdings LLC and Morgan</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6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Stanley Senior Funding, Inc., as administrative agent (incorporated by reference to Exhibit 10.9.4 to Form 10-K filed on February 28,</w:t>
              </w:r>
            </w:hyperlink>
          </w:p>
        </w:tc>
        <w:tc>
          <w:tcPr>
            <w:tcW w:w="2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2023 (File No. 001-35975))</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94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Second Amendment to Credit Agreement, dated as of December 3, 2024, among Gogo Inc., Gogo Intermediate Holdings LLC, the</w:t>
              </w:r>
            </w:hyperlink>
          </w:p>
        </w:tc>
        <w:tc>
          <w:tcPr>
            <w:tcW w:w="4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6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guarantors party thereto, Morgan Stanley Senior Funding, Inc., as administrative agent, and the lenders party thereto (incorporated by</w:t>
              </w:r>
            </w:hyperlink>
          </w:p>
        </w:tc>
        <w:tc>
          <w:tcPr>
            <w:tcW w:w="2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62">
              <w:r>
                <w:rPr>
                  <w:rFonts w:ascii="Times New Roman" w:cs="Times New Roman" w:eastAsia="Times New Roman" w:hAnsi="Times New Roman"/>
                  <w:sz w:val="18"/>
                  <w:szCs w:val="18"/>
                  <w:color w:val="0000FF"/>
                </w:rPr>
                <w:t>reference to Exhibit 10.1 to Form 8-K filed on December 9, 2024 (File No. 001-35975))</w:t>
              </w:r>
            </w:hyperlink>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97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Credit Agreement, dated as of December 3, 2024, among Gogo Inc. Gogo Intermediate Holdings LLC, HPS Investment Partners, LLC,</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84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as administrative agent, and the lenders party thereto (incorporated by reference to Exhibit 10.2 to Form 8-K filed on December 9, 2024</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16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463">
              <w:r>
                <w:rPr>
                  <w:rFonts w:ascii="Times New Roman" w:cs="Times New Roman" w:eastAsia="Times New Roman" w:hAnsi="Times New Roman"/>
                  <w:sz w:val="18"/>
                  <w:szCs w:val="18"/>
                  <w:color w:val="0000FF"/>
                  <w:w w:val="99"/>
                </w:rPr>
                <w:t>(File No. 001-35975))</w:t>
              </w:r>
            </w:hyperlink>
          </w:p>
        </w:tc>
        <w:tc>
          <w:tcPr>
            <w:tcW w:w="8320" w:type="dxa"/>
            <w:vAlign w:val="bottom"/>
            <w:gridSpan w:val="3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94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Restricted Stock Unit Agreement (Inducement), dated as of March 14, 2025, by and between the Company and Christopher Moore</w:t>
              </w:r>
            </w:hyperlink>
          </w:p>
        </w:tc>
        <w:tc>
          <w:tcPr>
            <w:tcW w:w="4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73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464">
              <w:r>
                <w:rPr>
                  <w:rFonts w:ascii="Times New Roman" w:cs="Times New Roman" w:eastAsia="Times New Roman" w:hAnsi="Times New Roman"/>
                  <w:sz w:val="18"/>
                  <w:szCs w:val="18"/>
                  <w:color w:val="0000FF"/>
                  <w:w w:val="99"/>
                </w:rPr>
                <w:t>(incorporated by reference to Exhibit 99.1 to Form S-8 filed on March 14, 2025 (File No. 001-35975))</w:t>
              </w:r>
            </w:hyperlink>
          </w:p>
        </w:tc>
        <w:tc>
          <w:tcPr>
            <w:tcW w:w="254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92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Restricted Stock Unit Agreement (Inducement), dated as of March 14, 2025, by and between the Company and Zachary Cotner</w:t>
              </w:r>
            </w:hyperlink>
          </w:p>
        </w:tc>
        <w:tc>
          <w:tcPr>
            <w:tcW w:w="70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73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465">
              <w:r>
                <w:rPr>
                  <w:rFonts w:ascii="Times New Roman" w:cs="Times New Roman" w:eastAsia="Times New Roman" w:hAnsi="Times New Roman"/>
                  <w:sz w:val="18"/>
                  <w:szCs w:val="18"/>
                  <w:color w:val="0000FF"/>
                  <w:w w:val="99"/>
                </w:rPr>
                <w:t>(incorporated by reference to Exhibit 99.2 to Form S-8 filed on March 14, 2025 (File No. 001-35975))</w:t>
              </w:r>
            </w:hyperlink>
          </w:p>
        </w:tc>
        <w:tc>
          <w:tcPr>
            <w:tcW w:w="254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Insider Trading Policy (incorporated by reference to Exhibit 19 to Form 10-K filed on March 14, 2025 (File No. 001-35975))</w:t>
              </w:r>
            </w:hyperlink>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02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w:t>
            </w:r>
          </w:p>
        </w:tc>
        <w:tc>
          <w:tcPr>
            <w:tcW w:w="90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2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Independent Registered Public Accounting Firm – Deloitte &amp; Touche LLP</w:t>
            </w:r>
          </w:p>
        </w:tc>
        <w:tc>
          <w:tcPr>
            <w:tcW w:w="370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99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040" w:type="dxa"/>
            <w:vAlign w:val="bottom"/>
            <w:gridSpan w:val="1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900" w:type="dxa"/>
            <w:vAlign w:val="bottom"/>
            <w:tcBorders>
              <w:bottom w:val="single" w:sz="8" w:color="0000FF"/>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540" w:type="dxa"/>
            <w:vAlign w:val="bottom"/>
            <w:gridSpan w:val="1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840" w:type="dxa"/>
            <w:vAlign w:val="bottom"/>
            <w:tcBorders>
              <w:bottom w:val="single" w:sz="8" w:color="0000FF"/>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540" w:type="dxa"/>
            <w:vAlign w:val="bottom"/>
            <w:gridSpan w:val="1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56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 Section 1350, as adopted pursuant to Section 906 of the Sarbanes-</w:t>
            </w:r>
          </w:p>
        </w:tc>
        <w:tc>
          <w:tcPr>
            <w:tcW w:w="3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6540" w:type="dxa"/>
            <w:vAlign w:val="bottom"/>
            <w:gridSpan w:val="1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92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 Sarbanes-</w:t>
            </w: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500" w:type="dxa"/>
            <w:vAlign w:val="bottom"/>
            <w:tcBorders>
              <w:top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4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6640" w:type="dxa"/>
            <w:vAlign w:val="bottom"/>
            <w:gridSpan w:val="21"/>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6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Policy Relating to Recovery of Erroneously Awarded Compensation (incorporated by reference to Exhibit 4.3 to Form 10-K filed on</w:t>
              </w:r>
            </w:hyperlink>
          </w:p>
        </w:tc>
        <w:tc>
          <w:tcPr>
            <w:tcW w:w="3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20" w:type="dxa"/>
            <w:vAlign w:val="bottom"/>
            <w:gridSpan w:val="40"/>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February 28, 2024 (File No. 001-35975))</w:t>
              </w:r>
            </w:hyperlink>
          </w:p>
        </w:tc>
        <w:tc>
          <w:tcPr>
            <w:tcW w:w="20" w:type="dxa"/>
            <w:vAlign w:val="bottom"/>
          </w:tcPr>
          <w:p>
            <w:pPr>
              <w:spacing w:after="0"/>
              <w:rPr>
                <w:sz w:val="17"/>
                <w:szCs w:val="17"/>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9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960" w:type="dxa"/>
            <w:vAlign w:val="bottom"/>
            <w:gridSpan w:val="33"/>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5000" w:type="dxa"/>
            <w:vAlign w:val="bottom"/>
            <w:gridSpan w:val="12"/>
          </w:tcPr>
          <w:p>
            <w:pPr>
              <w:ind w:left="416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80"/>
          </w:cols>
          <w:pgMar w:left="340" w:top="994" w:right="298" w:bottom="1440" w:gutter="0" w:footer="0" w:header="0"/>
        </w:sectPr>
      </w:pPr>
    </w:p>
    <w:bookmarkStart w:id="108" w:name="page109"/>
    <w:bookmarkEnd w:id="108"/>
    <w:tbl>
      <w:tblPr>
        <w:tblLayout w:type="fixed"/>
        <w:tblInd w:w="7"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ind w:left="1347" w:hanging="1347"/>
        <w:spacing w:after="0"/>
        <w:tabs>
          <w:tab w:leader="none" w:pos="13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347" w:hanging="1347"/>
        <w:spacing w:after="0"/>
        <w:tabs>
          <w:tab w:leader="none" w:pos="1347"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other similar attachments to such agreement have been omitted pursuant to Item 601(a)(5) of Regulation S-K.</w:t>
      </w:r>
    </w:p>
    <w:p>
      <w:pPr>
        <w:spacing w:after="0" w:line="21" w:lineRule="exact"/>
        <w:rPr>
          <w:sz w:val="20"/>
          <w:szCs w:val="20"/>
          <w:color w:val="auto"/>
        </w:rPr>
      </w:pPr>
    </w:p>
    <w:p>
      <w:pPr>
        <w:ind w:left="1347" w:hanging="1347"/>
        <w:spacing w:after="0"/>
        <w:tabs>
          <w:tab w:leader="none" w:pos="13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9" w:lineRule="exact"/>
        <w:rPr>
          <w:sz w:val="20"/>
          <w:szCs w:val="20"/>
          <w:color w:val="auto"/>
        </w:rPr>
      </w:pPr>
    </w:p>
    <w:p>
      <w:pPr>
        <w:ind w:left="5507" w:right="2020" w:hanging="5507"/>
        <w:spacing w:after="0" w:line="511" w:lineRule="auto"/>
        <w:tabs>
          <w:tab w:leader="none" w:pos="13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this exhibit have been omitted pursuant to Item 601 (b)(10)(iv) of Regulation S-K.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319405</wp:posOffset>
            </wp:positionV>
            <wp:extent cx="71831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867"/>
          </w:cols>
          <w:pgMar w:left="333" w:top="1007" w:right="718"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378"/>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38"/>
          </w:cols>
          <w:pgMar w:left="340" w:top="1084" w:right="1440" w:bottom="1440" w:gutter="0" w:footer="0" w:header="0"/>
        </w:sectPr>
      </w:pPr>
    </w:p>
    <w:bookmarkStart w:id="110" w:name="page111"/>
    <w:bookmarkEnd w:id="1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80" w:firstLine="51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Gogo Inc. (the registrant) has duly caused this report to be signed on its behalf by the undersigned, thereunto duly authorized, on February 27, 2026.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Gogo Inc.</w:t>
            </w:r>
          </w:p>
        </w:tc>
        <w:tc>
          <w:tcPr>
            <w:tcW w:w="3760" w:type="dxa"/>
            <w:vAlign w:val="bottom"/>
          </w:tcPr>
          <w:p>
            <w:pPr>
              <w:spacing w:after="0"/>
              <w:rPr>
                <w:sz w:val="15"/>
                <w:szCs w:val="15"/>
                <w:color w:val="auto"/>
              </w:rPr>
            </w:pPr>
          </w:p>
        </w:tc>
      </w:tr>
      <w:tr>
        <w:trPr>
          <w:trHeight w:val="179"/>
        </w:trPr>
        <w:tc>
          <w:tcPr>
            <w:tcW w:w="11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Christopher Moore</w:t>
            </w:r>
          </w:p>
        </w:tc>
      </w:tr>
      <w:tr>
        <w:trPr>
          <w:trHeight w:val="138"/>
        </w:trPr>
        <w:tc>
          <w:tcPr>
            <w:tcW w:w="118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Name:</w:t>
            </w:r>
          </w:p>
        </w:tc>
        <w:tc>
          <w:tcPr>
            <w:tcW w:w="376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Christopher Moore</w:t>
            </w:r>
          </w:p>
        </w:tc>
      </w:tr>
      <w:tr>
        <w:trPr>
          <w:trHeight w:val="162"/>
        </w:trPr>
        <w:tc>
          <w:tcPr>
            <w:tcW w:w="1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Title:</w:t>
            </w:r>
          </w:p>
        </w:tc>
        <w:tc>
          <w:tcPr>
            <w:tcW w:w="37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Chief Executive Officer and Director</w:t>
            </w:r>
          </w:p>
        </w:tc>
      </w:tr>
      <w:tr>
        <w:trPr>
          <w:trHeight w:val="198"/>
        </w:trPr>
        <w:tc>
          <w:tcPr>
            <w:tcW w:w="118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r>
    </w:tbl>
    <w:p>
      <w:pPr>
        <w:spacing w:after="0" w:line="10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80" w:firstLine="511"/>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Zachary Cotner and Crystal L. Gordon, and each of them, his or her true and lawful attorneys-in-fact and agents, with full power to act separately and full power of substitution and resubstitution, for him or her and in his or her name, place and stead, in any and all capacities, to sign any and all amendments to this Annual Report on Form 10-K, and to file the same, with all exhibits thereto, and all other documents in connection therewith, with the Securities and Exchange Commission, granting unto said attorney-in-facts and agents, and each of them, full power and authority to do and perform each and every act and thing requisite and necessary to be done in and about the premises, as fully to all intents and purposes as they or he or she might or could do in person, hereby ratifying and confirming all that said attorneys-in-fact and agents or either of them or his or their substitute or substitutes may lawfully do or cause to be done by virtue hereof.</w:t>
      </w:r>
    </w:p>
    <w:p>
      <w:pPr>
        <w:spacing w:after="0" w:line="84" w:lineRule="exact"/>
        <w:rPr>
          <w:sz w:val="20"/>
          <w:szCs w:val="20"/>
          <w:color w:val="auto"/>
        </w:rPr>
      </w:pPr>
    </w:p>
    <w:p>
      <w:pPr>
        <w:ind w:firstLine="511"/>
        <w:spacing w:after="0" w:line="261" w:lineRule="auto"/>
        <w:rPr>
          <w:sz w:val="20"/>
          <w:szCs w:val="20"/>
          <w:color w:val="auto"/>
        </w:rPr>
      </w:pPr>
      <w:r>
        <w:rPr>
          <w:rFonts w:ascii="Times New Roman" w:cs="Times New Roman" w:eastAsia="Times New Roman" w:hAnsi="Times New Roman"/>
          <w:sz w:val="18"/>
          <w:szCs w:val="18"/>
          <w:color w:val="auto"/>
        </w:rPr>
        <w:t>This Power of Attorney shall not revoke any powers of attorney previously executed by the undersigned. This Power of Attorney shall not be revoked by any subsequent power of attorney that the undersigned may execute, unless such subsequent power of attorney specifically provides that it revokes this Power of Attorney by referring to the date of the undersigned’s execution of this Power of Attorney. For the avoidance of doubt, whenever two or more powers of attorney granting the powers specified herein are valid, the agents appointed on each shall act separately unless otherwise specified.</w:t>
      </w:r>
    </w:p>
    <w:p>
      <w:pPr>
        <w:spacing w:after="0" w:line="72" w:lineRule="exact"/>
        <w:rPr>
          <w:sz w:val="20"/>
          <w:szCs w:val="20"/>
          <w:color w:val="auto"/>
        </w:rPr>
      </w:pPr>
    </w:p>
    <w:p>
      <w:pPr>
        <w:ind w:right="300" w:firstLine="51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Gogo Inc. and in the capacities indicated, on February 27, 2026.</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2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3700" w:type="dxa"/>
            <w:vAlign w:val="bottom"/>
            <w:gridSpan w:val="3"/>
          </w:tcPr>
          <w:p>
            <w:pPr>
              <w:ind w:left="3340"/>
              <w:spacing w:after="0"/>
              <w:rPr>
                <w:sz w:val="20"/>
                <w:szCs w:val="20"/>
                <w:color w:val="auto"/>
              </w:rPr>
            </w:pPr>
            <w:r>
              <w:rPr>
                <w:rFonts w:ascii="Times New Roman" w:cs="Times New Roman" w:eastAsia="Times New Roman" w:hAnsi="Times New Roman"/>
                <w:sz w:val="15"/>
                <w:szCs w:val="15"/>
                <w:b w:val="1"/>
                <w:bCs w:val="1"/>
                <w:color w:val="auto"/>
              </w:rPr>
              <w:t>Title</w:t>
            </w:r>
          </w:p>
        </w:tc>
      </w:tr>
      <w:tr>
        <w:trPr>
          <w:trHeight w:val="196"/>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Christopher Moore</w:t>
            </w:r>
          </w:p>
        </w:tc>
        <w:tc>
          <w:tcPr>
            <w:tcW w:w="640" w:type="dxa"/>
            <w:vAlign w:val="bottom"/>
            <w:tcBorders>
              <w:top w:val="single" w:sz="8" w:color="auto"/>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33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Chief Executive Officer and Director</w:t>
            </w:r>
          </w:p>
        </w:tc>
        <w:tc>
          <w:tcPr>
            <w:tcW w:w="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Christopher Moore</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Zachary Cotner</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Zachary Cotner</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(Principal Financial Officer)</w:t>
            </w: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Leigh Goldfine</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Vice President, Controller and Chief Accounting Officer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Leigh Goldfine</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(Principal Accounting Officer)</w:t>
            </w: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Mark Anderson</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Mark Anderson</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Hugh W. Jones</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Lead Independent Director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Hugh W. Jones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Monte J.M. Koch</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Monte J.M. Koch</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Michele Coleman Mayes</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Michele Coleman Mayes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Michael Minihan</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Michael Minihan</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Oakleigh Thorne</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Chair of the Board</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Oakleigh Thorne</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Charles C. Townsend</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Charles C. Townsend</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7"/>
        </w:trPr>
        <w:tc>
          <w:tcPr>
            <w:tcW w:w="4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color w:val="auto"/>
              </w:rPr>
              <w:t>/s/ Harris N. Williams</w:t>
            </w: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r>
      <w:tr>
        <w:trPr>
          <w:trHeight w:val="192"/>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Harris N. Williams</w:t>
            </w:r>
          </w:p>
        </w:tc>
        <w:tc>
          <w:tcPr>
            <w:tcW w:w="3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484505</wp:posOffset>
            </wp:positionV>
            <wp:extent cx="71831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20"/>
          </w:cols>
          <w:pgMar w:left="340" w:top="976" w:right="358" w:bottom="1440" w:gutter="0" w:footer="0" w:header="0"/>
        </w:sectPr>
      </w:pPr>
    </w:p>
    <w:bookmarkStart w:id="111" w:name="page112"/>
    <w:bookmarkEnd w:id="111"/>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12" w:name="page113"/>
    <w:bookmarkEnd w:id="112"/>
    <w:p>
      <w:pPr>
        <w:ind w:left="7520"/>
        <w:spacing w:after="0"/>
        <w:rPr>
          <w:sz w:val="20"/>
          <w:szCs w:val="20"/>
          <w:color w:val="auto"/>
        </w:rPr>
      </w:pPr>
      <w:r>
        <w:rPr>
          <w:rFonts w:ascii="Times New Roman" w:cs="Times New Roman" w:eastAsia="Times New Roman" w:hAnsi="Times New Roman"/>
          <w:sz w:val="19"/>
          <w:szCs w:val="19"/>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166" w:lineRule="exact"/>
        <w:rPr>
          <w:sz w:val="20"/>
          <w:szCs w:val="20"/>
          <w:color w:val="auto"/>
        </w:rPr>
      </w:pPr>
    </w:p>
    <w:p>
      <w:pPr>
        <w:jc w:val="both"/>
        <w:ind w:left="460" w:right="638" w:firstLine="648"/>
        <w:spacing w:after="0" w:line="245" w:lineRule="auto"/>
        <w:rPr>
          <w:sz w:val="20"/>
          <w:szCs w:val="20"/>
          <w:color w:val="auto"/>
        </w:rPr>
      </w:pPr>
      <w:r>
        <w:rPr>
          <w:rFonts w:ascii="Times New Roman" w:cs="Times New Roman" w:eastAsia="Times New Roman" w:hAnsi="Times New Roman"/>
          <w:sz w:val="20"/>
          <w:szCs w:val="20"/>
          <w:color w:val="auto"/>
        </w:rPr>
        <w:t>RESTRICTED STOCK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the Grant Date set forth in the Notice of Grant (as defined below), by and between Gogo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whose name appears in the Notice of Grant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pursuant to the Gogo Inc. 2024 Omnibus Equity Incentive Plan, as in effect and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Capitalized terms that are not defined herein shall have the meanings given to such terms in the Plan.</w:t>
      </w:r>
    </w:p>
    <w:p>
      <w:pPr>
        <w:spacing w:after="0" w:line="130" w:lineRule="exact"/>
        <w:rPr>
          <w:sz w:val="20"/>
          <w:szCs w:val="20"/>
          <w:color w:val="auto"/>
        </w:rPr>
      </w:pPr>
    </w:p>
    <w:p>
      <w:pPr>
        <w:jc w:val="both"/>
        <w:ind w:left="460" w:right="438" w:firstLine="654"/>
        <w:spacing w:after="0" w:line="243" w:lineRule="auto"/>
        <w:tabs>
          <w:tab w:leader="none" w:pos="134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Stock Units</w:t>
      </w:r>
      <w:r>
        <w:rPr>
          <w:rFonts w:ascii="Times New Roman" w:cs="Times New Roman" w:eastAsia="Times New Roman" w:hAnsi="Times New Roman"/>
          <w:sz w:val="20"/>
          <w:szCs w:val="20"/>
          <w:color w:val="auto"/>
        </w:rPr>
        <w:t>. The Company hereby evidences and confirms its grant to the Participant, effective as of the Grant Date, of the number of restricted stock units (the “</w:t>
      </w:r>
      <w:r>
        <w:rPr>
          <w:rFonts w:ascii="Times New Roman" w:cs="Times New Roman" w:eastAsia="Times New Roman" w:hAnsi="Times New Roman"/>
          <w:sz w:val="20"/>
          <w:szCs w:val="20"/>
          <w:u w:val="single" w:color="auto"/>
          <w:color w:val="auto"/>
        </w:rPr>
        <w:t>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Stock Units</w:t>
      </w:r>
      <w:r>
        <w:rPr>
          <w:rFonts w:ascii="Times New Roman" w:cs="Times New Roman" w:eastAsia="Times New Roman" w:hAnsi="Times New Roman"/>
          <w:sz w:val="20"/>
          <w:szCs w:val="20"/>
          <w:color w:val="auto"/>
        </w:rPr>
        <w:t>”) specified in the Gogo Inc. 2024 Omnibus Equity Incentive Plan Restricted Stock Unit Grant Notice delivered by the Company to the Participant (the “</w:t>
      </w:r>
      <w:r>
        <w:rPr>
          <w:rFonts w:ascii="Times New Roman" w:cs="Times New Roman" w:eastAsia="Times New Roman" w:hAnsi="Times New Roman"/>
          <w:sz w:val="20"/>
          <w:szCs w:val="20"/>
          <w:u w:val="single" w:color="auto"/>
          <w:color w:val="auto"/>
        </w:rPr>
        <w:t>Notice of Grant</w:t>
      </w:r>
      <w:r>
        <w:rPr>
          <w:rFonts w:ascii="Times New Roman" w:cs="Times New Roman" w:eastAsia="Times New Roman" w:hAnsi="Times New Roman"/>
          <w:sz w:val="20"/>
          <w:szCs w:val="20"/>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The Restricted Stock Units shall be considered Service Awards under the Plan.</w:t>
      </w:r>
    </w:p>
    <w:p>
      <w:pPr>
        <w:spacing w:after="0" w:line="135" w:lineRule="exact"/>
        <w:rPr>
          <w:rFonts w:ascii="Times New Roman" w:cs="Times New Roman" w:eastAsia="Times New Roman" w:hAnsi="Times New Roman"/>
          <w:sz w:val="20"/>
          <w:szCs w:val="20"/>
          <w:color w:val="auto"/>
        </w:rPr>
      </w:pPr>
    </w:p>
    <w:p>
      <w:pPr>
        <w:ind w:left="1340" w:hanging="226"/>
        <w:spacing w:after="0"/>
        <w:tabs>
          <w:tab w:leader="none" w:pos="1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Restricted Stock Units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120" w:right="438" w:firstLine="642"/>
        <w:spacing w:after="0" w:line="249" w:lineRule="auto"/>
        <w:tabs>
          <w:tab w:leader="none" w:pos="223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Except as otherwise provided in this Section 2, the Restricted Stock Units shall become vested, if at all in the amount(s), and on the vesting date(s) set forth in the Notice of Grant (each,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continued employment of the Participant by the Company or any Subsidiary thereof through such date.</w:t>
      </w:r>
    </w:p>
    <w:p>
      <w:pPr>
        <w:spacing w:after="0" w:line="125" w:lineRule="exact"/>
        <w:rPr>
          <w:rFonts w:ascii="Times New Roman" w:cs="Times New Roman" w:eastAsia="Times New Roman" w:hAnsi="Times New Roman"/>
          <w:sz w:val="20"/>
          <w:szCs w:val="20"/>
          <w:color w:val="auto"/>
        </w:rPr>
      </w:pPr>
    </w:p>
    <w:p>
      <w:pPr>
        <w:ind w:left="2220" w:hanging="458"/>
        <w:spacing w:after="0"/>
        <w:tabs>
          <w:tab w:leader="none" w:pos="22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760" w:right="438" w:firstLine="650"/>
        <w:spacing w:after="0" w:line="243" w:lineRule="auto"/>
        <w:tabs>
          <w:tab w:leader="none" w:pos="2667"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a Participant’s employment with the Company terminates due to death or Disability, prior to a Vesting Date, the Restricted Stock Units shall be deemed vested with respect to the number of Restricted Stock Units that would have vested had the Participant’s Service continued until the next Vesting Date immediately following the date of the Participant’s death or the effective date of the Participant’s Termination of Service due to Disability. Any remaining unvested Restricted Stock Units shall immediately be forfeited and cancelled effective as of the date of the Participant’s death or effective date of the Participant’s Termination of Service due to Disability.</w:t>
      </w:r>
    </w:p>
    <w:p>
      <w:pPr>
        <w:spacing w:after="0" w:line="131" w:lineRule="exact"/>
        <w:rPr>
          <w:rFonts w:ascii="Times New Roman" w:cs="Times New Roman" w:eastAsia="Times New Roman" w:hAnsi="Times New Roman"/>
          <w:sz w:val="20"/>
          <w:szCs w:val="20"/>
          <w:color w:val="auto"/>
        </w:rPr>
      </w:pPr>
    </w:p>
    <w:p>
      <w:pPr>
        <w:jc w:val="both"/>
        <w:ind w:left="1760" w:right="438" w:firstLine="650"/>
        <w:spacing w:after="0" w:line="241" w:lineRule="auto"/>
        <w:tabs>
          <w:tab w:leader="none" w:pos="2667"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If a Participant’s employment with the Company terminates due to Retirement, prior to a Vesting Date, the Restricted Stock Units shall be deemed vested with respect to the product of (A) the number of Restricted Stock Units that would have vested had the Participant’s Service continued until the next Vesting Date immediately following the date of the Participant’s Termination of Service due to Retirement and (B) a fraction: (x) the numerator of which is the number of full calendar days as of the effective date of Retirement that have elapsed since the most recent to occur of (a) the Grant Date and (b) a Vesting Date and (y) the denominator of which is the number of full calendar days from the most recent to occur of (a) the Grant Date or (b) a Vesting Date through the next Vesting Date immediately following the effective date of Retirement. Any remaining unvested Restricted Stock Units shall immediately be forfeited and cancelled effective as of the effective date of the Participant’s Retirement. For purposes of this Agreement, “Retirement” shall mean:</w:t>
      </w:r>
    </w:p>
    <w:p>
      <w:pPr>
        <w:spacing w:after="0" w:line="141" w:lineRule="exact"/>
        <w:rPr>
          <w:rFonts w:ascii="Times New Roman" w:cs="Times New Roman" w:eastAsia="Times New Roman" w:hAnsi="Times New Roman"/>
          <w:sz w:val="20"/>
          <w:szCs w:val="20"/>
          <w:color w:val="auto"/>
        </w:rPr>
      </w:pPr>
    </w:p>
    <w:p>
      <w:pPr>
        <w:jc w:val="both"/>
        <w:ind w:left="1840" w:right="438" w:firstLine="1218"/>
        <w:spacing w:after="0" w:line="254" w:lineRule="auto"/>
        <w:tabs>
          <w:tab w:leader="none" w:pos="3551" w:val="left"/>
        </w:tabs>
        <w:numPr>
          <w:ilvl w:val="3"/>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Participants employed in the United Kingdom and the European Union, such Participant’s Termination of Service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969645</wp:posOffset>
            </wp:positionV>
            <wp:extent cx="68402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3">
                      <a:extLst>
                        <a:ext uri="{28A0092B-C50C-407E-A947-70E740481C1C}"/>
                      </a:extLst>
                    </a:blip>
                    <a:srcRect/>
                    <a:stretch>
                      <a:fillRect/>
                    </a:stretch>
                  </pic:blipFill>
                  <pic:spPr bwMode="auto">
                    <a:xfrm>
                      <a:off x="0" y="0"/>
                      <a:ext cx="6840220" cy="42545"/>
                    </a:xfrm>
                    <a:prstGeom prst="rect">
                      <a:avLst/>
                    </a:prstGeom>
                    <a:noFill/>
                  </pic:spPr>
                </pic:pic>
              </a:graphicData>
            </a:graphic>
          </wp:anchor>
        </w:drawing>
      </w:r>
    </w:p>
    <w:p>
      <w:pPr>
        <w:sectPr>
          <w:pgSz w:w="11920" w:h="16838" w:orient="portrait"/>
          <w:cols w:equalWidth="0" w:num="1">
            <w:col w:w="9038"/>
          </w:cols>
          <w:pgMar w:left="1440" w:top="908" w:right="1440" w:bottom="1440" w:gutter="0" w:footer="0" w:header="0"/>
        </w:sectPr>
      </w:pPr>
    </w:p>
    <w:bookmarkStart w:id="113" w:name="page114"/>
    <w:bookmarkEnd w:id="113"/>
    <w:p>
      <w:pPr>
        <w:jc w:val="both"/>
        <w:ind w:left="1840" w:right="438"/>
        <w:spacing w:after="0" w:line="254" w:lineRule="auto"/>
        <w:rPr>
          <w:sz w:val="20"/>
          <w:szCs w:val="20"/>
          <w:color w:val="auto"/>
        </w:rPr>
      </w:pPr>
      <w:r>
        <w:rPr>
          <w:rFonts w:ascii="Times New Roman" w:cs="Times New Roman" w:eastAsia="Times New Roman" w:hAnsi="Times New Roman"/>
          <w:sz w:val="20"/>
          <w:szCs w:val="20"/>
          <w:color w:val="auto"/>
        </w:rPr>
        <w:t>(other than a termination for Cause) occurring in accordance with prevailing policies operated by the Company and its Affiliates from time to time subject always to final determination by the Committee; and</w:t>
      </w:r>
    </w:p>
    <w:p>
      <w:pPr>
        <w:spacing w:after="0" w:line="120" w:lineRule="exact"/>
        <w:rPr>
          <w:sz w:val="20"/>
          <w:szCs w:val="20"/>
          <w:color w:val="auto"/>
        </w:rPr>
      </w:pPr>
    </w:p>
    <w:p>
      <w:pPr>
        <w:jc w:val="both"/>
        <w:ind w:left="1760" w:right="438" w:firstLine="1298"/>
        <w:spacing w:after="0" w:line="246" w:lineRule="auto"/>
        <w:tabs>
          <w:tab w:leader="none" w:pos="3548" w:val="left"/>
        </w:tabs>
        <w:numPr>
          <w:ilvl w:val="4"/>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all other cases, a Participant’s Termination of Service with the Company (other than a termination for Cause) occurring on or after the date on which either (x) the Participant reaches the age of 65 or (y) the Participant’s age plus years of service equal seventy-five (75) (as determined by the Committee in its sole discretion).</w:t>
      </w:r>
    </w:p>
    <w:p>
      <w:pPr>
        <w:spacing w:after="0" w:line="130" w:lineRule="exact"/>
        <w:rPr>
          <w:rFonts w:ascii="Times New Roman" w:cs="Times New Roman" w:eastAsia="Times New Roman" w:hAnsi="Times New Roman"/>
          <w:sz w:val="20"/>
          <w:szCs w:val="20"/>
          <w:color w:val="auto"/>
        </w:rPr>
      </w:pPr>
    </w:p>
    <w:p>
      <w:pPr>
        <w:jc w:val="both"/>
        <w:ind w:left="1760" w:right="438" w:firstLine="650"/>
        <w:spacing w:after="0" w:line="246" w:lineRule="auto"/>
        <w:tabs>
          <w:tab w:leader="none" w:pos="2667" w:val="left"/>
        </w:tabs>
        <w:numPr>
          <w:ilvl w:val="3"/>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Terminations</w:t>
      </w:r>
      <w:r>
        <w:rPr>
          <w:rFonts w:ascii="Times New Roman" w:cs="Times New Roman" w:eastAsia="Times New Roman" w:hAnsi="Times New Roman"/>
          <w:sz w:val="20"/>
          <w:szCs w:val="20"/>
          <w:color w:val="auto"/>
        </w:rPr>
        <w:t>. If a Participant’s employment with the Company is terminated due to circumstances other than as set forth in Section 2(b)(i) or (ii), the Restricted Stock Units shall be vested only to the extent they are vested as of the effective date of the Participant’s Termination of Service, and all unvested Restricted Stock Units shall be forfeited and cancelled, as of such effective date.</w:t>
      </w:r>
    </w:p>
    <w:p>
      <w:pPr>
        <w:spacing w:after="0" w:line="130" w:lineRule="exact"/>
        <w:rPr>
          <w:rFonts w:ascii="Times New Roman" w:cs="Times New Roman" w:eastAsia="Times New Roman" w:hAnsi="Times New Roman"/>
          <w:sz w:val="20"/>
          <w:szCs w:val="20"/>
          <w:color w:val="auto"/>
        </w:rPr>
      </w:pPr>
    </w:p>
    <w:p>
      <w:pPr>
        <w:jc w:val="both"/>
        <w:ind w:left="1120" w:right="438" w:firstLine="642"/>
        <w:spacing w:after="0" w:line="254" w:lineRule="auto"/>
        <w:tabs>
          <w:tab w:leader="none" w:pos="2234"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w:t>
      </w: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e in Control</w:t>
      </w:r>
      <w:r>
        <w:rPr>
          <w:rFonts w:ascii="Times New Roman" w:cs="Times New Roman" w:eastAsia="Times New Roman" w:hAnsi="Times New Roman"/>
          <w:sz w:val="20"/>
          <w:szCs w:val="20"/>
          <w:color w:val="auto"/>
        </w:rPr>
        <w:t>. In the event of a Change in Control then, subject to determination by the Committee, the Restricted Stock Units shall either vest or continue and shall have such treatment as set forth in the Plan.</w:t>
      </w:r>
    </w:p>
    <w:p>
      <w:pPr>
        <w:spacing w:after="0" w:line="120" w:lineRule="exact"/>
        <w:rPr>
          <w:rFonts w:ascii="Times New Roman" w:cs="Times New Roman" w:eastAsia="Times New Roman" w:hAnsi="Times New Roman"/>
          <w:sz w:val="20"/>
          <w:szCs w:val="20"/>
          <w:color w:val="auto"/>
        </w:rPr>
      </w:pPr>
    </w:p>
    <w:p>
      <w:pPr>
        <w:jc w:val="both"/>
        <w:ind w:left="1120" w:right="438" w:firstLine="642"/>
        <w:spacing w:after="0" w:line="249" w:lineRule="auto"/>
        <w:tabs>
          <w:tab w:leader="none" w:pos="2234"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Discretion</w:t>
      </w:r>
      <w:r>
        <w:rPr>
          <w:rFonts w:ascii="Times New Roman" w:cs="Times New Roman" w:eastAsia="Times New Roman" w:hAnsi="Times New Roman"/>
          <w:sz w:val="20"/>
          <w:szCs w:val="20"/>
          <w:color w:val="auto"/>
        </w:rPr>
        <w:t>. Notwithstanding anything contained in this Agreement to the contrary, subject to Section 15(m) of the Plan, the Committee, in its sole discretion, may accelerate the vesting with respect to any Restricted Stock Units under this Agreement, at such times and upon such terms and conditions as the Committee shall determine.</w:t>
      </w:r>
    </w:p>
    <w:p>
      <w:pPr>
        <w:spacing w:after="0" w:line="125" w:lineRule="exact"/>
        <w:rPr>
          <w:rFonts w:ascii="Times New Roman" w:cs="Times New Roman" w:eastAsia="Times New Roman" w:hAnsi="Times New Roman"/>
          <w:sz w:val="20"/>
          <w:szCs w:val="20"/>
          <w:color w:val="auto"/>
        </w:rPr>
      </w:pPr>
    </w:p>
    <w:p>
      <w:pPr>
        <w:jc w:val="both"/>
        <w:ind w:left="460" w:right="438" w:firstLine="654"/>
        <w:spacing w:after="0" w:line="256" w:lineRule="auto"/>
        <w:tabs>
          <w:tab w:leader="none" w:pos="1341"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 of Restricted Stock Units</w:t>
      </w:r>
      <w:r>
        <w:rPr>
          <w:rFonts w:ascii="Times New Roman" w:cs="Times New Roman" w:eastAsia="Times New Roman" w:hAnsi="Times New Roman"/>
          <w:sz w:val="19"/>
          <w:szCs w:val="19"/>
          <w:color w:val="auto"/>
        </w:rPr>
        <w:t>. Subject to Section 7(d), the Company shall deliver to the Participant one share of Stock (or the value thereof) in settlement of each outstanding Restricted Stock Unit that has vested as provided in Section 2 of this Agreement on the Vesting Date (or within 30 days thereafter, but in no event later than March 15 of the year following the year in which the Vesting Date occurred) as determined by the Committee in its sole discretion (A) in Stock by either,</w:t>
      </w:r>
    </w:p>
    <w:p>
      <w:pPr>
        <w:spacing w:after="0" w:line="4" w:lineRule="exact"/>
        <w:rPr>
          <w:rFonts w:ascii="Times New Roman" w:cs="Times New Roman" w:eastAsia="Times New Roman" w:hAnsi="Times New Roman"/>
          <w:sz w:val="19"/>
          <w:szCs w:val="19"/>
          <w:color w:val="auto"/>
        </w:rPr>
      </w:pPr>
    </w:p>
    <w:p>
      <w:pPr>
        <w:jc w:val="both"/>
        <w:ind w:left="460" w:right="438" w:firstLine="6"/>
        <w:spacing w:after="0" w:line="256" w:lineRule="auto"/>
        <w:tabs>
          <w:tab w:leader="none" w:pos="77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issuing one or more certificates evidencing the Stock to the Participant or (y) registering the issuance of the Stock in the name of the Participant through a book entry credit in the records of the Company’s transfer agent or (B) by a cash payment equal to the Fair Market Value of the Stock on the settlement date (or any combination of the forgoing in clauses (A) and (B)). No fractional shares of Stock shall be issued in settlement of Restricted Stock Units. Fractional Restricted Stock Units shall be settled through a cash payment equal to the Fair Market Value of the Stock on the settlement date.</w:t>
      </w:r>
    </w:p>
    <w:p>
      <w:pPr>
        <w:spacing w:after="0" w:line="118" w:lineRule="exact"/>
        <w:rPr>
          <w:rFonts w:ascii="Times New Roman" w:cs="Times New Roman" w:eastAsia="Times New Roman" w:hAnsi="Times New Roman"/>
          <w:sz w:val="19"/>
          <w:szCs w:val="19"/>
          <w:color w:val="auto"/>
        </w:rPr>
      </w:pPr>
    </w:p>
    <w:p>
      <w:pPr>
        <w:jc w:val="both"/>
        <w:ind w:left="460" w:right="438" w:firstLine="654"/>
        <w:spacing w:after="0" w:line="259" w:lineRule="auto"/>
        <w:tabs>
          <w:tab w:leader="none" w:pos="1341"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Securities Law Compliance</w:t>
      </w:r>
      <w:r>
        <w:rPr>
          <w:rFonts w:ascii="Times New Roman" w:cs="Times New Roman" w:eastAsia="Times New Roman" w:hAnsi="Times New Roman"/>
          <w:sz w:val="19"/>
          <w:szCs w:val="19"/>
          <w:color w:val="auto"/>
        </w:rPr>
        <w:t>. Notwithstanding any other provision of this Agreement, the Participant may not sell the shares of Stock acquired upon vesting of the Restricted Stock Units unless such shares are registered under the Securities Act of 1933, as amended (the “Securities Act”), or, if such shares are not then so registered, such sale would be exempt from the registration requirements of the Securities Act. The sale of such shares must also comply with other applicable laws and regulations governing the shares and Participant may not sell the shares of Stock if the Company determines that such sale would not be in material compliance with such laws and regulations.</w:t>
      </w:r>
    </w:p>
    <w:p>
      <w:pPr>
        <w:spacing w:after="0" w:line="118" w:lineRule="exact"/>
        <w:rPr>
          <w:rFonts w:ascii="Times New Roman" w:cs="Times New Roman" w:eastAsia="Times New Roman" w:hAnsi="Times New Roman"/>
          <w:sz w:val="19"/>
          <w:szCs w:val="19"/>
          <w:color w:val="auto"/>
        </w:rPr>
      </w:pPr>
    </w:p>
    <w:p>
      <w:pPr>
        <w:ind w:left="1340" w:hanging="226"/>
        <w:spacing w:after="0"/>
        <w:tabs>
          <w:tab w:leader="none" w:pos="13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Rights with Respect to the Restricted Stock Units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120" w:right="438" w:firstLine="642"/>
        <w:spacing w:after="0" w:line="243" w:lineRule="auto"/>
        <w:tabs>
          <w:tab w:leader="none" w:pos="2234"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Transferability</w:t>
      </w:r>
      <w:r>
        <w:rPr>
          <w:rFonts w:ascii="Times New Roman" w:cs="Times New Roman" w:eastAsia="Times New Roman" w:hAnsi="Times New Roman"/>
          <w:sz w:val="20"/>
          <w:szCs w:val="20"/>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w:t>
      </w: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524510</wp:posOffset>
            </wp:positionV>
            <wp:extent cx="68402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4">
                      <a:extLst>
                        <a:ext uri="{28A0092B-C50C-407E-A947-70E740481C1C}"/>
                      </a:extLst>
                    </a:blip>
                    <a:srcRect/>
                    <a:stretch>
                      <a:fillRect/>
                    </a:stretch>
                  </pic:blipFill>
                  <pic:spPr bwMode="auto">
                    <a:xfrm>
                      <a:off x="0" y="0"/>
                      <a:ext cx="6840220" cy="42545"/>
                    </a:xfrm>
                    <a:prstGeom prst="rect">
                      <a:avLst/>
                    </a:prstGeom>
                    <a:noFill/>
                  </pic:spPr>
                </pic:pic>
              </a:graphicData>
            </a:graphic>
          </wp:anchor>
        </w:drawing>
      </w:r>
    </w:p>
    <w:p>
      <w:pPr>
        <w:sectPr>
          <w:pgSz w:w="11920" w:h="16838" w:orient="portrait"/>
          <w:cols w:equalWidth="0" w:num="1">
            <w:col w:w="9038"/>
          </w:cols>
          <w:pgMar w:left="1440" w:top="1408" w:right="1440" w:bottom="1440" w:gutter="0" w:footer="0" w:header="0"/>
        </w:sectPr>
      </w:pPr>
    </w:p>
    <w:bookmarkStart w:id="114" w:name="page115"/>
    <w:bookmarkEnd w:id="114"/>
    <w:p>
      <w:pPr>
        <w:ind w:left="1120" w:right="438"/>
        <w:spacing w:after="0" w:line="269" w:lineRule="auto"/>
        <w:rPr>
          <w:sz w:val="20"/>
          <w:szCs w:val="20"/>
          <w:color w:val="auto"/>
        </w:rPr>
      </w:pPr>
      <w:r>
        <w:rPr>
          <w:rFonts w:ascii="Times New Roman" w:cs="Times New Roman" w:eastAsia="Times New Roman" w:hAnsi="Times New Roman"/>
          <w:sz w:val="20"/>
          <w:szCs w:val="20"/>
          <w:color w:val="auto"/>
        </w:rPr>
        <w:t>the Company, to be bound by the provisions of this Agreement and the Plan as if such beneficiary or the estate were the Participant.</w:t>
      </w:r>
    </w:p>
    <w:p>
      <w:pPr>
        <w:spacing w:after="0" w:line="105" w:lineRule="exact"/>
        <w:rPr>
          <w:sz w:val="20"/>
          <w:szCs w:val="20"/>
          <w:color w:val="auto"/>
        </w:rPr>
      </w:pPr>
    </w:p>
    <w:p>
      <w:pPr>
        <w:jc w:val="both"/>
        <w:ind w:left="1120" w:right="438" w:firstLine="642"/>
        <w:spacing w:after="0" w:line="249" w:lineRule="auto"/>
        <w:tabs>
          <w:tab w:leader="none" w:pos="223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w:t>
      </w: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hts as Stockholder</w:t>
      </w:r>
      <w:r>
        <w:rPr>
          <w:rFonts w:ascii="Times New Roman" w:cs="Times New Roman" w:eastAsia="Times New Roman" w:hAnsi="Times New Roman"/>
          <w:sz w:val="20"/>
          <w:szCs w:val="20"/>
          <w:color w:val="auto"/>
        </w:rPr>
        <w:t>. The Participant shall not have any rights as a stockholder including any voting, dividend or other rights or privileges as a stockholder of the Company with respect to any Stock corresponding to the Restricted Stock Units granted hereby unless and until shares of Stock are issued to the Participant in respect thereof.</w:t>
      </w:r>
    </w:p>
    <w:p>
      <w:pPr>
        <w:spacing w:after="0" w:line="125" w:lineRule="exact"/>
        <w:rPr>
          <w:rFonts w:ascii="Times New Roman" w:cs="Times New Roman" w:eastAsia="Times New Roman" w:hAnsi="Times New Roman"/>
          <w:sz w:val="20"/>
          <w:szCs w:val="20"/>
          <w:color w:val="auto"/>
        </w:rPr>
      </w:pPr>
    </w:p>
    <w:p>
      <w:pPr>
        <w:jc w:val="both"/>
        <w:ind w:left="460" w:right="438" w:firstLine="654"/>
        <w:spacing w:after="0" w:line="246" w:lineRule="auto"/>
        <w:tabs>
          <w:tab w:leader="none" w:pos="134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in Capitalization</w:t>
      </w:r>
      <w:r>
        <w:rPr>
          <w:rFonts w:ascii="Times New Roman" w:cs="Times New Roman" w:eastAsia="Times New Roman" w:hAnsi="Times New Roman"/>
          <w:sz w:val="20"/>
          <w:szCs w:val="20"/>
          <w:color w:val="auto"/>
        </w:rPr>
        <w:t>. The number, class or other terms of any outstanding Restricted Stock Units shall be adjusted by the Committee to reflect any extraordinary dividend, stock dividend, stock split or share combination or any recapitalization, business combination, merger, consolidation, spin-off, exchange of shares, liquidation or dissolution of the Company or other similar transaction affecting the Stock in such manner as it determines in its sole discretion.</w:t>
      </w:r>
    </w:p>
    <w:p>
      <w:pPr>
        <w:spacing w:after="0" w:line="130" w:lineRule="exact"/>
        <w:rPr>
          <w:rFonts w:ascii="Times New Roman" w:cs="Times New Roman" w:eastAsia="Times New Roman" w:hAnsi="Times New Roman"/>
          <w:sz w:val="20"/>
          <w:szCs w:val="20"/>
          <w:color w:val="auto"/>
        </w:rPr>
      </w:pPr>
    </w:p>
    <w:p>
      <w:pPr>
        <w:ind w:left="1340" w:hanging="226"/>
        <w:spacing w:after="0"/>
        <w:tabs>
          <w:tab w:leader="none" w:pos="13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1120" w:right="438" w:firstLine="642"/>
        <w:spacing w:after="0" w:line="245" w:lineRule="auto"/>
        <w:tabs>
          <w:tab w:leader="none" w:pos="223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Benefits</w:t>
      </w:r>
      <w:r>
        <w:rPr>
          <w:rFonts w:ascii="Times New Roman" w:cs="Times New Roman" w:eastAsia="Times New Roman" w:hAnsi="Times New Roman"/>
          <w:sz w:val="20"/>
          <w:szCs w:val="20"/>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30" w:lineRule="exact"/>
        <w:rPr>
          <w:rFonts w:ascii="Times New Roman" w:cs="Times New Roman" w:eastAsia="Times New Roman" w:hAnsi="Times New Roman"/>
          <w:sz w:val="20"/>
          <w:szCs w:val="20"/>
          <w:color w:val="auto"/>
        </w:rPr>
      </w:pPr>
    </w:p>
    <w:p>
      <w:pPr>
        <w:jc w:val="both"/>
        <w:ind w:left="1120" w:right="438" w:firstLine="642"/>
        <w:spacing w:after="0" w:line="249" w:lineRule="auto"/>
        <w:tabs>
          <w:tab w:leader="none" w:pos="223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pacing w:after="0" w:line="125" w:lineRule="exact"/>
        <w:rPr>
          <w:rFonts w:ascii="Times New Roman" w:cs="Times New Roman" w:eastAsia="Times New Roman" w:hAnsi="Times New Roman"/>
          <w:sz w:val="20"/>
          <w:szCs w:val="20"/>
          <w:color w:val="auto"/>
        </w:rPr>
      </w:pPr>
    </w:p>
    <w:p>
      <w:pPr>
        <w:jc w:val="both"/>
        <w:ind w:left="1120" w:right="438" w:firstLine="642"/>
        <w:spacing w:after="0" w:line="249" w:lineRule="auto"/>
        <w:tabs>
          <w:tab w:leader="none" w:pos="223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Committee shall have full power and discretion to construe and interpret the Plan (and any rules and regulations issued thereunder) and this Award. Any determination or interpretation by the Committee under or pursuant to the Plan or this Award shall be final and binding and conclusive on all persons affected hereby.</w:t>
      </w:r>
    </w:p>
    <w:p>
      <w:pPr>
        <w:spacing w:after="0" w:line="125" w:lineRule="exact"/>
        <w:rPr>
          <w:rFonts w:ascii="Times New Roman" w:cs="Times New Roman" w:eastAsia="Times New Roman" w:hAnsi="Times New Roman"/>
          <w:sz w:val="20"/>
          <w:szCs w:val="20"/>
          <w:color w:val="auto"/>
        </w:rPr>
      </w:pPr>
    </w:p>
    <w:p>
      <w:pPr>
        <w:jc w:val="both"/>
        <w:ind w:left="1120" w:right="438" w:firstLine="642"/>
        <w:spacing w:after="0" w:line="254" w:lineRule="auto"/>
        <w:tabs>
          <w:tab w:leader="none" w:pos="2234"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In no way limiting the generality of Section 15(a) of the Plan, the Company and its Subsidiaries shall have the right to deduct from all amounts paid to the Participant in cash (whether under the Plan or otherwise) any amount of taxes required by law to be withheld in respect of settlement of the Restricted Stock Units under the Plan as may be necessary in the opinion of the Employer to satisfy tax withholding required under the laws of any country, state, city or other jurisdiction, including but not limited to income taxes, capital gains taxes, transfer taxes, and social security contributions that are required by law to be withheld (“</w:t>
      </w:r>
      <w:r>
        <w:rPr>
          <w:rFonts w:ascii="Times New Roman" w:cs="Times New Roman" w:eastAsia="Times New Roman" w:hAnsi="Times New Roman"/>
          <w:sz w:val="19"/>
          <w:szCs w:val="19"/>
          <w:u w:val="single" w:color="auto"/>
          <w:color w:val="auto"/>
        </w:rPr>
        <w:t>Tax Liability</w:t>
      </w:r>
      <w:r>
        <w:rPr>
          <w:rFonts w:ascii="Times New Roman" w:cs="Times New Roman" w:eastAsia="Times New Roman" w:hAnsi="Times New Roman"/>
          <w:sz w:val="19"/>
          <w:szCs w:val="19"/>
          <w:color w:val="auto"/>
        </w:rPr>
        <w:t>”). The Company may require the recipient of shares of Stock to remit to the Company an amount in cash sufficient to satisfy the amount of taxes required to be withheld as a condition to the issuance of shares in settlement of the Restricted Stock Units. The Committee may, in its discretion, retain and sell, or procure the sale of, such number of shares arising on the settlement of the Restricted Stock Units as the Company considers necessary to satisfy any Tax Liability or otherwise require the Participant, or permit the Participant to elect, subject to such conditions as the Committee shall impose, to meet such obligations by having the Company withhold or sell the least number of whole shares of Stock having a Fair Market Value sufficient to satisfy all or part of the amount required to be withheld. The Company may defer settlement until such requirements are satisfied.</w:t>
      </w:r>
    </w:p>
    <w:p>
      <w:pPr>
        <w:spacing w:after="0" w:line="133" w:lineRule="exact"/>
        <w:rPr>
          <w:sz w:val="20"/>
          <w:szCs w:val="20"/>
          <w:color w:val="auto"/>
        </w:rPr>
      </w:pPr>
    </w:p>
    <w:p>
      <w:pPr>
        <w:jc w:val="both"/>
        <w:ind w:left="1120" w:right="438"/>
        <w:spacing w:after="0" w:line="249" w:lineRule="auto"/>
        <w:rPr>
          <w:sz w:val="20"/>
          <w:szCs w:val="20"/>
          <w:color w:val="auto"/>
        </w:rPr>
      </w:pPr>
      <w:r>
        <w:rPr>
          <w:rFonts w:ascii="Times New Roman" w:cs="Times New Roman" w:eastAsia="Times New Roman" w:hAnsi="Times New Roman"/>
          <w:sz w:val="20"/>
          <w:szCs w:val="20"/>
          <w:color w:val="auto"/>
        </w:rPr>
        <w:t>It is a condition of the release of Restricted Stock Units that the Participant enters into a joint election, under s.431(1) or s.431(2) of the UK’s Income Tax (Earnings and Pensions) Act 2003 (or such other equivalent election in any other jurisdiction), in respect of the shares in settlement</w:t>
      </w:r>
    </w:p>
    <w:p>
      <w:pPr>
        <w:spacing w:after="0" w:line="200" w:lineRule="exact"/>
        <w:rPr>
          <w:sz w:val="20"/>
          <w:szCs w:val="20"/>
          <w:color w:val="auto"/>
        </w:rPr>
      </w:pPr>
    </w:p>
    <w:p>
      <w:pPr>
        <w:spacing w:after="0" w:line="27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524510</wp:posOffset>
            </wp:positionV>
            <wp:extent cx="68402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5">
                      <a:extLst>
                        <a:ext uri="{28A0092B-C50C-407E-A947-70E740481C1C}"/>
                      </a:extLst>
                    </a:blip>
                    <a:srcRect/>
                    <a:stretch>
                      <a:fillRect/>
                    </a:stretch>
                  </pic:blipFill>
                  <pic:spPr bwMode="auto">
                    <a:xfrm>
                      <a:off x="0" y="0"/>
                      <a:ext cx="6840220" cy="42545"/>
                    </a:xfrm>
                    <a:prstGeom prst="rect">
                      <a:avLst/>
                    </a:prstGeom>
                    <a:noFill/>
                  </pic:spPr>
                </pic:pic>
              </a:graphicData>
            </a:graphic>
          </wp:anchor>
        </w:drawing>
      </w:r>
    </w:p>
    <w:p>
      <w:pPr>
        <w:sectPr>
          <w:pgSz w:w="11920" w:h="16838" w:orient="portrait"/>
          <w:cols w:equalWidth="0" w:num="1">
            <w:col w:w="9038"/>
          </w:cols>
          <w:pgMar w:left="1440" w:top="1408" w:right="1440" w:bottom="1440" w:gutter="0" w:footer="0" w:header="0"/>
        </w:sectPr>
      </w:pPr>
    </w:p>
    <w:bookmarkStart w:id="115" w:name="page116"/>
    <w:bookmarkEnd w:id="115"/>
    <w:p>
      <w:pPr>
        <w:ind w:left="1120" w:right="438"/>
        <w:spacing w:after="0" w:line="269" w:lineRule="auto"/>
        <w:rPr>
          <w:sz w:val="20"/>
          <w:szCs w:val="20"/>
          <w:color w:val="auto"/>
        </w:rPr>
      </w:pPr>
      <w:r>
        <w:rPr>
          <w:rFonts w:ascii="Times New Roman" w:cs="Times New Roman" w:eastAsia="Times New Roman" w:hAnsi="Times New Roman"/>
          <w:sz w:val="20"/>
          <w:szCs w:val="20"/>
          <w:color w:val="auto"/>
        </w:rPr>
        <w:t>of the Restricted Stock Units, if required to do so by the Company, the Employer or any other Affiliate as may be relevant on or before settlement of the Restricted Stock Units.</w:t>
      </w:r>
    </w:p>
    <w:p>
      <w:pPr>
        <w:spacing w:after="0" w:line="200" w:lineRule="exact"/>
        <w:rPr>
          <w:sz w:val="20"/>
          <w:szCs w:val="20"/>
          <w:color w:val="auto"/>
        </w:rPr>
      </w:pPr>
    </w:p>
    <w:p>
      <w:pPr>
        <w:spacing w:after="0" w:line="297" w:lineRule="exact"/>
        <w:rPr>
          <w:sz w:val="20"/>
          <w:szCs w:val="20"/>
          <w:color w:val="auto"/>
        </w:rPr>
      </w:pPr>
    </w:p>
    <w:p>
      <w:pPr>
        <w:jc w:val="both"/>
        <w:ind w:left="1120" w:right="438" w:firstLine="642"/>
        <w:spacing w:after="0"/>
        <w:tabs>
          <w:tab w:leader="none" w:pos="22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for Financial Reporting Misconduct</w:t>
      </w:r>
      <w:r>
        <w:rPr>
          <w:rFonts w:ascii="Times New Roman" w:cs="Times New Roman" w:eastAsia="Times New Roman" w:hAnsi="Times New Roman"/>
          <w:sz w:val="20"/>
          <w:szCs w:val="20"/>
          <w:color w:val="auto"/>
        </w:rPr>
        <w:t>. In the event that the Participant commits misconduct or gross negligence (whether or not such misconduct or gross negligence is deemed or could be deemed to be an event constituting Cause) and as a result of, or in connection with, such misconduct or gross negligence the Company restates any of its financial statements, then the Company may require any or all of the following: (a) that the Participant forfeit some or all of the Restricted Stock Units subject to this Agreement held by such Participant at the time of such restatement, (b) that the Participant forfeit some of or all of the shares of Stock held by the Participant at the time of such restatement that had been received in settlement of Restricted Stock Units subject to this Agreement during the twelve-month period (or such other period as determined by the Committee) prior to the financial restatement, and (c) that the Participant pay to the Company in cash all or a portion of the proceeds that the Participant realized from the sale of shares of Stock that had been received in settlement of any Restricted Stock Units subject to this Agreement within the period commencing twelve months (or such other period as determined by the Committee) prior to the financial restatement. The Company may also cancel or reduce, or require a Participant to forfeit and disgorge to the Company or reimburse the Company for, any Restricted Stock Units granted or vested and any gains earned or accrued, due to the vesting or settlement of Restricted Stock Units or sale of any Stock acquired in settlement of a Restricted Stock Unit, to the extent permitted or required by, or pursuant to any Company policy implemented as required by, applicable law, regulation or stock exchange rule as from time to time may be in effect (including but not limited to The Dodd-Frank Wall Street Reform and Consumer Protection Act and regulations and stock exchange rules promulgated pursuant to or as a result of such Act).</w:t>
      </w:r>
    </w:p>
    <w:p>
      <w:pPr>
        <w:spacing w:after="0" w:line="151" w:lineRule="exact"/>
        <w:rPr>
          <w:rFonts w:ascii="Times New Roman" w:cs="Times New Roman" w:eastAsia="Times New Roman" w:hAnsi="Times New Roman"/>
          <w:sz w:val="20"/>
          <w:szCs w:val="20"/>
          <w:color w:val="auto"/>
        </w:rPr>
      </w:pPr>
    </w:p>
    <w:p>
      <w:pPr>
        <w:jc w:val="both"/>
        <w:ind w:left="1120" w:right="578" w:firstLine="642"/>
        <w:spacing w:after="0" w:line="254" w:lineRule="auto"/>
        <w:tabs>
          <w:tab w:leader="none" w:pos="222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This Agreement shall be governed by and construed in accordance with the law of the State of Delaware regardless of the application of rules of conflict of law that would apply the laws of any other jurisdiction.</w:t>
      </w:r>
    </w:p>
    <w:p>
      <w:pPr>
        <w:spacing w:after="0" w:line="120" w:lineRule="exact"/>
        <w:rPr>
          <w:rFonts w:ascii="Times New Roman" w:cs="Times New Roman" w:eastAsia="Times New Roman" w:hAnsi="Times New Roman"/>
          <w:sz w:val="20"/>
          <w:szCs w:val="20"/>
          <w:color w:val="auto"/>
        </w:rPr>
      </w:pPr>
    </w:p>
    <w:p>
      <w:pPr>
        <w:jc w:val="both"/>
        <w:ind w:left="1120" w:right="438" w:firstLine="642"/>
        <w:spacing w:after="0" w:line="242" w:lineRule="auto"/>
        <w:tabs>
          <w:tab w:leader="none" w:pos="22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Rights; No Right to Future Grants; Extraordinary Item of Compensation</w:t>
      </w:r>
      <w:r>
        <w:rPr>
          <w:rFonts w:ascii="Times New Roman" w:cs="Times New Roman" w:eastAsia="Times New Roman" w:hAnsi="Times New Roman"/>
          <w:sz w:val="20"/>
          <w:szCs w:val="20"/>
          <w:color w:val="auto"/>
        </w:rPr>
        <w:t>. By entering into this Agreement and accepting the Restricted Stock Units evidenced hereby, the Participant acknowledges: (a) that the Plan is discretionary in nature and may be suspended or terminated by the Company at any time; (b) that the Award does not create any contractual or other right to receive future grants of Awards; (c) that participation in the Plan is voluntary; (d) that the value of the Restricted Stock Units is not part of normal or expected compensation for purposes of calculating any severance, resignation, redundancy, end of service payments, bonuses, long-service awards, pension or retirement benefits or similar payments; and (e) that the future value of the Stock is unknown and cannot be predicted with certainty.</w:t>
      </w:r>
    </w:p>
    <w:p>
      <w:pPr>
        <w:spacing w:after="0" w:line="134" w:lineRule="exact"/>
        <w:rPr>
          <w:rFonts w:ascii="Times New Roman" w:cs="Times New Roman" w:eastAsia="Times New Roman" w:hAnsi="Times New Roman"/>
          <w:sz w:val="20"/>
          <w:szCs w:val="20"/>
          <w:color w:val="auto"/>
        </w:rPr>
      </w:pPr>
    </w:p>
    <w:p>
      <w:pPr>
        <w:jc w:val="both"/>
        <w:ind w:left="1120" w:right="438" w:firstLine="642"/>
        <w:spacing w:after="0" w:line="244" w:lineRule="auto"/>
        <w:tabs>
          <w:tab w:leader="none" w:pos="22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Participant hereby explicitly and unambiguously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consents to the collection, use and transfer, in electronic or other form, of Participant’s personal data as described in this Agreement by and among, as applicable, the Company and its Affiliates for the exclusive purpose of implementing, administering and managing Participant’s participation in the Plan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Participant understands that the Company and its</w:t>
      </w:r>
    </w:p>
    <w:p>
      <w:pPr>
        <w:spacing w:after="0" w:line="4" w:lineRule="exact"/>
        <w:rPr>
          <w:rFonts w:ascii="Times New Roman" w:cs="Times New Roman" w:eastAsia="Times New Roman" w:hAnsi="Times New Roman"/>
          <w:sz w:val="20"/>
          <w:szCs w:val="20"/>
          <w:color w:val="auto"/>
        </w:rPr>
      </w:pPr>
    </w:p>
    <w:p>
      <w:pPr>
        <w:jc w:val="both"/>
        <w:ind w:left="1120" w:right="43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-2624455</wp:posOffset>
            </wp:positionV>
            <wp:extent cx="615505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6">
                      <a:extLst>
                        <a:ext uri="{28A0092B-C50C-407E-A947-70E740481C1C}"/>
                      </a:extLst>
                    </a:blip>
                    <a:srcRect/>
                    <a:stretch>
                      <a:fillRect/>
                    </a:stretch>
                  </pic:blipFill>
                  <pic:spPr bwMode="auto">
                    <a:xfrm>
                      <a:off x="0" y="0"/>
                      <a:ext cx="6155055"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524510</wp:posOffset>
            </wp:positionV>
            <wp:extent cx="68402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7">
                      <a:extLst>
                        <a:ext uri="{28A0092B-C50C-407E-A947-70E740481C1C}"/>
                      </a:extLst>
                    </a:blip>
                    <a:srcRect/>
                    <a:stretch>
                      <a:fillRect/>
                    </a:stretch>
                  </pic:blipFill>
                  <pic:spPr bwMode="auto">
                    <a:xfrm>
                      <a:off x="0" y="0"/>
                      <a:ext cx="6840220" cy="42545"/>
                    </a:xfrm>
                    <a:prstGeom prst="rect">
                      <a:avLst/>
                    </a:prstGeom>
                    <a:noFill/>
                  </pic:spPr>
                </pic:pic>
              </a:graphicData>
            </a:graphic>
          </wp:anchor>
        </w:drawing>
      </w:r>
    </w:p>
    <w:p>
      <w:pPr>
        <w:sectPr>
          <w:pgSz w:w="11920" w:h="16838" w:orient="portrait"/>
          <w:cols w:equalWidth="0" w:num="1">
            <w:col w:w="9038"/>
          </w:cols>
          <w:pgMar w:left="1440" w:top="1408" w:right="1440" w:bottom="1149" w:gutter="0" w:footer="0" w:header="0"/>
        </w:sectPr>
      </w:pPr>
    </w:p>
    <w:bookmarkStart w:id="116" w:name="page117"/>
    <w:bookmarkEnd w:id="116"/>
    <w:p>
      <w:pPr>
        <w:jc w:val="both"/>
        <w:ind w:left="1120" w:right="438"/>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22" w:lineRule="exact"/>
        <w:rPr>
          <w:sz w:val="20"/>
          <w:szCs w:val="20"/>
          <w:color w:val="auto"/>
        </w:rPr>
      </w:pPr>
    </w:p>
    <w:p>
      <w:pPr>
        <w:jc w:val="both"/>
        <w:ind w:left="1120" w:right="438" w:firstLine="648"/>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For Participants located in the United Kingdom and the European Union, the following paragraph applies: Personal Data shall be handled in accordance with Regulation (EU) 2016/679 (General Data Protection Regulation) and Participant is referred to the Data Privacy Notice of his country. Participant understands that he or she may request a list with the names and addresses of any potential recipients of the Personal Data by contacting Participant’s local human resources representative. Participant understands that the recipients may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or require any necessary amendments to Personal Data, without cost, by contacting in writing Participant’s local human resources representative.</w:t>
      </w:r>
    </w:p>
    <w:p>
      <w:pPr>
        <w:spacing w:after="0" w:line="143" w:lineRule="exact"/>
        <w:rPr>
          <w:sz w:val="20"/>
          <w:szCs w:val="20"/>
          <w:color w:val="auto"/>
        </w:rPr>
      </w:pPr>
    </w:p>
    <w:p>
      <w:pPr>
        <w:jc w:val="both"/>
        <w:ind w:left="1120" w:right="438" w:firstLine="642"/>
        <w:spacing w:after="0" w:line="245" w:lineRule="auto"/>
        <w:tabs>
          <w:tab w:leader="none" w:pos="22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Electronic Delivery</w:t>
      </w:r>
      <w:r>
        <w:rPr>
          <w:rFonts w:ascii="Times New Roman" w:cs="Times New Roman" w:eastAsia="Times New Roman" w:hAnsi="Times New Roman"/>
          <w:sz w:val="20"/>
          <w:szCs w:val="20"/>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email or other electronic delivery.</w:t>
      </w:r>
    </w:p>
    <w:p>
      <w:pPr>
        <w:spacing w:after="0" w:line="130" w:lineRule="exact"/>
        <w:rPr>
          <w:rFonts w:ascii="Times New Roman" w:cs="Times New Roman" w:eastAsia="Times New Roman" w:hAnsi="Times New Roman"/>
          <w:sz w:val="20"/>
          <w:szCs w:val="20"/>
          <w:color w:val="auto"/>
        </w:rPr>
      </w:pPr>
    </w:p>
    <w:p>
      <w:pPr>
        <w:jc w:val="both"/>
        <w:ind w:left="1120" w:right="438" w:firstLine="642"/>
        <w:spacing w:after="0" w:line="243" w:lineRule="auto"/>
        <w:tabs>
          <w:tab w:leader="none" w:pos="22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Specified Employee Delay</w:t>
      </w:r>
      <w:r>
        <w:rPr>
          <w:rFonts w:ascii="Times New Roman" w:cs="Times New Roman" w:eastAsia="Times New Roman" w:hAnsi="Times New Roman"/>
          <w:sz w:val="20"/>
          <w:szCs w:val="20"/>
          <w:color w:val="auto"/>
        </w:rPr>
        <w:t>. Notwithstanding anything to the contrary in this Agreement, if settlement is to occur upon a Termination of Service other than due to death or Disability and the Participant is a Specified Employee and the Restricted Stock Units are a Specified Award, to the extent necessary to comply with, and avoid imposition on the Participant of any additional tax or interest imposed under, Section 409A of the Code,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135" w:lineRule="exact"/>
        <w:rPr>
          <w:rFonts w:ascii="Times New Roman" w:cs="Times New Roman" w:eastAsia="Times New Roman" w:hAnsi="Times New Roman"/>
          <w:sz w:val="20"/>
          <w:szCs w:val="20"/>
          <w:color w:val="auto"/>
        </w:rPr>
      </w:pPr>
    </w:p>
    <w:p>
      <w:pPr>
        <w:jc w:val="both"/>
        <w:ind w:left="1120" w:right="438" w:firstLine="642"/>
        <w:spacing w:after="0" w:line="246" w:lineRule="auto"/>
        <w:tabs>
          <w:tab w:leader="none" w:pos="22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exchange</w:t>
      </w:r>
      <w:r>
        <w:rPr>
          <w:rFonts w:ascii="Times New Roman" w:cs="Times New Roman" w:eastAsia="Times New Roman" w:hAnsi="Times New Roman"/>
          <w:sz w:val="20"/>
          <w:szCs w:val="20"/>
          <w:color w:val="auto"/>
        </w:rPr>
        <w:t>. Any cash payments effected under this Agreement shall be made in US$ except that the Committee may, in its absolute discretion, permit any such payments to be effected in another currency. Any transfer of money in another denomination shall be applied using an appropriate rate of exchange approved by the Committee from time to time.</w:t>
      </w:r>
    </w:p>
    <w:p>
      <w:pPr>
        <w:spacing w:after="0" w:line="130" w:lineRule="exact"/>
        <w:rPr>
          <w:rFonts w:ascii="Times New Roman" w:cs="Times New Roman" w:eastAsia="Times New Roman" w:hAnsi="Times New Roman"/>
          <w:sz w:val="20"/>
          <w:szCs w:val="20"/>
          <w:color w:val="auto"/>
        </w:rPr>
      </w:pPr>
    </w:p>
    <w:p>
      <w:pPr>
        <w:jc w:val="both"/>
        <w:ind w:left="1120" w:right="438" w:firstLine="642"/>
        <w:spacing w:after="0" w:line="254" w:lineRule="auto"/>
        <w:tabs>
          <w:tab w:leader="none" w:pos="22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and Captions</w:t>
      </w:r>
      <w:r>
        <w:rPr>
          <w:rFonts w:ascii="Times New Roman" w:cs="Times New Roman" w:eastAsia="Times New Roman" w:hAnsi="Times New Roman"/>
          <w:sz w:val="20"/>
          <w:szCs w:val="20"/>
          <w:color w:val="auto"/>
        </w:rPr>
        <w:t>. The section and other headings contained in this Agreement are for reference purposes only and shall not affect the meaning or interpretation of this Agreement.</w:t>
      </w:r>
    </w:p>
    <w:p>
      <w:pPr>
        <w:spacing w:after="0" w:line="120" w:lineRule="exact"/>
        <w:rPr>
          <w:rFonts w:ascii="Times New Roman" w:cs="Times New Roman" w:eastAsia="Times New Roman" w:hAnsi="Times New Roman"/>
          <w:sz w:val="20"/>
          <w:szCs w:val="20"/>
          <w:color w:val="auto"/>
        </w:rPr>
      </w:pPr>
    </w:p>
    <w:p>
      <w:pPr>
        <w:jc w:val="both"/>
        <w:ind w:left="1120" w:right="438" w:firstLine="642"/>
        <w:spacing w:after="0" w:line="254" w:lineRule="auto"/>
        <w:tabs>
          <w:tab w:leader="none" w:pos="22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shall be deemed to be an original and all of which together shall constitute one and the same instrument.</w:t>
      </w:r>
    </w:p>
    <w:p>
      <w:pPr>
        <w:spacing w:after="0" w:line="120" w:lineRule="exact"/>
        <w:rPr>
          <w:rFonts w:ascii="Times New Roman" w:cs="Times New Roman" w:eastAsia="Times New Roman" w:hAnsi="Times New Roman"/>
          <w:sz w:val="20"/>
          <w:szCs w:val="20"/>
          <w:color w:val="auto"/>
        </w:rPr>
      </w:pPr>
    </w:p>
    <w:p>
      <w:pPr>
        <w:jc w:val="both"/>
        <w:ind w:left="1120" w:right="438" w:firstLine="642"/>
        <w:spacing w:after="0" w:line="263" w:lineRule="auto"/>
        <w:tabs>
          <w:tab w:leader="none" w:pos="2234"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 of Restricted Stock Units and A</w:t>
      </w:r>
      <w:r>
        <w:rPr>
          <w:rFonts w:ascii="Times New Roman" w:cs="Times New Roman" w:eastAsia="Times New Roman" w:hAnsi="Times New Roman"/>
          <w:sz w:val="19"/>
          <w:szCs w:val="19"/>
          <w:color w:val="auto"/>
        </w:rPr>
        <w:t>g</w:t>
      </w:r>
      <w:r>
        <w:rPr>
          <w:rFonts w:ascii="Times New Roman" w:cs="Times New Roman" w:eastAsia="Times New Roman" w:hAnsi="Times New Roman"/>
          <w:sz w:val="19"/>
          <w:szCs w:val="19"/>
          <w:u w:val="single" w:color="auto"/>
          <w:color w:val="auto"/>
        </w:rPr>
        <w:t>reement</w:t>
      </w:r>
      <w:r>
        <w:rPr>
          <w:rFonts w:ascii="Times New Roman" w:cs="Times New Roman" w:eastAsia="Times New Roman" w:hAnsi="Times New Roman"/>
          <w:sz w:val="19"/>
          <w:szCs w:val="19"/>
          <w:color w:val="auto"/>
        </w:rPr>
        <w:t>. The Participant has indicated his or her consent and acknowledgement of the terms of this Agreement pursuant to the instructions provided to the Participant by or on behalf of the Company. The Participant acknowledges receipt of the Plan, represents to the Company that he or she has read and understood this Agreement and the Plan, and, as an express condition to the grant of the</w:t>
      </w:r>
    </w:p>
    <w:p>
      <w:pPr>
        <w:spacing w:after="0" w:line="200" w:lineRule="exact"/>
        <w:rPr>
          <w:sz w:val="20"/>
          <w:szCs w:val="20"/>
          <w:color w:val="auto"/>
        </w:rPr>
      </w:pPr>
    </w:p>
    <w:p>
      <w:pPr>
        <w:spacing w:after="0" w:line="2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524510</wp:posOffset>
            </wp:positionV>
            <wp:extent cx="68402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8">
                      <a:extLst>
                        <a:ext uri="{28A0092B-C50C-407E-A947-70E740481C1C}"/>
                      </a:extLst>
                    </a:blip>
                    <a:srcRect/>
                    <a:stretch>
                      <a:fillRect/>
                    </a:stretch>
                  </pic:blipFill>
                  <pic:spPr bwMode="auto">
                    <a:xfrm>
                      <a:off x="0" y="0"/>
                      <a:ext cx="6840220" cy="42545"/>
                    </a:xfrm>
                    <a:prstGeom prst="rect">
                      <a:avLst/>
                    </a:prstGeom>
                    <a:noFill/>
                  </pic:spPr>
                </pic:pic>
              </a:graphicData>
            </a:graphic>
          </wp:anchor>
        </w:drawing>
      </w:r>
    </w:p>
    <w:p>
      <w:pPr>
        <w:sectPr>
          <w:pgSz w:w="11920" w:h="16838" w:orient="portrait"/>
          <w:cols w:equalWidth="0" w:num="1">
            <w:col w:w="9038"/>
          </w:cols>
          <w:pgMar w:left="1440" w:top="1404" w:right="1440" w:bottom="1440" w:gutter="0" w:footer="0" w:header="0"/>
        </w:sectPr>
      </w:pPr>
    </w:p>
    <w:bookmarkStart w:id="117" w:name="page118"/>
    <w:bookmarkEnd w:id="117"/>
    <w:p>
      <w:pPr>
        <w:jc w:val="both"/>
        <w:ind w:left="1120" w:right="438"/>
        <w:spacing w:after="0" w:line="243" w:lineRule="auto"/>
        <w:rPr>
          <w:sz w:val="20"/>
          <w:szCs w:val="20"/>
          <w:color w:val="auto"/>
        </w:rPr>
      </w:pPr>
      <w:r>
        <w:rPr>
          <w:rFonts w:ascii="Times New Roman" w:cs="Times New Roman" w:eastAsia="Times New Roman" w:hAnsi="Times New Roman"/>
          <w:sz w:val="20"/>
          <w:szCs w:val="20"/>
          <w:color w:val="auto"/>
        </w:rPr>
        <w:t>Restricted Stock Units under this Agreement, agrees to be bound by the terms of this Agreement and the Plan. The Participant and the Company each agrees and acknowledges that the use of electronic media (including, without limitation, a clickthrough button or checkbox on a website of the Company or a third-party administrator) to indicate the Participant’s confirmation, consent, signature, agreement and delivery of this Agreement and the Restricted Stock Units is legally valid and has the same legal force and effect as if the Participant and the Company signed and executed this Agreement in paper form. The same use of electronic media may be used for any amendment or waiver of this Agreement.</w:t>
      </w: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524510</wp:posOffset>
            </wp:positionV>
            <wp:extent cx="68402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9">
                      <a:extLst>
                        <a:ext uri="{28A0092B-C50C-407E-A947-70E740481C1C}"/>
                      </a:extLst>
                    </a:blip>
                    <a:srcRect/>
                    <a:stretch>
                      <a:fillRect/>
                    </a:stretch>
                  </pic:blipFill>
                  <pic:spPr bwMode="auto">
                    <a:xfrm>
                      <a:off x="0" y="0"/>
                      <a:ext cx="6840220" cy="42545"/>
                    </a:xfrm>
                    <a:prstGeom prst="rect">
                      <a:avLst/>
                    </a:prstGeom>
                    <a:noFill/>
                  </pic:spPr>
                </pic:pic>
              </a:graphicData>
            </a:graphic>
          </wp:anchor>
        </w:drawing>
      </w:r>
    </w:p>
    <w:p>
      <w:pPr>
        <w:sectPr>
          <w:pgSz w:w="11920" w:h="16838" w:orient="portrait"/>
          <w:cols w:equalWidth="0" w:num="1">
            <w:col w:w="9038"/>
          </w:cols>
          <w:pgMar w:left="1440" w:top="1408" w:right="1440" w:bottom="1440" w:gutter="0" w:footer="0" w:header="0"/>
        </w:sectPr>
      </w:pPr>
    </w:p>
    <w:bookmarkStart w:id="118" w:name="page119"/>
    <w:bookmarkEnd w:id="118"/>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675"/>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List of Subsidiaries of Gogo Inc.</w:t>
            </w:r>
          </w:p>
        </w:tc>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4"/>
                <w:szCs w:val="24"/>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c>
          <w:tcPr>
            <w:tcW w:w="120" w:type="dxa"/>
            <w:vAlign w:val="bottom"/>
          </w:tcPr>
          <w:p>
            <w:pPr>
              <w:spacing w:after="0"/>
              <w:rPr>
                <w:sz w:val="24"/>
                <w:szCs w:val="24"/>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Percentage</w:t>
            </w:r>
          </w:p>
        </w:tc>
      </w:tr>
      <w:tr>
        <w:trPr>
          <w:trHeight w:val="27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 BidCo LLC</w:t>
            </w:r>
          </w:p>
        </w:tc>
        <w:tc>
          <w:tcPr>
            <w:tcW w:w="120" w:type="dxa"/>
            <w:vAlign w:val="bottom"/>
          </w:tcPr>
          <w:p>
            <w:pPr>
              <w:spacing w:after="0"/>
              <w:rPr>
                <w:sz w:val="23"/>
                <w:szCs w:val="23"/>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BA UK LTD</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Business Aviation LLC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Connectivity Ltd.</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Finance Co. Inc.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Inflight Connectivity Company</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Kingdom of Saudi Arabia</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Intermediate Holdings LLC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International Holdco LTD</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US International Holdco LLC</w:t>
            </w:r>
          </w:p>
        </w:tc>
        <w:tc>
          <w:tcPr>
            <w:tcW w:w="1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44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Direct Holdings LLC</w:t>
            </w:r>
          </w:p>
        </w:tc>
        <w:tc>
          <w:tcPr>
            <w:tcW w:w="12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Aerocommunications Mexico S. de R.L. de</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C.V.</w:t>
            </w: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Gogo Denmark ApS</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Denmark</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ndtHost, LLC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Government, LLC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LLC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Holding Company, LLC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Comsat, Inc.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Stewart Ratcliff Aviation Services, Inc.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Avionics, Inc.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Avionics, ULC</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International, Limited</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Switzerland, GmbH</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Pte. Ltd.</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 Australia Pty. Ltd.</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Capacidada Satelital Ltda</w:t>
            </w:r>
          </w:p>
        </w:tc>
        <w:tc>
          <w:tcPr>
            <w:tcW w:w="120" w:type="dxa"/>
            <w:vAlign w:val="bottom"/>
          </w:tcPr>
          <w:p>
            <w:pPr>
              <w:spacing w:after="0"/>
              <w:rPr>
                <w:sz w:val="18"/>
                <w:szCs w:val="18"/>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Satcom Direct Comunicações Ltda</w:t>
            </w:r>
          </w:p>
        </w:tc>
        <w:tc>
          <w:tcPr>
            <w:tcW w:w="12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3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627"/>
        </w:trPr>
        <w:tc>
          <w:tcPr>
            <w:tcW w:w="3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1408" w:right="318" w:bottom="1440" w:gutter="0" w:footer="0" w:header="0"/>
        </w:sectPr>
      </w:pPr>
    </w:p>
    <w:bookmarkStart w:id="120" w:name="page121"/>
    <w:bookmarkEnd w:id="120"/>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333-264687 on Form S-3 and Registration Statement Nos. 333-189594, 333-225716, 333- 212072, 333-281173, 333-273788, 333-281172, and 333-285805 on Form S-8 of our reports dated February 27, 2026, relating to the financial statements of Gogo Inc. and the effectiveness of Gogo Inc.’s internal control over financial reporting appearing in this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1158875</wp:posOffset>
            </wp:positionV>
            <wp:extent cx="71831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08" w:right="318" w:bottom="1440" w:gutter="0" w:footer="0" w:header="0"/>
        </w:sectPr>
      </w:pPr>
    </w:p>
    <w:bookmarkStart w:id="122" w:name="page123"/>
    <w:bookmarkEnd w:id="122"/>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 Christopher Moore, certify that:</w:t>
      </w:r>
    </w:p>
    <w:p>
      <w:pPr>
        <w:spacing w:after="0" w:line="229" w:lineRule="exact"/>
        <w:rPr>
          <w:sz w:val="20"/>
          <w:szCs w:val="20"/>
          <w:color w:val="auto"/>
        </w:rPr>
      </w:pPr>
    </w:p>
    <w:p>
      <w:pPr>
        <w:ind w:left="507" w:hanging="507"/>
        <w:spacing w:after="0"/>
        <w:tabs>
          <w:tab w:leader="none" w:pos="5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Gogo Inc.;</w:t>
      </w:r>
    </w:p>
    <w:p>
      <w:pPr>
        <w:spacing w:after="0" w:line="27" w:lineRule="exact"/>
        <w:rPr>
          <w:rFonts w:ascii="Times New Roman" w:cs="Times New Roman" w:eastAsia="Times New Roman" w:hAnsi="Times New Roman"/>
          <w:sz w:val="18"/>
          <w:szCs w:val="18"/>
          <w:color w:val="auto"/>
        </w:rPr>
      </w:pPr>
    </w:p>
    <w:p>
      <w:pPr>
        <w:jc w:val="both"/>
        <w:ind w:left="507" w:right="280" w:hanging="507"/>
        <w:spacing w:after="0" w:line="250" w:lineRule="auto"/>
        <w:tabs>
          <w:tab w:leader="none" w:pos="5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07" w:right="260" w:hanging="507"/>
        <w:spacing w:after="0" w:line="250" w:lineRule="auto"/>
        <w:tabs>
          <w:tab w:leader="none" w:pos="5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7" w:right="280" w:hanging="507"/>
        <w:spacing w:after="0" w:line="250" w:lineRule="auto"/>
        <w:tabs>
          <w:tab w:leader="none" w:pos="5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027" w:right="40" w:hanging="517"/>
        <w:spacing w:after="0" w:line="250" w:lineRule="auto"/>
        <w:tabs>
          <w:tab w:leader="none" w:pos="102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027" w:right="360" w:hanging="517"/>
        <w:spacing w:after="0" w:line="250" w:lineRule="auto"/>
        <w:tabs>
          <w:tab w:leader="none" w:pos="102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7" w:right="520" w:hanging="517"/>
        <w:spacing w:after="0" w:line="265" w:lineRule="auto"/>
        <w:tabs>
          <w:tab w:leader="none" w:pos="102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7" w:right="20" w:hanging="517"/>
        <w:spacing w:after="0" w:line="250" w:lineRule="auto"/>
        <w:tabs>
          <w:tab w:leader="none" w:pos="102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07" w:right="160" w:hanging="507"/>
        <w:spacing w:after="0" w:line="250" w:lineRule="auto"/>
        <w:tabs>
          <w:tab w:leader="none" w:pos="50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7" w:right="760" w:hanging="517"/>
        <w:spacing w:after="0" w:line="250" w:lineRule="auto"/>
        <w:tabs>
          <w:tab w:leader="none" w:pos="102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7" w:right="440" w:hanging="517"/>
        <w:spacing w:after="0" w:line="260" w:lineRule="auto"/>
        <w:tabs>
          <w:tab w:leader="none" w:pos="102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ind w:left="7"/>
        <w:spacing w:after="0"/>
        <w:tabs>
          <w:tab w:leader="none" w:pos="547"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2026</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/s/ 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29450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3">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1021715</wp:posOffset>
            </wp:positionV>
            <wp:extent cx="71831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408" w:right="318" w:bottom="1440" w:gutter="0" w:footer="0" w:header="0"/>
        </w:sectPr>
      </w:pPr>
    </w:p>
    <w:bookmarkStart w:id="124" w:name="page125"/>
    <w:bookmarkEnd w:id="124"/>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I, Zachary Cotner, certify that:</w:t>
      </w:r>
    </w:p>
    <w:p>
      <w:pPr>
        <w:spacing w:after="0" w:line="229" w:lineRule="exact"/>
        <w:rPr>
          <w:sz w:val="20"/>
          <w:szCs w:val="20"/>
          <w:color w:val="auto"/>
        </w:rPr>
      </w:pPr>
    </w:p>
    <w:p>
      <w:pPr>
        <w:ind w:left="507" w:hanging="507"/>
        <w:spacing w:after="0"/>
        <w:tabs>
          <w:tab w:leader="none" w:pos="50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Gogo Inc.;</w:t>
      </w:r>
    </w:p>
    <w:p>
      <w:pPr>
        <w:spacing w:after="0" w:line="27" w:lineRule="exact"/>
        <w:rPr>
          <w:rFonts w:ascii="Times New Roman" w:cs="Times New Roman" w:eastAsia="Times New Roman" w:hAnsi="Times New Roman"/>
          <w:sz w:val="18"/>
          <w:szCs w:val="18"/>
          <w:color w:val="auto"/>
        </w:rPr>
      </w:pPr>
    </w:p>
    <w:p>
      <w:pPr>
        <w:jc w:val="both"/>
        <w:ind w:left="507" w:right="280" w:hanging="507"/>
        <w:spacing w:after="0" w:line="250" w:lineRule="auto"/>
        <w:tabs>
          <w:tab w:leader="none" w:pos="50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07" w:right="260" w:hanging="507"/>
        <w:spacing w:after="0" w:line="250" w:lineRule="auto"/>
        <w:tabs>
          <w:tab w:leader="none" w:pos="50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7" w:right="280" w:hanging="507"/>
        <w:spacing w:after="0" w:line="250" w:lineRule="auto"/>
        <w:tabs>
          <w:tab w:leader="none" w:pos="50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027" w:right="40" w:hanging="517"/>
        <w:spacing w:after="0" w:line="250" w:lineRule="auto"/>
        <w:tabs>
          <w:tab w:leader="none" w:pos="102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027" w:right="360" w:hanging="517"/>
        <w:spacing w:after="0" w:line="250" w:lineRule="auto"/>
        <w:tabs>
          <w:tab w:leader="none" w:pos="102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7" w:right="520" w:hanging="517"/>
        <w:spacing w:after="0" w:line="265" w:lineRule="auto"/>
        <w:tabs>
          <w:tab w:leader="none" w:pos="102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7" w:right="20" w:hanging="517"/>
        <w:spacing w:after="0" w:line="250" w:lineRule="auto"/>
        <w:tabs>
          <w:tab w:leader="none" w:pos="102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07" w:right="160" w:hanging="507"/>
        <w:spacing w:after="0" w:line="250" w:lineRule="auto"/>
        <w:tabs>
          <w:tab w:leader="none" w:pos="50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7" w:right="760" w:hanging="517"/>
        <w:spacing w:after="0" w:line="250" w:lineRule="auto"/>
        <w:tabs>
          <w:tab w:leader="none" w:pos="102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7" w:right="440" w:hanging="517"/>
        <w:spacing w:after="0" w:line="260" w:lineRule="auto"/>
        <w:tabs>
          <w:tab w:leader="none" w:pos="102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ind w:left="7"/>
        <w:spacing w:after="0"/>
        <w:tabs>
          <w:tab w:leader="none" w:pos="547"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2026</w:t>
      </w:r>
    </w:p>
    <w:p>
      <w:pPr>
        <w:spacing w:after="0" w:line="2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/s/ 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2945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5">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Christopher Cotner</w:t>
      </w:r>
    </w:p>
    <w:p>
      <w:pPr>
        <w:spacing w:after="0" w:line="2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1021715</wp:posOffset>
            </wp:positionV>
            <wp:extent cx="71831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408" w:right="318" w:bottom="1440" w:gutter="0" w:footer="0" w:header="0"/>
        </w:sectPr>
      </w:pPr>
    </w:p>
    <w:bookmarkStart w:id="126" w:name="page127"/>
    <w:bookmarkEnd w:id="126"/>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 Christopher Moore, Chief Executive Officer Director of Gogo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40" w:right="140" w:hanging="371"/>
        <w:spacing w:after="0" w:line="282" w:lineRule="auto"/>
        <w:tabs>
          <w:tab w:leader="none" w:pos="7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40" w:right="160" w:hanging="371"/>
        <w:spacing w:after="0" w:line="282" w:lineRule="auto"/>
        <w:tabs>
          <w:tab w:leader="none" w:pos="7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5833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1021715</wp:posOffset>
            </wp:positionV>
            <wp:extent cx="71831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08" w:right="318" w:bottom="1440" w:gutter="0" w:footer="0" w:header="0"/>
        </w:sectPr>
      </w:pPr>
    </w:p>
    <w:bookmarkStart w:id="128" w:name="page129"/>
    <w:bookmarkEnd w:id="128"/>
    <w:p>
      <w:pPr>
        <w:spacing w:after="0" w:line="20" w:lineRule="exact"/>
        <w:rPr>
          <w:sz w:val="20"/>
          <w:szCs w:val="20"/>
          <w:color w:val="auto"/>
        </w:rPr>
      </w:pPr>
    </w:p>
    <w:p>
      <w:pPr>
        <w:sectPr>
          <w:pgSz w:w="1192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Zachary Cotner, Executive Vice President and Chief Financial Officer of Gogo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40" w:right="140" w:hanging="371"/>
        <w:spacing w:after="0" w:line="282" w:lineRule="auto"/>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40" w:right="160" w:hanging="371"/>
        <w:spacing w:after="0" w:line="282" w:lineRule="auto"/>
        <w:tabs>
          <w:tab w:leader="none" w:pos="7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58330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9">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Zachary Cotner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1021715</wp:posOffset>
            </wp:positionV>
            <wp:extent cx="71831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08" w:right="318" w:bottom="1440" w:gutter="0" w:footer="0" w:header="0"/>
        </w:sectPr>
      </w:pPr>
    </w:p>
    <w:bookmarkStart w:id="130" w:name="page131"/>
    <w:bookmarkEnd w:id="130"/>
    <w:sectPr>
      <w:pgSz w:w="1192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1"/>
      <w:numFmt w:val="upperLetter"/>
      <w:start w:val="35"/>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lowerRoman"/>
      <w:start w:val="3"/>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
      <w:numFmt w:val="bullet"/>
      <w:start w:val="1"/>
    </w:lvl>
    <w:lvl w:ilvl="1">
      <w:lvlJc w:val="left"/>
      <w:lvlText w:val="▪"/>
      <w:numFmt w:val="bullet"/>
      <w:start w:val="1"/>
    </w:lvl>
  </w:abstractNum>
  <w:abstractNum w:abstractNumId="32">
    <w:nsid w:val="374A3FE6"/>
    <w:multiLevelType w:val="hybridMultilevel"/>
    <w:lvl w:ilvl="0">
      <w:lvlJc w:val="left"/>
      <w:lvlText w:val="o"/>
      <w:numFmt w:val="bullet"/>
      <w:start w:val="1"/>
    </w:lvl>
    <w:lvl w:ilvl="1">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lvl w:ilvl="1">
      <w:lvlJc w:val="left"/>
      <w:lvlText w:val="▪"/>
      <w:numFmt w:val="bullet"/>
      <w:start w:val="1"/>
    </w:lvl>
  </w:abstractNum>
  <w:abstractNum w:abstractNumId="35">
    <w:nsid w:val="649BB77C"/>
    <w:multiLevelType w:val="hybridMultilevel"/>
    <w:lvl w:ilvl="0">
      <w:lvlJc w:val="left"/>
      <w:lvlText w:val="o"/>
      <w:numFmt w:val="bullet"/>
      <w:start w:val="1"/>
    </w:lvl>
    <w:lvl w:ilvl="1">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decimal"/>
      <w:start w:val="1"/>
    </w:lvl>
    <w:lvl w:ilvl="1">
      <w:lvlJc w:val="left"/>
      <w:lvlText w:val="(%2)"/>
      <w:numFmt w:val="decimal"/>
      <w:start w:val="1"/>
    </w:lvl>
  </w:abstractNum>
  <w:abstractNum w:abstractNumId="47">
    <w:nsid w:val="3F6AB60F"/>
    <w:multiLevelType w:val="hybridMultilevel"/>
    <w:lvl w:ilvl="0">
      <w:lvlJc w:val="left"/>
      <w:lvlText w:val="%1."/>
      <w:numFmt w:val="decimal"/>
      <w:start w:val="13"/>
    </w:lvl>
    <w:lvl w:ilvl="1">
      <w:lvlJc w:val="left"/>
      <w:lvlText w:val="%2"/>
      <w:numFmt w:val="decimal"/>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o"/>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3"/>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62">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4"/>
    </w:lvl>
  </w:abstractNum>
  <w:abstractNum w:abstractNumId="63">
    <w:nsid w:val="15014AC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lvl w:ilvl="4">
      <w:lvlJc w:val="left"/>
      <w:lvlText w:val="%5"/>
      <w:numFmt w:val="lowerLetter"/>
      <w:start w:val="1"/>
    </w:lvl>
  </w:abstractNum>
  <w:abstractNum w:abstractNumId="64">
    <w:nsid w:val="5F5E7FD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Letter"/>
      <w:start w:val="1"/>
    </w:lvl>
    <w:lvl w:ilvl="4">
      <w:lvlJc w:val="left"/>
      <w:lvlText w:val="%5"/>
      <w:numFmt w:val="lowerLetter"/>
      <w:start w:val="1"/>
    </w:lvl>
  </w:abstractNum>
  <w:abstractNum w:abstractNumId="65">
    <w:nsid w:val="98A314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6">
    <w:nsid w:val="799D0247"/>
    <w:multiLevelType w:val="hybridMultilevel"/>
    <w:lvl w:ilvl="0">
      <w:lvlJc w:val="left"/>
      <w:lvlText w:val="(%1)"/>
      <w:numFmt w:val="lowerLetter"/>
      <w:start w:val="24"/>
    </w:lvl>
    <w:lvl w:ilvl="1">
      <w:lvlJc w:val="left"/>
      <w:lvlText w:val="%2."/>
      <w:numFmt w:val="decimal"/>
      <w:start w:val="4"/>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7">
    <w:nsid w:val="6B94764"/>
    <w:multiLevelType w:val="hybridMultilevel"/>
    <w:lvl w:ilvl="0">
      <w:lvlJc w:val="left"/>
      <w:lvlText w:val="%1"/>
      <w:numFmt w:val="decimal"/>
      <w:start w:val="1"/>
    </w:lvl>
    <w:lvl w:ilvl="1">
      <w:lvlJc w:val="left"/>
      <w:lvlText w:val="(%2)"/>
      <w:numFmt w:val="lowerLetter"/>
      <w:start w:val="2"/>
    </w:lvl>
  </w:abstractNum>
  <w:abstractNum w:abstractNumId="68">
    <w:nsid w:val="42C296BD"/>
    <w:multiLevelType w:val="hybridMultilevel"/>
    <w:lvl w:ilvl="0">
      <w:lvlJc w:val="left"/>
      <w:lvlText w:val="%1."/>
      <w:numFmt w:val="decimal"/>
      <w:start w:val="6"/>
    </w:lvl>
    <w:lvl w:ilvl="1">
      <w:lvlJc w:val="left"/>
      <w:lvlText w:val="(%2)"/>
      <w:numFmt w:val="lowerLetter"/>
      <w:start w:val="1"/>
    </w:lvl>
  </w:abstractNum>
  <w:abstractNum w:abstractNumId="69">
    <w:nsid w:val="168E121F"/>
    <w:multiLevelType w:val="hybridMultilevel"/>
    <w:lvl w:ilvl="0">
      <w:lvlJc w:val="left"/>
      <w:lvlText w:val="(%1)"/>
      <w:numFmt w:val="lowerLetter"/>
      <w:start w:val="5"/>
    </w:lvl>
  </w:abstractNum>
  <w:abstractNum w:abstractNumId="70">
    <w:nsid w:val="1EBA5D23"/>
    <w:multiLevelType w:val="hybridMultilevel"/>
    <w:lvl w:ilvl="0">
      <w:lvlJc w:val="left"/>
      <w:lvlText w:val="(%1)"/>
      <w:numFmt w:val="lowerLetter"/>
      <w:start w:val="9"/>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47" Type="http://schemas.openxmlformats.org/officeDocument/2006/relationships/image" Target="media/image400.png"/><Relationship Id="rId448" Type="http://schemas.openxmlformats.org/officeDocument/2006/relationships/image" Target="media/image401.png"/><Relationship Id="rId468" Type="http://schemas.openxmlformats.org/officeDocument/2006/relationships/image" Target="media/image402.png"/><Relationship Id="rId469" Type="http://schemas.openxmlformats.org/officeDocument/2006/relationships/image" Target="media/image403.png"/><Relationship Id="rId470" Type="http://schemas.openxmlformats.org/officeDocument/2006/relationships/image" Target="media/image404.png"/><Relationship Id="rId471" Type="http://schemas.openxmlformats.org/officeDocument/2006/relationships/image" Target="media/image405.png"/><Relationship Id="rId472" Type="http://schemas.openxmlformats.org/officeDocument/2006/relationships/image" Target="media/image406.png"/><Relationship Id="rId473" Type="http://schemas.openxmlformats.org/officeDocument/2006/relationships/image" Target="media/image407.png"/><Relationship Id="rId474" Type="http://schemas.openxmlformats.org/officeDocument/2006/relationships/image" Target="media/image408.png"/><Relationship Id="rId475" Type="http://schemas.openxmlformats.org/officeDocument/2006/relationships/image" Target="media/image409.png"/><Relationship Id="rId476" Type="http://schemas.openxmlformats.org/officeDocument/2006/relationships/image" Target="media/image410.jpeg"/><Relationship Id="rId477" Type="http://schemas.openxmlformats.org/officeDocument/2006/relationships/image" Target="media/image411.png"/><Relationship Id="rId478" Type="http://schemas.openxmlformats.org/officeDocument/2006/relationships/image" Target="media/image412.png"/><Relationship Id="rId479" Type="http://schemas.openxmlformats.org/officeDocument/2006/relationships/image" Target="media/image413.png"/><Relationship Id="rId480" Type="http://schemas.openxmlformats.org/officeDocument/2006/relationships/image" Target="media/image414.png"/><Relationship Id="rId481" Type="http://schemas.openxmlformats.org/officeDocument/2006/relationships/image" Target="media/image415.png"/><Relationship Id="rId482" Type="http://schemas.openxmlformats.org/officeDocument/2006/relationships/image" Target="media/image416.png"/><Relationship Id="rId483" Type="http://schemas.openxmlformats.org/officeDocument/2006/relationships/image" Target="media/image417.png"/><Relationship Id="rId484" Type="http://schemas.openxmlformats.org/officeDocument/2006/relationships/image" Target="media/image418.png"/><Relationship Id="rId485" Type="http://schemas.openxmlformats.org/officeDocument/2006/relationships/image" Target="media/image419.png"/><Relationship Id="rId486" Type="http://schemas.openxmlformats.org/officeDocument/2006/relationships/image" Target="media/image420.png"/><Relationship Id="rId487" Type="http://schemas.openxmlformats.org/officeDocument/2006/relationships/image" Target="media/image421.png"/><Relationship Id="rId488" Type="http://schemas.openxmlformats.org/officeDocument/2006/relationships/image" Target="media/image422.png"/><Relationship Id="rId489" Type="http://schemas.openxmlformats.org/officeDocument/2006/relationships/image" Target="media/image423.png"/><Relationship Id="rId490" Type="http://schemas.openxmlformats.org/officeDocument/2006/relationships/image" Target="media/image424.png"/><Relationship Id="rId95" Type="http://schemas.openxmlformats.org/officeDocument/2006/relationships/hyperlink" Target="https://www.sec.gov/Archives/edgar/data/1537054/000095017025039384/gogo-20241231.htm" TargetMode="External"/><Relationship Id="rId406" Type="http://schemas.openxmlformats.org/officeDocument/2006/relationships/hyperlink" Target="https://www.sec.gov/Archives/edgar/data/1537054/000119312524230178/d856479dex21.htm" TargetMode="External"/><Relationship Id="rId407" Type="http://schemas.openxmlformats.org/officeDocument/2006/relationships/hyperlink" Target="https://www.sec.gov/Archives/edgar/data/1537054/000119312513324476/d552184dex31.htm" TargetMode="External"/><Relationship Id="rId408" Type="http://schemas.openxmlformats.org/officeDocument/2006/relationships/hyperlink" Target="https://www.sec.gov/Archives/edgar/data/1537054/000095017023037120/gogo-ex3_1.htm" TargetMode="External"/><Relationship Id="rId409" Type="http://schemas.openxmlformats.org/officeDocument/2006/relationships/hyperlink" Target="https://www.sec.gov/Archives/edgar/data/1537054/000119312513252482/d551124dex41.htm" TargetMode="External"/><Relationship Id="rId410" Type="http://schemas.openxmlformats.org/officeDocument/2006/relationships/hyperlink" Target="https://www.sec.gov/Archives/edgar/data/1537054/000119312511351260/d267959dex43.htm" TargetMode="External"/><Relationship Id="rId411" Type="http://schemas.openxmlformats.org/officeDocument/2006/relationships/hyperlink" Target="https://www.sec.gov/Archives/edgar/data/1537054/000095017024022040/gogo-ex4_3.htm" TargetMode="External"/><Relationship Id="rId412" Type="http://schemas.openxmlformats.org/officeDocument/2006/relationships/hyperlink" Target="https://www.sec.gov/Archives/edgar/data/1537054/000119312521114224/d155938dex102.htm" TargetMode="External"/><Relationship Id="rId413" Type="http://schemas.openxmlformats.org/officeDocument/2006/relationships/hyperlink" Target="https://www.sec.gov/Archives/edgar/data/1537054/000119312521114224/d155938dex103.htm" TargetMode="External"/><Relationship Id="rId414" Type="http://schemas.openxmlformats.org/officeDocument/2006/relationships/hyperlink" Target="https://www.sec.gov/Archives/edgar/data/1537054/000156459021041278/gogo-ex43_428.htm" TargetMode="External"/><Relationship Id="rId415" Type="http://schemas.openxmlformats.org/officeDocument/2006/relationships/hyperlink" Target="https://www.sec.gov/Archives/edgar/data/1537054/000095017022002778/gogo-ex4_10.htm" TargetMode="External"/><Relationship Id="rId416" Type="http://schemas.openxmlformats.org/officeDocument/2006/relationships/hyperlink" Target="https://www.sec.gov/Archives/edgar/data/1537054/000119312518319287/d644423dex10148.htm" TargetMode="External"/><Relationship Id="rId417" Type="http://schemas.openxmlformats.org/officeDocument/2006/relationships/hyperlink" Target="https://www.sec.gov/Archives/edgar/data/1537054/000119312518319287/d644423dex10149.htm" TargetMode="External"/><Relationship Id="rId418" Type="http://schemas.openxmlformats.org/officeDocument/2006/relationships/hyperlink" Target="https://www.sec.gov/Archives/edgar/data/1537054/000119312518319287/d644423dex10150.htm" TargetMode="External"/><Relationship Id="rId421" Type="http://schemas.openxmlformats.org/officeDocument/2006/relationships/hyperlink" Target="https://www.sec.gov/Archives/edgar/data/1537054/000119312520307170/d50881dex101.htm" TargetMode="External"/><Relationship Id="rId422" Type="http://schemas.openxmlformats.org/officeDocument/2006/relationships/hyperlink" Target="https://www.sec.gov/Archives/edgar/data/1537054/000156459021012575/gogo-ex1015_112.htm" TargetMode="External"/><Relationship Id="rId423" Type="http://schemas.openxmlformats.org/officeDocument/2006/relationships/hyperlink" Target="https://www.sec.gov/Archives/edgar/data/1537054/000095017024092730/gogo-ex10_4.htm" TargetMode="External"/><Relationship Id="rId424" Type="http://schemas.openxmlformats.org/officeDocument/2006/relationships/hyperlink" Target="https://www.sec.gov/Archives/edgar/data/1537054/000156459021012575/gogo-ex1016_111.htm" TargetMode="External"/><Relationship Id="rId425" Type="http://schemas.openxmlformats.org/officeDocument/2006/relationships/hyperlink" Target="https://www.sec.gov/Archives/edgar/data/1537054/000095017022010727/gogo-ex10_1.htm" TargetMode="External"/><Relationship Id="rId426" Type="http://schemas.openxmlformats.org/officeDocument/2006/relationships/hyperlink" Target="https://www.sec.gov/Archives/edgar/data/1537054/000095017022011631/gogo-ex10_1.htm" TargetMode="External"/><Relationship Id="rId427" Type="http://schemas.openxmlformats.org/officeDocument/2006/relationships/hyperlink" Target="https://www.sec.gov/Archives/edgar/data/1537054/000095017023017152/gogo-ex10_11.htm" TargetMode="External"/><Relationship Id="rId428" Type="http://schemas.openxmlformats.org/officeDocument/2006/relationships/hyperlink" Target="https://www.sec.gov/Archives/edgar/data/1537054/000095017023005065/gogo-ex10_221.htm" TargetMode="External"/><Relationship Id="rId429" Type="http://schemas.openxmlformats.org/officeDocument/2006/relationships/hyperlink" Target="https://www.sec.gov/Archives/edgar/data/1537054/000095017023005065/gogo-ex10_222.htm" TargetMode="External"/><Relationship Id="rId430" Type="http://schemas.openxmlformats.org/officeDocument/2006/relationships/hyperlink" Target="https://www.sec.gov/Archives/edgar/data/1537054/000095017025039384/gogo-ex10_16.htm" TargetMode="External"/><Relationship Id="rId431" Type="http://schemas.openxmlformats.org/officeDocument/2006/relationships/hyperlink" Target="https://www.sec.gov/Archives/edgar/data/1537054/000095017025039384/gogo-ex10_17.htm" TargetMode="External"/><Relationship Id="rId432" Type="http://schemas.openxmlformats.org/officeDocument/2006/relationships/hyperlink" Target="https://www.sec.gov/Archives/edgar/data/1537054/000095017025039384/gogo-ex10_18.htm" TargetMode="External"/><Relationship Id="rId433" Type="http://schemas.openxmlformats.org/officeDocument/2006/relationships/hyperlink" Target="https://www.sec.gov/Archives/edgar/data/1537054/000095017025039384/gogo-ex10_19.htm" TargetMode="External"/><Relationship Id="rId434" Type="http://schemas.openxmlformats.org/officeDocument/2006/relationships/hyperlink" Target="https://www.sec.gov/Archives/edgar/data/1537054/000095017025039384/gogo-ex10_20.htm" TargetMode="External"/><Relationship Id="rId435" Type="http://schemas.openxmlformats.org/officeDocument/2006/relationships/hyperlink" Target="https://www.sec.gov/Archives/edgar/data/1537054/000095017025039384/gogo-ex10_21.htm" TargetMode="External"/><Relationship Id="rId436" Type="http://schemas.openxmlformats.org/officeDocument/2006/relationships/hyperlink" Target="https://www.sec.gov/Archives/edgar/data/1537054/000095017025039384/gogo-ex10_22.htm" TargetMode="External"/><Relationship Id="rId437" Type="http://schemas.openxmlformats.org/officeDocument/2006/relationships/hyperlink" Target="https://www.sec.gov/Archives/edgar/data/1537054/000095017025039384/gogo-ex10_23.htm" TargetMode="External"/><Relationship Id="rId438" Type="http://schemas.openxmlformats.org/officeDocument/2006/relationships/hyperlink" Target="https://www.sec.gov/Archives/edgar/data/1537054/000095017025039384/gogo-ex10_24.htm" TargetMode="External"/><Relationship Id="rId439" Type="http://schemas.openxmlformats.org/officeDocument/2006/relationships/hyperlink" Target="https://www.sec.gov/Archives/edgar/data/1537054/000119312513262303/d551124dex105.htm" TargetMode="External"/><Relationship Id="rId440" Type="http://schemas.openxmlformats.org/officeDocument/2006/relationships/hyperlink" Target="https://www.sec.gov/Archives/edgar/data/1537054/000119312514100126/d659569dex1052.htm" TargetMode="External"/><Relationship Id="rId441" Type="http://schemas.openxmlformats.org/officeDocument/2006/relationships/hyperlink" Target="https://www.sec.gov/Archives/edgar/data/1537054/000095017022015043/gogo-ex10_41.htm" TargetMode="External"/><Relationship Id="rId442" Type="http://schemas.openxmlformats.org/officeDocument/2006/relationships/hyperlink" Target="https://www.sec.gov/Archives/edgar/data/1537054/000119312516671164/d211397dex1046.htm" TargetMode="External"/><Relationship Id="rId443" Type="http://schemas.openxmlformats.org/officeDocument/2006/relationships/hyperlink" Target="https://www.sec.gov/Archives/edgar/data/1537054/000095017024069859/gogo-ex10_2.htm" TargetMode="External"/><Relationship Id="rId444" Type="http://schemas.openxmlformats.org/officeDocument/2006/relationships/hyperlink" Target="https://www.sec.gov/Archives/edgar/data/1537054/000095017025039384/gogo-ex10_34.htm" TargetMode="External"/><Relationship Id="rId445" Type="http://schemas.openxmlformats.org/officeDocument/2006/relationships/hyperlink" Target="https://www.sec.gov/Archives/edgar/data/1537054/000095017024069859/gogo-ex10_1.htm" TargetMode="External"/><Relationship Id="rId446" Type="http://schemas.openxmlformats.org/officeDocument/2006/relationships/hyperlink" Target="https://www.sec.gov/Archives/edgar/data/1537054/000119312516671164/d211397dex10410.htm" TargetMode="External"/><Relationship Id="rId449" Type="http://schemas.openxmlformats.org/officeDocument/2006/relationships/hyperlink" Target="https://www.sec.gov/Archives/edgar/data/1537054/000119312513261433/d551124dex107.htm" TargetMode="External"/><Relationship Id="rId450" Type="http://schemas.openxmlformats.org/officeDocument/2006/relationships/hyperlink" Target="https://www.sec.gov/Archives/edgar/data/1537054/000119312513251036/d267959dex1071.htm" TargetMode="External"/><Relationship Id="rId451" Type="http://schemas.openxmlformats.org/officeDocument/2006/relationships/hyperlink" Target="https://www.sec.gov/Archives/edgar/data/1537054/000119312513251036/d267959dex1072.htm" TargetMode="External"/><Relationship Id="rId452" Type="http://schemas.openxmlformats.org/officeDocument/2006/relationships/hyperlink" Target="https://www.sec.gov/Archives/edgar/data/1537054/000119312514100126/d659569dex10102.htm" TargetMode="External"/><Relationship Id="rId453" Type="http://schemas.openxmlformats.org/officeDocument/2006/relationships/hyperlink" Target="https://www.sec.gov/Archives/edgar/data/1537054/000119312514100126/d659569dex10103.htm" TargetMode="External"/><Relationship Id="rId454" Type="http://schemas.openxmlformats.org/officeDocument/2006/relationships/hyperlink" Target="https://www.sec.gov/Archives/edgar/data/1537054/000156459021041278/gogo-ex107_125.htm" TargetMode="External"/><Relationship Id="rId455" Type="http://schemas.openxmlformats.org/officeDocument/2006/relationships/hyperlink" Target="https://www.sec.gov/Archives/edgar/data/1537054/000156459020038939/gogo-ex1091_183.htm" TargetMode="External"/><Relationship Id="rId456" Type="http://schemas.openxmlformats.org/officeDocument/2006/relationships/hyperlink" Target="https://www.sec.gov/Archives/edgar/data/1537054/000156459021041278/gogo-ex108_214.htm" TargetMode="External"/><Relationship Id="rId457" Type="http://schemas.openxmlformats.org/officeDocument/2006/relationships/hyperlink" Target="https://www.sec.gov/Archives/edgar/data/1537054/000095017024092730/gogo-ex10_3.htm" TargetMode="External"/><Relationship Id="rId458" Type="http://schemas.openxmlformats.org/officeDocument/2006/relationships/hyperlink" Target="https://www.sec.gov/Archives/edgar/data/1537054/000119312521146480/d163699dex101.htm" TargetMode="External"/><Relationship Id="rId459" Type="http://schemas.openxmlformats.org/officeDocument/2006/relationships/hyperlink" Target="https://www.sec.gov/Archives/edgar/data/1537054/000119312521146480/d163699dex102.htm" TargetMode="External"/><Relationship Id="rId460" Type="http://schemas.openxmlformats.org/officeDocument/2006/relationships/hyperlink" Target="https://www.sec.gov/Archives/edgar/data/1537054/000119312521146480/d163699dex103.htm" TargetMode="External"/><Relationship Id="rId461" Type="http://schemas.openxmlformats.org/officeDocument/2006/relationships/hyperlink" Target="https://www.sec.gov/Archives/edgar/data/1537054/000095017023005065/gogo-ex10_94.htm" TargetMode="External"/><Relationship Id="rId462" Type="http://schemas.openxmlformats.org/officeDocument/2006/relationships/hyperlink" Target="https://www.sec.gov/Archives/edgar/data/1537054/000119312524273399/d915976dex101.htm" TargetMode="External"/><Relationship Id="rId463" Type="http://schemas.openxmlformats.org/officeDocument/2006/relationships/hyperlink" Target="https://www.sec.gov/Archives/edgar/data/1537054/000119312524273399/d915976dex102.htm" TargetMode="External"/><Relationship Id="rId464" Type="http://schemas.openxmlformats.org/officeDocument/2006/relationships/hyperlink" Target="https://www.sec.gov/Archives/edgar/data/1537054/000119312525054379/d888304dex991.htm" TargetMode="External"/><Relationship Id="rId465" Type="http://schemas.openxmlformats.org/officeDocument/2006/relationships/hyperlink" Target="https://www.sec.gov/Archives/edgar/data/1537054/000119312525054379/d888304dex992.htm" TargetMode="External"/><Relationship Id="rId466" Type="http://schemas.openxmlformats.org/officeDocument/2006/relationships/hyperlink" Target="https://www.sec.gov/Archives/edgar/data/1537054/000095017025039384/gogo-ex19.htm" TargetMode="External"/><Relationship Id="rId467" Type="http://schemas.openxmlformats.org/officeDocument/2006/relationships/hyperlink" Target="https://www.sec.gov/Archives/edgar/data/1537054/000095017024022040/gogo-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2026-02-27T15:31:17Z</dcterms:created>
  <dcterms:modified xsi:type="dcterms:W3CDTF">2026-02-27T15:31:17Z</dcterms:modified>
</cp:coreProperties>
</file>