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99060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81915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2025 (April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114300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GOGO INC.</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99060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001-35975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27-1650905</w:t>
      </w:r>
    </w:p>
    <w:p>
      <w:pPr>
        <w:spacing w:after="0" w:line="42" w:lineRule="exact"/>
        <w:rPr>
          <w:sz w:val="24"/>
          <w:szCs w:val="24"/>
          <w:color w:val="auto"/>
        </w:rPr>
      </w:pPr>
    </w:p>
    <w:p>
      <w:pPr>
        <w:sectPr>
          <w:pgSz w:w="11900" w:h="16838" w:orient="portrait"/>
          <w:cols w:equalWidth="0" w:num="3">
            <w:col w:w="4520" w:space="720"/>
            <w:col w:w="2860" w:space="720"/>
            <w:col w:w="2320"/>
          </w:cols>
          <w:pgMar w:left="320" w:top="1440" w:right="4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14" w:lineRule="exact"/>
        <w:rPr>
          <w:sz w:val="24"/>
          <w:szCs w:val="24"/>
          <w:color w:val="auto"/>
        </w:rPr>
      </w:pPr>
    </w:p>
    <w:p>
      <w:pPr>
        <w:sectPr>
          <w:pgSz w:w="11900" w:h="16838" w:orient="portrait"/>
          <w:cols w:equalWidth="0" w:num="3">
            <w:col w:w="4080" w:space="720"/>
            <w:col w:w="2680" w:space="720"/>
            <w:col w:w="2940"/>
          </w:cols>
          <w:pgMar w:left="320" w:top="1440" w:right="439" w:bottom="1440" w:gutter="0" w:footer="0" w:header="0"/>
          <w:type w:val="continuous"/>
        </w:sectPr>
      </w:pPr>
    </w:p>
    <w:tbl>
      <w:tblPr>
        <w:tblLayout w:type="fixed"/>
        <w:tblInd w:w="1620" w:type="dxa"/>
        <w:tblCellMar>
          <w:top w:w="0" w:type="dxa"/>
          <w:left w:w="0" w:type="dxa"/>
          <w:bottom w:w="0" w:type="dxa"/>
          <w:right w:w="0" w:type="dxa"/>
        </w:tblCellMar>
      </w:tblPr>
      <w:tr>
        <w:trPr>
          <w:trHeight w:val="216"/>
        </w:trPr>
        <w:tc>
          <w:tcPr>
            <w:tcW w:w="6180" w:type="dxa"/>
            <w:vAlign w:val="bottom"/>
          </w:tcPr>
          <w:p>
            <w:pPr>
              <w:jc w:val="center"/>
              <w:ind w:right="3694"/>
              <w:spacing w:after="0"/>
              <w:rPr>
                <w:sz w:val="20"/>
                <w:szCs w:val="20"/>
                <w:color w:val="auto"/>
              </w:rPr>
            </w:pPr>
            <w:r>
              <w:rPr>
                <w:rFonts w:ascii="Times New Roman" w:cs="Times New Roman" w:eastAsia="Times New Roman" w:hAnsi="Times New Roman"/>
                <w:sz w:val="18"/>
                <w:szCs w:val="18"/>
                <w:b w:val="1"/>
                <w:bCs w:val="1"/>
                <w:color w:val="auto"/>
              </w:rPr>
              <w:t>105 Edgeview Dr., Suite 300</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80021</w:t>
            </w:r>
          </w:p>
        </w:tc>
        <w:tc>
          <w:tcPr>
            <w:tcW w:w="0" w:type="dxa"/>
            <w:vAlign w:val="bottom"/>
          </w:tcPr>
          <w:p>
            <w:pPr>
              <w:spacing w:after="0"/>
              <w:rPr>
                <w:sz w:val="1"/>
                <w:szCs w:val="1"/>
                <w:color w:val="auto"/>
              </w:rPr>
            </w:pPr>
          </w:p>
        </w:tc>
      </w:tr>
      <w:tr>
        <w:trPr>
          <w:trHeight w:val="106"/>
        </w:trPr>
        <w:tc>
          <w:tcPr>
            <w:tcW w:w="6180" w:type="dxa"/>
            <w:vAlign w:val="bottom"/>
            <w:vMerge w:val="restart"/>
          </w:tcPr>
          <w:p>
            <w:pPr>
              <w:jc w:val="center"/>
              <w:ind w:right="3694"/>
              <w:spacing w:after="0"/>
              <w:rPr>
                <w:sz w:val="20"/>
                <w:szCs w:val="20"/>
                <w:color w:val="auto"/>
              </w:rPr>
            </w:pPr>
            <w:r>
              <w:rPr>
                <w:rFonts w:ascii="Times New Roman" w:cs="Times New Roman" w:eastAsia="Times New Roman" w:hAnsi="Times New Roman"/>
                <w:sz w:val="18"/>
                <w:szCs w:val="18"/>
                <w:b w:val="1"/>
                <w:bCs w:val="1"/>
                <w:color w:val="auto"/>
              </w:rPr>
              <w:t>Broomfield, CO</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80" w:type="dxa"/>
            <w:vAlign w:val="bottom"/>
            <w:vMerge w:val="continue"/>
          </w:tcPr>
          <w:p>
            <w:pPr>
              <w:spacing w:after="0"/>
              <w:rPr>
                <w:sz w:val="9"/>
                <w:szCs w:val="9"/>
                <w:color w:val="auto"/>
              </w:rPr>
            </w:pPr>
          </w:p>
        </w:tc>
        <w:tc>
          <w:tcPr>
            <w:tcW w:w="960" w:type="dxa"/>
            <w:vAlign w:val="bottom"/>
            <w:vMerge w:val="restart"/>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6180" w:type="dxa"/>
            <w:vAlign w:val="bottom"/>
            <w:vMerge w:val="restart"/>
          </w:tcPr>
          <w:p>
            <w:pPr>
              <w:jc w:val="center"/>
              <w:ind w:right="37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5"/>
        </w:trPr>
        <w:tc>
          <w:tcPr>
            <w:tcW w:w="6180" w:type="dxa"/>
            <w:vAlign w:val="bottom"/>
          </w:tcPr>
          <w:p>
            <w:pPr>
              <w:jc w:val="center"/>
              <w:ind w:left="173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80" w:type="dxa"/>
            <w:vAlign w:val="bottom"/>
          </w:tcPr>
          <w:p>
            <w:pPr>
              <w:jc w:val="right"/>
              <w:ind w:right="1574"/>
              <w:spacing w:after="0"/>
              <w:rPr>
                <w:sz w:val="20"/>
                <w:szCs w:val="20"/>
                <w:color w:val="auto"/>
              </w:rPr>
            </w:pPr>
            <w:r>
              <w:rPr>
                <w:rFonts w:ascii="Times New Roman" w:cs="Times New Roman" w:eastAsia="Times New Roman" w:hAnsi="Times New Roman"/>
                <w:sz w:val="18"/>
                <w:szCs w:val="18"/>
                <w:b w:val="1"/>
                <w:bCs w:val="1"/>
                <w:color w:val="auto"/>
              </w:rPr>
              <w:t>303-301-3271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0"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395" w:lineRule="auto"/>
        <w:tabs>
          <w:tab w:leader="none" w:pos="2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0"/>
        </w:trPr>
        <w:tc>
          <w:tcPr>
            <w:tcW w:w="4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80" w:type="dxa"/>
            <w:vAlign w:val="bottom"/>
          </w:tcPr>
          <w:p>
            <w:pPr>
              <w:spacing w:after="0"/>
              <w:rPr>
                <w:sz w:val="15"/>
                <w:szCs w:val="15"/>
                <w:color w:val="auto"/>
              </w:rPr>
            </w:pPr>
          </w:p>
        </w:tc>
        <w:tc>
          <w:tcPr>
            <w:tcW w:w="2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GOGO</w:t>
            </w:r>
          </w:p>
        </w:tc>
        <w:tc>
          <w:tcPr>
            <w:tcW w:w="180" w:type="dxa"/>
            <w:vAlign w:val="bottom"/>
          </w:tcPr>
          <w:p>
            <w:pPr>
              <w:spacing w:after="0"/>
              <w:rPr>
                <w:sz w:val="15"/>
                <w:szCs w:val="15"/>
                <w:color w:val="auto"/>
              </w:rPr>
            </w:pPr>
          </w:p>
        </w:tc>
        <w:tc>
          <w:tcPr>
            <w:tcW w:w="4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212"/>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 Stock Purchase Rights</w:t>
            </w:r>
          </w:p>
        </w:tc>
        <w:tc>
          <w:tcPr>
            <w:tcW w:w="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GOGO</w:t>
            </w:r>
          </w:p>
        </w:tc>
        <w:tc>
          <w:tcPr>
            <w:tcW w:w="18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50"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previously disclosed, Gogo Inc. (the “Company”) appointed Oakleigh Thorne as Executive Chairman of the Board of Directors of the Company (the “Board”), effective December 3, 2024. In connection with Mr. Thorne’s appointment as Executive Chairman of the Board, on April 15, 2025, the Company and Oakleigh Thorne entered into a Second Amended and Restated Employment Agreement (the “Second A&amp;R Agreement”). The Second A&amp;R Agreement amends and restates the Employment Agreement dated March 4, 2018, as amended by the Amendment No. 1 dated March 25, 2022, and as amended and restated on March 21, 2024 (the “Prior Agreement”).</w:t>
      </w:r>
    </w:p>
    <w:p>
      <w:pPr>
        <w:spacing w:after="0" w:line="7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The term of the Second A&amp;R Agreement began on January 1, 2025 and continues through a date in 2025 to be mutually agreed by the Board and Mr. Thorne (the “First Term Expiration Date” and such period, the “First Term”), and from the First Term Expiration Date to December 31, 2025 (the “Second Term Expiration Date” and such period, the “Second Term”). Mr. Thorne’s employment during the First Term is full-time, and his employment during the second term will be part-time. The Second A&amp;R Agreement provides that Mr. Thorne will be paid a base salary at the rate of $700,000 per annum during the First Term and $350,000 per annum during the Second Term. The Second A&amp;R Agreement specifies that Mr. Thorne is eligible for an annual bonus for 2025 with a target of 100% of the portion of the First Term base salary paid to Mr. Thorne during the First Term and 100% of the portion of the Second Term base salary paid to Mr. Thorne during the Second Term, with the amount of such bonus to be determined by the Compensation Committee. The actual amount of bonus will be based upon the achievement of objectives established by the Compensation Committee. Pursuant to the Second A&amp;R Agreement, the Company will provide Mr. Thorne with the following additional compensation and benefits: (i) upon the First Term Expiration Date, a lump-sum payment of $1,400,000 (the “First Term Expiration Payment”), (ii) equity awards on terms consistent with the 2023 awards and for 2025, with a grant date fair value no less than that of the annual equity awards granted in 2023, and (iii) reimbursement of up to $15,000 in legal fees incurred in connection with the negotiation and review of the Second A&amp;R Agreement. In addition, upon the Second Term Expiration Date and subject to Mr. Thorne’s timely execution and non-revocation of a general release of claims against the Company, (a) all outstanding unvested equity-based awards that vest solely on the passage of time and were granted under the Company’s equity plans prior to the Second Term Expiration Date will fully vest,</w:t>
      </w:r>
    </w:p>
    <w:p>
      <w:pPr>
        <w:spacing w:after="0" w:line="12" w:lineRule="exact"/>
        <w:rPr>
          <w:sz w:val="20"/>
          <w:szCs w:val="20"/>
          <w:color w:val="auto"/>
        </w:rPr>
      </w:pPr>
    </w:p>
    <w:p>
      <w:pPr>
        <w:jc w:val="both"/>
        <w:ind w:firstLine="8"/>
        <w:spacing w:after="0" w:line="252"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equity-based awards that vest based on achievement of performance goals and were granted under the Company’s equity plans prior to the Second Term Expiration Date will remain outstanding and eligible to vest in accordance with their terms so long as Mr. Thorne is on the Board, and (c) all vested stock options to purchase common stock in the Company (after giving effect to (a)) shall remain exercisable through the earlier of (x) the original option term or (y) until the latest of (A) March 31, 2026, (B) the fifth anniversary of grant, or (C) the expiration of the normal post-termination exercise period (generally ninety days post-termination) (the “Second Term Expiration Equity Treatment”). Mr. Thorne is also subject to non-competition and non-solicitation covenants that apply for one year following his separation from service with the Company.</w:t>
      </w:r>
    </w:p>
    <w:p>
      <w:pPr>
        <w:spacing w:after="0" w:line="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prior to the Second Term Expiration Date, Mr. Thorne’s employment is terminated by the Company without cause, his employment terminates due to his death or qualifying disability, or Mr. Thorne resigns for good reason, subject to Mr. Thorne’s execution and non-revocation of a general release of claims against the Company, he will be entitled to (i) the First Term Expiration Payment (to the extent not previously paid), (ii) a pro rata portion of his annual bonus for the fiscal year in which his termination occurs based on actual results for such year (the “Pro Rata Bonus”), (iii) the Second Term Expiration Equity Treatment, and (iv) Accrued Benefits (as defined in the Second A&amp;R Agreement).</w:t>
      </w:r>
    </w:p>
    <w:p>
      <w:pPr>
        <w:spacing w:after="0" w:line="75" w:lineRule="exact"/>
        <w:rPr>
          <w:sz w:val="20"/>
          <w:szCs w:val="20"/>
          <w:color w:val="auto"/>
        </w:rPr>
      </w:pPr>
    </w:p>
    <w:p>
      <w:pPr>
        <w:jc w:val="both"/>
        <w:ind w:firstLine="611"/>
        <w:spacing w:after="0" w:line="261" w:lineRule="auto"/>
        <w:rPr>
          <w:sz w:val="20"/>
          <w:szCs w:val="20"/>
          <w:color w:val="auto"/>
        </w:rPr>
      </w:pPr>
      <w:r>
        <w:rPr>
          <w:rFonts w:ascii="Times New Roman" w:cs="Times New Roman" w:eastAsia="Times New Roman" w:hAnsi="Times New Roman"/>
          <w:sz w:val="18"/>
          <w:szCs w:val="18"/>
          <w:color w:val="auto"/>
        </w:rPr>
        <w:t>In the event Mr. Thorne’s employment with the Company is terminated by the Company without cause or Mr. Thorne resigns for good reason within twenty-four months following a Change in Control (as defined in the Gogo Inc. 2024 Omnibus Stock Incentive Plan), Mr. Thorne will be entitled to</w:t>
      </w:r>
    </w:p>
    <w:p>
      <w:pPr>
        <w:ind w:firstLine="8"/>
        <w:spacing w:after="0" w:line="260" w:lineRule="auto"/>
        <w:tabs>
          <w:tab w:leader="none" w:pos="2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of eighteen months of Mr. Thorne’s then-current base salary and target bonus less the amount of the First Term Expiration Payment if previously paid, (ii) the Pro Rata Bonus, (iii) Accrued Benefits, and (iv) the Second Term Expiration Equity Treatment.</w:t>
      </w:r>
    </w:p>
    <w:p>
      <w:pPr>
        <w:spacing w:after="0" w:line="1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A&amp;R Agreement is a summary only, does not purport to be complete, and is qualified in its entirety by reference to the Second A&amp;R Agreement, the form of which will be filed as an exhibit to the Company’s Quarterly Report on Form 10-Q for the quarter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27"/>
        </w:trPr>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GOGO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-7620</wp:posOffset>
            </wp:positionV>
            <wp:extent cx="11487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Crystal L. Gordon</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Executive Vice President, General Counsel, Chief Administrative Officer, and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2025-04-17T15:10:13Z</dcterms:created>
  <dcterms:modified xsi:type="dcterms:W3CDTF">2025-04-17T15:10:13Z</dcterms:modified>
</cp:coreProperties>
</file>