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92075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2"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940" w:type="dxa"/>
        <w:tblCellMar>
          <w:top w:w="0" w:type="dxa"/>
          <w:left w:w="0" w:type="dxa"/>
          <w:bottom w:w="0" w:type="dxa"/>
          <w:right w:w="0" w:type="dxa"/>
        </w:tblCellMar>
      </w:tblPr>
      <w:tr>
        <w:trPr>
          <w:trHeight w:val="391"/>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32"/>
                <w:szCs w:val="32"/>
                <w:b w:val="1"/>
                <w:bCs w:val="1"/>
                <w:color w:val="auto"/>
                <w:w w:val="92"/>
              </w:rPr>
              <w:t>Gogo Inc.</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51"/>
        </w:trPr>
        <w:tc>
          <w:tcPr>
            <w:tcW w:w="90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2"/>
          </w:tcPr>
          <w:p>
            <w:pPr>
              <w:ind w:left="480"/>
              <w:spacing w:after="0"/>
              <w:rPr>
                <w:sz w:val="20"/>
                <w:szCs w:val="20"/>
                <w:color w:val="auto"/>
              </w:rPr>
            </w:pPr>
            <w:r>
              <w:rPr>
                <w:rFonts w:ascii="Arial" w:cs="Arial" w:eastAsia="Arial" w:hAnsi="Arial"/>
                <w:sz w:val="18"/>
                <w:szCs w:val="18"/>
                <w:b w:val="1"/>
                <w:bCs w:val="1"/>
                <w:color w:val="auto"/>
              </w:rPr>
              <w:t>27-1650905</w:t>
            </w:r>
          </w:p>
        </w:tc>
      </w:tr>
      <w:tr>
        <w:trPr>
          <w:trHeight w:val="157"/>
        </w:trPr>
        <w:tc>
          <w:tcPr>
            <w:tcW w:w="900" w:type="dxa"/>
            <w:vAlign w:val="bottom"/>
          </w:tcPr>
          <w:p>
            <w:pPr>
              <w:spacing w:after="0"/>
              <w:rPr>
                <w:sz w:val="13"/>
                <w:szCs w:val="13"/>
                <w:color w:val="auto"/>
              </w:rPr>
            </w:pPr>
          </w:p>
        </w:tc>
        <w:tc>
          <w:tcPr>
            <w:tcW w:w="186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(State or other jurisdiction of</w:t>
            </w: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jc w:val="center"/>
              <w:ind w:right="948"/>
              <w:spacing w:after="0" w:line="157" w:lineRule="exact"/>
              <w:rPr>
                <w:sz w:val="20"/>
                <w:szCs w:val="20"/>
                <w:color w:val="auto"/>
              </w:rPr>
            </w:pPr>
            <w:r>
              <w:rPr>
                <w:rFonts w:ascii="Arial" w:cs="Arial" w:eastAsia="Arial" w:hAnsi="Arial"/>
                <w:sz w:val="14"/>
                <w:szCs w:val="14"/>
                <w:color w:val="auto"/>
                <w:w w:val="95"/>
              </w:rPr>
              <w:t>(I.R.S. Employer</w:t>
            </w:r>
          </w:p>
        </w:tc>
      </w:tr>
      <w:tr>
        <w:trPr>
          <w:trHeight w:val="182"/>
        </w:trPr>
        <w:tc>
          <w:tcPr>
            <w:tcW w:w="90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jc w:val="center"/>
              <w:ind w:right="948"/>
              <w:spacing w:after="0"/>
              <w:rPr>
                <w:sz w:val="20"/>
                <w:szCs w:val="20"/>
                <w:color w:val="auto"/>
              </w:rPr>
            </w:pPr>
            <w:r>
              <w:rPr>
                <w:rFonts w:ascii="Arial" w:cs="Arial" w:eastAsia="Arial" w:hAnsi="Arial"/>
                <w:sz w:val="14"/>
                <w:szCs w:val="14"/>
                <w:color w:val="auto"/>
                <w:w w:val="97"/>
              </w:rPr>
              <w:t>Identification No.)</w:t>
            </w:r>
          </w:p>
        </w:tc>
      </w:tr>
      <w:tr>
        <w:trPr>
          <w:trHeight w:val="93"/>
        </w:trPr>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272"/>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8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90"/>
              </w:rPr>
              <w:t>105 Edgeview Dr., Suite 300</w:t>
            </w: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15"/>
        </w:trPr>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1"/>
              </w:rPr>
              <w:t>Broomfield, CO 80021</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2"/>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5"/>
              </w:rPr>
              <w:t>(Address of principal executive offices)</w:t>
            </w: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90"/>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Telephone Number (303) 301-3271</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2"/>
              </w:rPr>
              <w:t>(Registrant’s telephone number, including area code)</w:t>
            </w: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93"/>
        </w:trPr>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r>
      <w:tr>
        <w:trPr>
          <w:trHeight w:val="290"/>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20" w:type="dxa"/>
            <w:vAlign w:val="bottom"/>
            <w:gridSpan w:val="8"/>
          </w:tcPr>
          <w:p>
            <w:pPr>
              <w:jc w:val="center"/>
              <w:ind w:right="164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9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Title of Class</w:t>
            </w: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4"/>
                <w:szCs w:val="14"/>
                <w:color w:val="auto"/>
                <w:w w:val="93"/>
              </w:rPr>
              <w:t>Trading Symbol</w:t>
            </w:r>
          </w:p>
        </w:tc>
        <w:tc>
          <w:tcPr>
            <w:tcW w:w="2760" w:type="dxa"/>
            <w:vAlign w:val="bottom"/>
            <w:gridSpan w:val="2"/>
          </w:tcPr>
          <w:p>
            <w:pPr>
              <w:ind w:left="80"/>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77"/>
        </w:trPr>
        <w:tc>
          <w:tcPr>
            <w:tcW w:w="2760" w:type="dxa"/>
            <w:vAlign w:val="bottom"/>
            <w:gridSpan w:val="3"/>
          </w:tcPr>
          <w:p>
            <w:pPr>
              <w:jc w:val="center"/>
              <w:ind w:right="130"/>
              <w:spacing w:after="0"/>
              <w:rPr>
                <w:sz w:val="20"/>
                <w:szCs w:val="20"/>
                <w:color w:val="auto"/>
              </w:rPr>
            </w:pPr>
            <w:r>
              <w:rPr>
                <w:rFonts w:ascii="Arial" w:cs="Arial" w:eastAsia="Arial" w:hAnsi="Arial"/>
                <w:sz w:val="14"/>
                <w:szCs w:val="14"/>
                <w:color w:val="auto"/>
                <w:w w:val="91"/>
              </w:rPr>
              <w:t>Common stock, par value $0.0001 per share</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4"/>
                <w:szCs w:val="14"/>
                <w:color w:val="auto"/>
                <w:w w:val="91"/>
              </w:rPr>
              <w:t>GOGO</w:t>
            </w:r>
          </w:p>
        </w:tc>
        <w:tc>
          <w:tcPr>
            <w:tcW w:w="80" w:type="dxa"/>
            <w:vAlign w:val="bottom"/>
          </w:tcPr>
          <w:p>
            <w:pPr>
              <w:spacing w:after="0"/>
              <w:rPr>
                <w:sz w:val="15"/>
                <w:szCs w:val="15"/>
                <w:color w:val="auto"/>
              </w:rPr>
            </w:pPr>
          </w:p>
        </w:tc>
        <w:tc>
          <w:tcPr>
            <w:tcW w:w="2680" w:type="dxa"/>
            <w:vAlign w:val="bottom"/>
          </w:tcPr>
          <w:p>
            <w:pPr>
              <w:ind w:left="420"/>
              <w:spacing w:after="0"/>
              <w:rPr>
                <w:sz w:val="20"/>
                <w:szCs w:val="20"/>
                <w:color w:val="auto"/>
              </w:rPr>
            </w:pPr>
            <w:r>
              <w:rPr>
                <w:rFonts w:ascii="Arial" w:cs="Arial" w:eastAsia="Arial" w:hAnsi="Arial"/>
                <w:sz w:val="14"/>
                <w:szCs w:val="14"/>
                <w:color w:val="auto"/>
              </w:rPr>
              <w:t>NASDAQ Global Select Market</w:t>
            </w:r>
          </w:p>
        </w:tc>
      </w:tr>
      <w:tr>
        <w:trPr>
          <w:trHeight w:val="182"/>
        </w:trPr>
        <w:tc>
          <w:tcPr>
            <w:tcW w:w="2760" w:type="dxa"/>
            <w:vAlign w:val="bottom"/>
            <w:gridSpan w:val="3"/>
          </w:tcPr>
          <w:p>
            <w:pPr>
              <w:jc w:val="center"/>
              <w:ind w:right="90"/>
              <w:spacing w:after="0"/>
              <w:rPr>
                <w:sz w:val="20"/>
                <w:szCs w:val="20"/>
                <w:color w:val="auto"/>
              </w:rPr>
            </w:pPr>
            <w:r>
              <w:rPr>
                <w:rFonts w:ascii="Arial" w:cs="Arial" w:eastAsia="Arial" w:hAnsi="Arial"/>
                <w:sz w:val="14"/>
                <w:szCs w:val="14"/>
                <w:color w:val="auto"/>
                <w:w w:val="91"/>
              </w:rPr>
              <w:t>Preferred Stock Purchase Rights</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20" w:type="dxa"/>
            <w:vAlign w:val="bottom"/>
            <w:gridSpan w:val="3"/>
          </w:tcPr>
          <w:p>
            <w:pPr>
              <w:jc w:val="center"/>
              <w:ind w:right="1460"/>
              <w:spacing w:after="0"/>
              <w:rPr>
                <w:sz w:val="20"/>
                <w:szCs w:val="20"/>
                <w:color w:val="auto"/>
              </w:rPr>
            </w:pPr>
            <w:r>
              <w:rPr>
                <w:rFonts w:ascii="Arial" w:cs="Arial" w:eastAsia="Arial" w:hAnsi="Arial"/>
                <w:sz w:val="14"/>
                <w:szCs w:val="14"/>
                <w:color w:val="auto"/>
                <w:w w:val="91"/>
              </w:rPr>
              <w:t>GOGO</w:t>
            </w:r>
          </w:p>
        </w:tc>
        <w:tc>
          <w:tcPr>
            <w:tcW w:w="80" w:type="dxa"/>
            <w:vAlign w:val="bottom"/>
          </w:tcPr>
          <w:p>
            <w:pPr>
              <w:spacing w:after="0"/>
              <w:rPr>
                <w:sz w:val="15"/>
                <w:szCs w:val="15"/>
                <w:color w:val="auto"/>
              </w:rPr>
            </w:pPr>
          </w:p>
        </w:tc>
        <w:tc>
          <w:tcPr>
            <w:tcW w:w="2680" w:type="dxa"/>
            <w:vAlign w:val="bottom"/>
          </w:tcPr>
          <w:p>
            <w:pPr>
              <w:ind w:left="440"/>
              <w:spacing w:after="0"/>
              <w:rPr>
                <w:sz w:val="20"/>
                <w:szCs w:val="20"/>
                <w:color w:val="auto"/>
              </w:rPr>
            </w:pPr>
            <w:r>
              <w:rPr>
                <w:rFonts w:ascii="Arial" w:cs="Arial" w:eastAsia="Arial" w:hAnsi="Arial"/>
                <w:sz w:val="14"/>
                <w:szCs w:val="14"/>
                <w:color w:val="auto"/>
              </w:rPr>
              <w:t>NASDAQ Global Select Market</w:t>
            </w:r>
          </w:p>
        </w:tc>
      </w:tr>
    </w:tbl>
    <w:p>
      <w:pPr>
        <w:spacing w:after="0" w:line="101" w:lineRule="exact"/>
        <w:rPr>
          <w:sz w:val="24"/>
          <w:szCs w:val="24"/>
          <w:color w:val="auto"/>
        </w:rPr>
      </w:pPr>
    </w:p>
    <w:p>
      <w:pPr>
        <w:ind w:right="40" w:firstLine="509"/>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8600" w:val="left"/>
          <w:tab w:leader="none" w:pos="912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right="100" w:firstLine="509"/>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left="520" w:right="2940"/>
        <w:spacing w:after="0" w:line="21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28, 2023, 128,586,011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38" w:right="4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r>
      <w:tr>
        <w:trPr>
          <w:trHeight w:val="182"/>
        </w:trPr>
        <w:tc>
          <w:tcPr>
            <w:tcW w:w="10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620" w:type="dxa"/>
            <w:vAlign w:val="bottom"/>
            <w:gridSpan w:val="17"/>
          </w:tcPr>
          <w:p>
            <w:pPr>
              <w:spacing w:after="0" w:line="182" w:lineRule="exact"/>
              <w:rPr>
                <w:sz w:val="20"/>
                <w:szCs w:val="20"/>
                <w:color w:val="auto"/>
              </w:rPr>
            </w:pPr>
            <w:r>
              <w:rPr>
                <w:rFonts w:ascii="Arial" w:cs="Arial" w:eastAsia="Arial" w:hAnsi="Arial"/>
                <w:sz w:val="18"/>
                <w:szCs w:val="18"/>
                <w:b w:val="1"/>
                <w:bCs w:val="1"/>
                <w:color w:val="0000FF"/>
              </w:rPr>
              <w:t>Financial Information</w:t>
            </w:r>
          </w:p>
        </w:tc>
        <w:tc>
          <w:tcPr>
            <w:tcW w:w="5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7"/>
          </w:tcPr>
          <w:p>
            <w:pPr>
              <w:spacing w:after="0"/>
              <w:rPr>
                <w:sz w:val="20"/>
                <w:szCs w:val="20"/>
                <w:color w:val="auto"/>
              </w:rPr>
            </w:pPr>
            <w:r>
              <w:rPr>
                <w:rFonts w:ascii="Arial" w:cs="Arial" w:eastAsia="Arial" w:hAnsi="Arial"/>
                <w:sz w:val="18"/>
                <w:szCs w:val="18"/>
                <w:color w:val="0000FF"/>
              </w:rPr>
              <w:t>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Unaudited Condensed 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Comprehensive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Cash Flows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Stockholders’ Equity (Deficit)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5"/>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gridSpan w:val="17"/>
          </w:tcPr>
          <w:p>
            <w:pPr>
              <w:spacing w:after="0"/>
              <w:rPr>
                <w:sz w:val="20"/>
                <w:szCs w:val="20"/>
                <w:color w:val="auto"/>
              </w:rPr>
            </w:pPr>
            <w:r>
              <w:rPr>
                <w:rFonts w:ascii="Arial" w:cs="Arial" w:eastAsia="Arial" w:hAnsi="Arial"/>
                <w:sz w:val="18"/>
                <w:szCs w:val="18"/>
                <w:b w:val="1"/>
                <w:bCs w:val="1"/>
                <w:color w:val="0000FF"/>
              </w:rPr>
              <w:t>Other Information</w:t>
            </w:r>
          </w:p>
        </w:tc>
        <w:tc>
          <w:tcPr>
            <w:tcW w:w="5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2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Signatures</w:t>
            </w:r>
          </w:p>
        </w:tc>
        <w:tc>
          <w:tcPr>
            <w:tcW w:w="2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150,550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24,796</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cash, cash equivalents and short-term investments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187,994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175,346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$1,532 and $1,778,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54,210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45,100</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335,447</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104,685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104,595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49,509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Other non-current assets, net of allowances of $487 and $501,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34,478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43,355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160,716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423,791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759,238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14,487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688,991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690,173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79,241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non-current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773,987</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847,381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861,395</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11)</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Common stock, par value $0.0001 per share; 500,000,000 shares authorized at March 31, 2023 and</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December 31, 2022; 137,276,484 and 136,531,362 shares issued at March 31, 2023 and December</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31, 2022, respectively; and 128,585,935 and 127,840,813 shares outstanding at March 31, 2023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2022, respectively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1,386,295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1,385,933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(158,375 )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(158,375 )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(1,339,120 )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(1,359,569 )</w:t>
            </w: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40" w:type="dxa"/>
            <w:vAlign w:val="bottom"/>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(88,143 )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(101,869 )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759,238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-5170805</wp:posOffset>
            </wp:positionV>
            <wp:extent cx="76835"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-4237990</wp:posOffset>
            </wp:positionV>
            <wp:extent cx="768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-3912235</wp:posOffset>
            </wp:positionV>
            <wp:extent cx="123317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-2961640</wp:posOffset>
            </wp:positionV>
            <wp:extent cx="768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-2011680</wp:posOffset>
            </wp:positionV>
            <wp:extent cx="768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768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78,499</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70,667</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98,597</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Cost of service revenue (exclusive of amounts shown below)</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16,797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equipment revenue (exclusive of amounts shown below)</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7,879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14,199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57,801</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(1,916 )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r>
      <w:tr>
        <w:trPr>
          <w:trHeight w:val="238"/>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24,133</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attributable to common stock per share: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129,136</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133,602</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-3997960</wp:posOffset>
            </wp:positionV>
            <wp:extent cx="768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-3997960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-2747645</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-2422525</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-1797685</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-1155065</wp:posOffset>
            </wp:positionV>
            <wp:extent cx="123317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20,449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Cash flow hedges: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Amount recognized in other comprehensive income (loss)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(2,439 )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Less: income (loss) realized and reclassified to earnings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Changes in fair value of cash flow hedges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(7,085 )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16,172</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13,364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-350520</wp:posOffset>
            </wp:positionV>
            <wp:extent cx="768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20,449</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22,196</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2,791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3,791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asset disposals, abandonments and write-downs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Provision for expected credit losses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income taxes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5,041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 and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Accretion of debt discount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7,405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(4,571 )</w:t>
            </w:r>
          </w:p>
        </w:tc>
      </w:tr>
      <w:tr>
        <w:trPr>
          <w:trHeight w:val="175"/>
        </w:trPr>
        <w:tc>
          <w:tcPr>
            <w:tcW w:w="77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(5,003 )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(2,491 )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(8,632 )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assets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(2,407 )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(857 )</w:t>
            </w:r>
          </w:p>
        </w:tc>
      </w:tr>
      <w:tr>
        <w:trPr>
          <w:trHeight w:val="175"/>
        </w:trPr>
        <w:tc>
          <w:tcPr>
            <w:tcW w:w="77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liabilities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(9,620 )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(5,926 )</w:t>
            </w: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Deferred revenue</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(1,054 )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(226 )</w:t>
            </w:r>
          </w:p>
        </w:tc>
      </w:tr>
      <w:tr>
        <w:trPr>
          <w:trHeight w:val="175"/>
        </w:trPr>
        <w:tc>
          <w:tcPr>
            <w:tcW w:w="77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interest</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Arial" w:cs="Arial" w:eastAsia="Arial" w:hAnsi="Arial"/>
                <w:sz w:val="14"/>
                <w:szCs w:val="14"/>
                <w:color w:val="auto"/>
              </w:rPr>
              <w:t>Other non-current assets and liabilities</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(86 )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(613 )</w:t>
            </w: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18,514</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17,866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(3,112 )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(7,598 )</w:t>
            </w: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Acquisition of intangible assets—capitalized software</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(1,484 )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(1,457 )</w:t>
            </w: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6,087</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Redemptions of short-term investments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24,796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short-term investments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(24,728 )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(9,055 )</w:t>
            </w: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Payments on term loan</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(1,813 )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(1,813 )</w:t>
            </w: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financing leases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(57 )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(43 )</w:t>
            </w: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Stock-based compensation activity</w:t>
            </w:r>
          </w:p>
        </w:tc>
        <w:tc>
          <w:tcPr>
            <w:tcW w:w="104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(5,575 )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(23 )</w:t>
            </w: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financing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(7,445</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00" w:type="dxa"/>
            <w:vAlign w:val="bottom"/>
          </w:tcPr>
          <w:p>
            <w:pPr>
              <w:ind w:left="200"/>
              <w:spacing w:after="0"/>
              <w:rPr>
                <w:sz w:val="20"/>
                <w:szCs w:val="20"/>
                <w:color w:val="auto"/>
              </w:rPr>
            </w:pPr>
            <w:r>
              <w:rPr>
                <w:rFonts w:ascii="Arial" w:cs="Arial" w:eastAsia="Arial" w:hAnsi="Arial"/>
                <w:sz w:val="14"/>
                <w:szCs w:val="14"/>
                <w:color w:val="auto"/>
              </w:rPr>
              <w:t>Effect of exchange rate changes on cash</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(16 )</w:t>
            </w: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Increase in cash, cash equivalents and restricted cash</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12,716</w:t>
            </w: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6,916</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150,880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146,268</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163,596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153,184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4"/>
                <w:szCs w:val="14"/>
                <w:color w:val="auto"/>
              </w:rPr>
              <w:t>Cash, cash equivalents and restricted cash at end of period</w:t>
            </w:r>
          </w:p>
        </w:tc>
        <w:tc>
          <w:tcPr>
            <w:tcW w:w="1040" w:type="dxa"/>
            <w:vAlign w:val="bottom"/>
          </w:tcPr>
          <w:p>
            <w:pPr>
              <w:jc w:val="right"/>
              <w:ind w:right="868"/>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163,596</w:t>
            </w:r>
          </w:p>
        </w:tc>
        <w:tc>
          <w:tcPr>
            <w:tcW w:w="260" w:type="dxa"/>
            <w:vAlign w:val="bottom"/>
          </w:tcPr>
          <w:p>
            <w:pPr>
              <w:spacing w:after="0"/>
              <w:rPr>
                <w:sz w:val="13"/>
                <w:szCs w:val="13"/>
                <w:color w:val="auto"/>
              </w:rPr>
            </w:pPr>
          </w:p>
        </w:tc>
        <w:tc>
          <w:tcPr>
            <w:tcW w:w="360" w:type="dxa"/>
            <w:vAlign w:val="bottom"/>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153,184</w:t>
            </w:r>
          </w:p>
        </w:tc>
        <w:tc>
          <w:tcPr>
            <w:tcW w:w="100" w:type="dxa"/>
            <w:vAlign w:val="bottom"/>
          </w:tcPr>
          <w:p>
            <w:pPr>
              <w:spacing w:after="0"/>
              <w:rPr>
                <w:sz w:val="13"/>
                <w:szCs w:val="13"/>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current restricted cash</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Less: non-current restricted cash</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163,266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152,829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interest</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15,014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Cash paid for taxes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4"/>
                <w:szCs w:val="14"/>
                <w:color w:val="auto"/>
              </w:rPr>
              <w:t>Purchases of property and equipment in current liabilities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9,973</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7,993</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-2906395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-2906395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-2230120</wp:posOffset>
            </wp:positionV>
            <wp:extent cx="6858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-2230120</wp:posOffset>
            </wp:positionV>
            <wp:extent cx="68580"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-1536065</wp:posOffset>
            </wp:positionV>
            <wp:extent cx="6858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-1536065</wp:posOffset>
            </wp:positionV>
            <wp:extent cx="6858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-1065530</wp:posOffset>
            </wp:positionV>
            <wp:extent cx="12331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3170" cy="1371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-586105</wp:posOffset>
            </wp:positionV>
            <wp:extent cx="12331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3170" cy="137160"/>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ind w:left="560"/>
              <w:spacing w:after="0"/>
              <w:rPr>
                <w:sz w:val="20"/>
                <w:szCs w:val="20"/>
                <w:color w:val="auto"/>
              </w:rPr>
            </w:pPr>
            <w:r>
              <w:rPr>
                <w:rFonts w:ascii="Arial" w:cs="Arial" w:eastAsia="Arial" w:hAnsi="Arial"/>
                <w:sz w:val="13"/>
                <w:szCs w:val="13"/>
                <w:b w:val="1"/>
                <w:bCs w:val="1"/>
                <w:color w:val="auto"/>
                <w:w w:val="91"/>
              </w:rPr>
              <w:t>For the Three Months Ended March 31, 2023</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7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5"/>
            <w:vMerge w:val="restart"/>
          </w:tcPr>
          <w:p>
            <w:pPr>
              <w:jc w:val="right"/>
              <w:ind w:right="677"/>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ve</w:t>
            </w:r>
          </w:p>
        </w:tc>
        <w:tc>
          <w:tcPr>
            <w:tcW w:w="114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19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3"/>
                <w:szCs w:val="13"/>
                <w:color w:val="auto"/>
              </w:rPr>
            </w:pPr>
          </w:p>
        </w:tc>
        <w:tc>
          <w:tcPr>
            <w:tcW w:w="84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Deficit</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33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127,840,813</w:t>
            </w: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14</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1,385,933</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30,128</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3"/>
              </w:rPr>
              <w:t>(1,359,569</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8,690,549</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(158,375</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(101,869</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20,449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w w:val="92"/>
              </w:rPr>
              <w:t>Fair value adjustments of cash flow hedges, net of tax</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(7,160 )</w:t>
            </w: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(7,160 )</w:t>
            </w:r>
          </w:p>
        </w:tc>
        <w:tc>
          <w:tcPr>
            <w:tcW w:w="0" w:type="dxa"/>
            <w:vAlign w:val="bottom"/>
          </w:tcPr>
          <w:p>
            <w:pPr>
              <w:spacing w:after="0"/>
              <w:rPr>
                <w:sz w:val="1"/>
                <w:szCs w:val="1"/>
                <w:color w:val="auto"/>
              </w:rPr>
            </w:pPr>
          </w:p>
        </w:tc>
      </w:tr>
      <w:tr>
        <w:trPr>
          <w:trHeight w:val="164"/>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060" w:type="dxa"/>
            <w:vAlign w:val="bottom"/>
          </w:tcPr>
          <w:p>
            <w:pPr>
              <w:ind w:left="160"/>
              <w:spacing w:after="0" w:line="134" w:lineRule="exact"/>
              <w:rPr>
                <w:sz w:val="20"/>
                <w:szCs w:val="20"/>
                <w:color w:val="auto"/>
              </w:rPr>
            </w:pPr>
            <w:r>
              <w:rPr>
                <w:rFonts w:ascii="Arial" w:cs="Arial" w:eastAsia="Arial" w:hAnsi="Arial"/>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options</w:t>
            </w:r>
          </w:p>
        </w:tc>
        <w:tc>
          <w:tcPr>
            <w:tcW w:w="860" w:type="dxa"/>
            <w:vAlign w:val="bottom"/>
          </w:tcPr>
          <w:p>
            <w:pPr>
              <w:jc w:val="right"/>
              <w:spacing w:after="0"/>
              <w:rPr>
                <w:sz w:val="20"/>
                <w:szCs w:val="20"/>
                <w:color w:val="auto"/>
              </w:rPr>
            </w:pPr>
            <w:r>
              <w:rPr>
                <w:rFonts w:ascii="Arial" w:cs="Arial" w:eastAsia="Arial" w:hAnsi="Arial"/>
                <w:sz w:val="13"/>
                <w:szCs w:val="13"/>
                <w:color w:val="auto"/>
              </w:rPr>
              <w:t>68,520</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06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w w:val="95"/>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664,020</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060" w:type="dxa"/>
            <w:vAlign w:val="bottom"/>
          </w:tcPr>
          <w:p>
            <w:pPr>
              <w:ind w:left="160"/>
              <w:spacing w:after="0" w:line="134" w:lineRule="exact"/>
              <w:rPr>
                <w:sz w:val="20"/>
                <w:szCs w:val="20"/>
                <w:color w:val="auto"/>
              </w:rPr>
            </w:pPr>
            <w:r>
              <w:rPr>
                <w:rFonts w:ascii="Arial" w:cs="Arial" w:eastAsia="Arial" w:hAnsi="Arial"/>
                <w:sz w:val="13"/>
                <w:szCs w:val="13"/>
                <w:color w:val="auto"/>
                <w:w w:val="96"/>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units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(5,037 )</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(5,037 )</w:t>
            </w:r>
          </w:p>
        </w:tc>
        <w:tc>
          <w:tcPr>
            <w:tcW w:w="0" w:type="dxa"/>
            <w:vAlign w:val="bottom"/>
          </w:tcPr>
          <w:p>
            <w:pPr>
              <w:spacing w:after="0"/>
              <w:rPr>
                <w:sz w:val="1"/>
                <w:szCs w:val="1"/>
                <w:color w:val="auto"/>
              </w:rPr>
            </w:pPr>
          </w:p>
        </w:tc>
      </w:tr>
      <w:tr>
        <w:trPr>
          <w:trHeight w:val="136"/>
        </w:trPr>
        <w:tc>
          <w:tcPr>
            <w:tcW w:w="306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12,582</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860" w:type="dxa"/>
            <w:vAlign w:val="bottom"/>
          </w:tcPr>
          <w:p>
            <w:pPr>
              <w:jc w:val="right"/>
              <w:spacing w:after="0"/>
              <w:rPr>
                <w:sz w:val="20"/>
                <w:szCs w:val="20"/>
                <w:color w:val="auto"/>
              </w:rPr>
            </w:pPr>
            <w:r>
              <w:rPr>
                <w:rFonts w:ascii="Arial" w:cs="Arial" w:eastAsia="Arial" w:hAnsi="Arial"/>
                <w:sz w:val="13"/>
                <w:szCs w:val="13"/>
                <w:color w:val="auto"/>
              </w:rPr>
              <w:t>128,585,935</w:t>
            </w:r>
          </w:p>
        </w:tc>
        <w:tc>
          <w:tcPr>
            <w:tcW w:w="240" w:type="dxa"/>
            <w:vAlign w:val="bottom"/>
          </w:tcPr>
          <w:p>
            <w:pPr>
              <w:spacing w:after="0"/>
              <w:rPr>
                <w:sz w:val="13"/>
                <w:szCs w:val="13"/>
                <w:color w:val="auto"/>
              </w:rPr>
            </w:pPr>
          </w:p>
        </w:tc>
        <w:tc>
          <w:tcPr>
            <w:tcW w:w="680" w:type="dxa"/>
            <w:vAlign w:val="bottom"/>
          </w:tcPr>
          <w:p>
            <w:pPr>
              <w:jc w:val="right"/>
              <w:ind w:right="537"/>
              <w:spacing w:after="0"/>
              <w:rPr>
                <w:sz w:val="20"/>
                <w:szCs w:val="20"/>
                <w:color w:val="auto"/>
              </w:rPr>
            </w:pPr>
            <w:r>
              <w:rPr>
                <w:rFonts w:ascii="Arial" w:cs="Arial" w:eastAsia="Arial" w:hAnsi="Arial"/>
                <w:sz w:val="13"/>
                <w:szCs w:val="13"/>
                <w:color w:val="auto"/>
                <w:w w:val="82"/>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1,386,295</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23,043</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w w:val="94"/>
              </w:rPr>
              <w:t>(1,339,120 )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8,690,549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(158,375 )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(88,143 )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ind w:left="560"/>
              <w:spacing w:after="0"/>
              <w:rPr>
                <w:sz w:val="20"/>
                <w:szCs w:val="20"/>
                <w:color w:val="auto"/>
              </w:rPr>
            </w:pPr>
            <w:r>
              <w:rPr>
                <w:rFonts w:ascii="Arial" w:cs="Arial" w:eastAsia="Arial" w:hAnsi="Arial"/>
                <w:sz w:val="13"/>
                <w:szCs w:val="13"/>
                <w:b w:val="1"/>
                <w:bCs w:val="1"/>
                <w:color w:val="auto"/>
                <w:w w:val="91"/>
              </w:rPr>
              <w:t>For the Three Months Ended March 31, 2022</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7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5"/>
            <w:vMerge w:val="restart"/>
          </w:tcPr>
          <w:p>
            <w:pPr>
              <w:jc w:val="right"/>
              <w:ind w:right="677"/>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ve</w:t>
            </w:r>
          </w:p>
        </w:tc>
        <w:tc>
          <w:tcPr>
            <w:tcW w:w="114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19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Par Value</w:t>
            </w:r>
          </w:p>
        </w:tc>
        <w:tc>
          <w:tcPr>
            <w:tcW w:w="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84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Deficit</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33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110,791,954</w:t>
            </w:r>
          </w:p>
        </w:tc>
        <w:tc>
          <w:tcPr>
            <w:tcW w:w="2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11</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1,258,477</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1,789</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3"/>
              </w:rPr>
              <w:t>(1,451,628</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6,615,449</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(128,803</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(320,154</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22,196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Currency translation adjustments, net of tax</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w w:val="94"/>
              </w:rPr>
              <w:t>Fair value adjustments of cash flow hedge, net of tax</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16,061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060" w:type="dxa"/>
            <w:vAlign w:val="bottom"/>
          </w:tcPr>
          <w:p>
            <w:pPr>
              <w:ind w:left="160"/>
              <w:spacing w:after="0" w:line="134" w:lineRule="exact"/>
              <w:rPr>
                <w:sz w:val="20"/>
                <w:szCs w:val="20"/>
                <w:color w:val="auto"/>
              </w:rPr>
            </w:pPr>
            <w:r>
              <w:rPr>
                <w:rFonts w:ascii="Arial" w:cs="Arial" w:eastAsia="Arial" w:hAnsi="Arial"/>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options</w:t>
            </w:r>
          </w:p>
        </w:tc>
        <w:tc>
          <w:tcPr>
            <w:tcW w:w="860" w:type="dxa"/>
            <w:vAlign w:val="bottom"/>
          </w:tcPr>
          <w:p>
            <w:pPr>
              <w:jc w:val="right"/>
              <w:spacing w:after="0"/>
              <w:rPr>
                <w:sz w:val="20"/>
                <w:szCs w:val="20"/>
                <w:color w:val="auto"/>
              </w:rPr>
            </w:pPr>
            <w:r>
              <w:rPr>
                <w:rFonts w:ascii="Arial" w:cs="Arial" w:eastAsia="Arial" w:hAnsi="Arial"/>
                <w:sz w:val="13"/>
                <w:szCs w:val="13"/>
                <w:color w:val="auto"/>
              </w:rPr>
              <w:t>423,583</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06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w w:val="95"/>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555,234</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060" w:type="dxa"/>
            <w:vAlign w:val="bottom"/>
          </w:tcPr>
          <w:p>
            <w:pPr>
              <w:ind w:left="160"/>
              <w:spacing w:after="0" w:line="134" w:lineRule="exact"/>
              <w:rPr>
                <w:sz w:val="20"/>
                <w:szCs w:val="20"/>
                <w:color w:val="auto"/>
              </w:rPr>
            </w:pPr>
            <w:r>
              <w:rPr>
                <w:rFonts w:ascii="Arial" w:cs="Arial" w:eastAsia="Arial" w:hAnsi="Arial"/>
                <w:sz w:val="13"/>
                <w:szCs w:val="13"/>
                <w:color w:val="auto"/>
                <w:w w:val="96"/>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160"/>
              <w:spacing w:after="0"/>
              <w:rPr>
                <w:sz w:val="20"/>
                <w:szCs w:val="20"/>
                <w:color w:val="auto"/>
              </w:rPr>
            </w:pPr>
            <w:r>
              <w:rPr>
                <w:rFonts w:ascii="Arial" w:cs="Arial" w:eastAsia="Arial" w:hAnsi="Arial"/>
                <w:sz w:val="13"/>
                <w:szCs w:val="13"/>
                <w:color w:val="auto"/>
              </w:rPr>
              <w:t>units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(4,516 )</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(4,516 )</w:t>
            </w:r>
          </w:p>
        </w:tc>
        <w:tc>
          <w:tcPr>
            <w:tcW w:w="0" w:type="dxa"/>
            <w:vAlign w:val="bottom"/>
          </w:tcPr>
          <w:p>
            <w:pPr>
              <w:spacing w:after="0"/>
              <w:rPr>
                <w:sz w:val="1"/>
                <w:szCs w:val="1"/>
                <w:color w:val="auto"/>
              </w:rPr>
            </w:pPr>
          </w:p>
        </w:tc>
      </w:tr>
      <w:tr>
        <w:trPr>
          <w:trHeight w:val="136"/>
        </w:trPr>
        <w:tc>
          <w:tcPr>
            <w:tcW w:w="306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13,446</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tcPr>
          <w:p>
            <w:pPr>
              <w:jc w:val="right"/>
              <w:spacing w:after="0"/>
              <w:rPr>
                <w:sz w:val="20"/>
                <w:szCs w:val="20"/>
                <w:color w:val="auto"/>
              </w:rPr>
            </w:pPr>
            <w:r>
              <w:rPr>
                <w:rFonts w:ascii="Arial" w:cs="Arial" w:eastAsia="Arial" w:hAnsi="Arial"/>
                <w:sz w:val="13"/>
                <w:szCs w:val="13"/>
                <w:color w:val="auto"/>
              </w:rPr>
              <w:t>111,784,217</w:t>
            </w:r>
          </w:p>
        </w:tc>
        <w:tc>
          <w:tcPr>
            <w:tcW w:w="920" w:type="dxa"/>
            <w:vAlign w:val="bottom"/>
            <w:gridSpan w:val="2"/>
          </w:tcPr>
          <w:p>
            <w:pPr>
              <w:jc w:val="right"/>
              <w:ind w:right="537"/>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11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1,259,223</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17,961</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w w:val="94"/>
              </w:rPr>
              <w:t>(1,429,432 )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6,615,449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(128,803 )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(281,040 )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-2285365</wp:posOffset>
            </wp:positionV>
            <wp:extent cx="7683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-2285365</wp:posOffset>
            </wp:positionV>
            <wp:extent cx="7683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-2285365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-2285365</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-2285365</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-2285365</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-2285365</wp:posOffset>
            </wp:positionV>
            <wp:extent cx="685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7683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-136525</wp:posOffset>
            </wp:positionV>
            <wp:extent cx="7683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-136525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-136525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-136525</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the 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b w:val="1"/>
          <w:bCs w:val="1"/>
          <w:i w:val="1"/>
          <w:iCs w:val="1"/>
          <w:color w:val="auto"/>
        </w:rPr>
        <w:t xml:space="preserve">The Business - </w:t>
      </w:r>
      <w:r>
        <w:rPr>
          <w:rFonts w:ascii="Arial" w:cs="Arial" w:eastAsia="Arial" w:hAnsi="Arial"/>
          <w:sz w:val="17"/>
          <w:szCs w:val="17"/>
          <w:color w:val="auto"/>
        </w:rPr>
        <w:t>Gogo Inc. (“Gogo,” the “Company,” “we,” “us,” or “our”) is the world’s largest provider of broadband connectivity services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fourth quarter of 2023.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(“Global Broadband”). The service will use an electronically steered antenna, specifically designed to address a broad range of business aviation aircraft, operating on a low earth orbit (“LEO”) satellite network and is targeted for commercial launch in the second half of 2024.</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2022 as filed with the Securities and Exchange Commission (the “SEC”) on February 28, 2023 (the “2022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results of operations and cash flows for the three-month period ended March 31, 2023 are not necessarily indicative of the results that may be expected for the fiscal year ending December 31, 2023.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one class of common stock outstanding as of March 31, 2023 and December 31, 2022.</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19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b w:val="1"/>
          <w:bCs w:val="1"/>
          <w:i w:val="1"/>
          <w:iCs w:val="1"/>
          <w:color w:val="auto"/>
        </w:rPr>
        <w:t xml:space="preserve">Shareholder Rights Plan </w:t>
      </w:r>
      <w:r>
        <w:rPr>
          <w:rFonts w:ascii="Arial" w:cs="Arial" w:eastAsia="Arial" w:hAnsi="Arial"/>
          <w:sz w:val="18"/>
          <w:szCs w:val="18"/>
          <w:color w:val="auto"/>
        </w:rPr>
        <w:t>– On September 23, 2020, our Board of Directors adopted a Section 382 Rights Agreement (the “Rights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Company and Computershare Trust Company, N.A., as rights agent. The Rights Agreement is intended to reduce the likelihood of an ownership change under Section 382 of the Internal Revenue Code of 1986, as amended, by deterring any person or group from acquiring beneficial ownership of 4.9% or more of the shares of the Company’s common stock then-outstanding. On April 27, 2023, the Board of Directors granted a request by the Vanguard Group Inc. (“Vanguard”) that it be deemed an “Exempt Person” under the Rights Agreement, subject to Vanguard satisfying certain ownership conditions, including that neither Vanguard Group Inc. nor any subsidiary or individual fund will have an economic interest of 4.9% or more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400" w:firstLine="8"/>
        <w:spacing w:after="0" w:line="424" w:lineRule="auto"/>
        <w:tabs>
          <w:tab w:leader="none" w:pos="51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spacing w:after="0" w:line="1"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As of March 31, 2023, the aggregate amount of the transaction price in our contracts allocated to the remaining unsatisfied performance obligations (“RPO”) was approximately $91 million and excludes consideration from contracts that have an original duration of one year or less. Approximately $74 million of the RPO primarily represents connectivity and entertainment service revenues which are recognized as services are provided, which is expected to occur through the remaining term of the contracts. The remaining $17 million of the RPO represents future equipment revenue that is expected to be recognized primarily within the next two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9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0"/>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Connectivity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77,246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69,495</w:t>
            </w:r>
          </w:p>
        </w:tc>
        <w:tc>
          <w:tcPr>
            <w:tcW w:w="100" w:type="dxa"/>
            <w:vAlign w:val="bottom"/>
          </w:tcPr>
          <w:p>
            <w:pPr>
              <w:spacing w:after="0"/>
              <w:rPr>
                <w:sz w:val="20"/>
                <w:szCs w:val="20"/>
                <w:color w:val="auto"/>
              </w:rPr>
            </w:pP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8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service revenue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78,499</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70,667</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Equipment revenue</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ATG</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15,556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17,948</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Narrowband satellite</w:t>
            </w: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r>
      <w:tr>
        <w:trPr>
          <w:trHeight w:val="278"/>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equipment revenue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20,098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owner/operator/service provider</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78,499</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70,667</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OEM and aftermarket dealer</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20,098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20"/>
                <w:szCs w:val="20"/>
                <w:color w:val="auto"/>
              </w:rPr>
            </w:pPr>
          </w:p>
        </w:tc>
      </w:tr>
      <w:tr>
        <w:trPr>
          <w:trHeight w:val="278"/>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98,597</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-1643380</wp:posOffset>
            </wp:positionV>
            <wp:extent cx="5969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-1643380</wp:posOffset>
            </wp:positionV>
            <wp:extent cx="5969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-675640</wp:posOffset>
            </wp:positionV>
            <wp:extent cx="110426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700" w:firstLine="509"/>
        <w:spacing w:after="0" w:line="341" w:lineRule="auto"/>
        <w:rPr>
          <w:sz w:val="20"/>
          <w:szCs w:val="20"/>
          <w:color w:val="auto"/>
        </w:rPr>
      </w:pPr>
      <w:r>
        <w:rPr>
          <w:rFonts w:ascii="Arial" w:cs="Arial" w:eastAsia="Arial" w:hAnsi="Arial"/>
          <w:sz w:val="16"/>
          <w:szCs w:val="16"/>
          <w:color w:val="auto"/>
        </w:rPr>
        <w:t>Our current and non-current contract asset balances totaled $19.3 million and $19.9 million as of March 31, 2023 and December 31, 2022, respectively. Contract assets represent the aggregate amount of revenue recognized in excess of billings primarily for certain sales programs.</w:t>
      </w:r>
    </w:p>
    <w:p>
      <w:pPr>
        <w:spacing w:after="0" w:line="17" w:lineRule="exact"/>
        <w:rPr>
          <w:sz w:val="20"/>
          <w:szCs w:val="20"/>
          <w:color w:val="auto"/>
        </w:rPr>
      </w:pPr>
    </w:p>
    <w:p>
      <w:pPr>
        <w:ind w:right="640" w:firstLine="509"/>
        <w:spacing w:after="0" w:line="307" w:lineRule="auto"/>
        <w:rPr>
          <w:sz w:val="20"/>
          <w:szCs w:val="20"/>
          <w:color w:val="auto"/>
        </w:rPr>
      </w:pPr>
      <w:r>
        <w:rPr>
          <w:rFonts w:ascii="Arial" w:cs="Arial" w:eastAsia="Arial" w:hAnsi="Arial"/>
          <w:sz w:val="17"/>
          <w:szCs w:val="17"/>
          <w:color w:val="auto"/>
        </w:rPr>
        <w:t>Our current and non-current deferred revenue balances totaled $2.4 million and $3.4 million as of March 31, 2023 and December 31, 2022, respectively. Deferred revenue includes, among other things, prepayments for equipment and subscription connectivity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No customer accounted for more than 10% of revenue during the three-month periods ended March 31, 2023 and 2022 and no customer accounted for more than 10% of accounts receivable as of March 31, 2023 or December 31, 2022.</w:t>
      </w:r>
    </w:p>
    <w:p>
      <w:pPr>
        <w:spacing w:after="0" w:line="16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have been calculated using the weighted average number of common shares outstanding for the period.</w:t>
      </w:r>
    </w:p>
    <w:p>
      <w:pPr>
        <w:spacing w:after="0" w:line="12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shares of common stock effectively repurchased in connection with the Forward Transactions (as defined and described in Note 6, “Long-Term Debt and Other Liabilities”) were considered participating securities requiring the two-class method to calculate basic and diluted earnings per share. Net earnings were allocated between common shares and participating securities on a one-to-one basis. The calculation of weighted average shares outstanding as of March 31, 2022 excluded approximately 0.6 million shares associated with the Forward Transactions. As of March 31, 2023, there were no outstanding shares associated with the Forward Transactions. Refer to Note 6, “Long-Term Debt and Other Liabilities,” for further information.</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diluted earnings per share calculations exclude the effect of stock options, deferred stock units, restricted stock units and convertible notes when the computation is anti-dilutive. For the three-month periods ended March 31, 2023 and 2022, the weighted average number of shares excluded from the computation was 0.6 million and 0.2 million, respectively.</w:t>
      </w:r>
    </w:p>
    <w:p>
      <w:pPr>
        <w:spacing w:after="0" w:line="7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three-month periods ended March 31, 2023 and 2022; however, for the reasons and periods described above, the shares of common stock associated with the Forward Transactions were excluded from the computation of basic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3"/>
                <w:szCs w:val="13"/>
                <w:b w:val="1"/>
                <w:bCs w:val="1"/>
                <w:color w:val="auto"/>
                <w:w w:val="95"/>
              </w:rPr>
              <w:t>For the Three Months Ended March 31,</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27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Income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93"/>
              <w:spacing w:after="0" w:line="143"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3"/>
              <w:spacing w:after="0" w:line="143" w:lineRule="exact"/>
              <w:rPr>
                <w:sz w:val="20"/>
                <w:szCs w:val="20"/>
                <w:color w:val="auto"/>
              </w:rPr>
            </w:pPr>
            <w:r>
              <w:rPr>
                <w:rFonts w:ascii="Arial" w:cs="Arial" w:eastAsia="Arial" w:hAnsi="Arial"/>
                <w:sz w:val="13"/>
                <w:szCs w:val="13"/>
                <w:b w:val="1"/>
                <w:bCs w:val="1"/>
                <w:color w:val="auto"/>
              </w:rPr>
              <w:t>Income</w:t>
            </w:r>
          </w:p>
        </w:tc>
        <w:tc>
          <w:tcPr>
            <w:tcW w:w="220" w:type="dxa"/>
            <w:vAlign w:val="bottom"/>
          </w:tcPr>
          <w:p>
            <w:pPr>
              <w:spacing w:after="0"/>
              <w:rPr>
                <w:sz w:val="12"/>
                <w:szCs w:val="12"/>
                <w:color w:val="auto"/>
              </w:rPr>
            </w:pPr>
          </w:p>
        </w:tc>
        <w:tc>
          <w:tcPr>
            <w:tcW w:w="1220" w:type="dxa"/>
            <w:vAlign w:val="bottom"/>
          </w:tcPr>
          <w:p>
            <w:pPr>
              <w:jc w:val="right"/>
              <w:ind w:right="353"/>
              <w:spacing w:after="0" w:line="143"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78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3"/>
                <w:szCs w:val="13"/>
                <w:b w:val="1"/>
                <w:bCs w:val="1"/>
                <w:color w:val="auto"/>
              </w:rPr>
              <w:t>(Numerator)</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(Denominator)</w:t>
            </w:r>
          </w:p>
        </w:tc>
        <w:tc>
          <w:tcPr>
            <w:tcW w:w="2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w w:val="98"/>
              </w:rPr>
              <w:t>Per Share 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(Numerator)</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(Denominator)</w:t>
            </w:r>
          </w:p>
        </w:tc>
        <w:tc>
          <w:tcPr>
            <w:tcW w:w="220" w:type="dxa"/>
            <w:vAlign w:val="bottom"/>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Per Share Amount</w:t>
            </w:r>
          </w:p>
        </w:tc>
        <w:tc>
          <w:tcPr>
            <w:tcW w:w="100" w:type="dxa"/>
            <w:vAlign w:val="bottom"/>
          </w:tcPr>
          <w:p>
            <w:pPr>
              <w:spacing w:after="0"/>
              <w:rPr>
                <w:sz w:val="15"/>
                <w:szCs w:val="15"/>
                <w:color w:val="auto"/>
              </w:rPr>
            </w:pPr>
          </w:p>
        </w:tc>
      </w:tr>
      <w:tr>
        <w:trPr>
          <w:trHeight w:val="169"/>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800" w:type="dxa"/>
            <w:vAlign w:val="bottom"/>
          </w:tcPr>
          <w:p>
            <w:pPr>
              <w:jc w:val="right"/>
              <w:ind w:right="653"/>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20,449</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22,196</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2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w w:val="95"/>
              </w:rPr>
              <w:t>Less: participation rights on Forward Transactions</w:t>
            </w:r>
          </w:p>
        </w:tc>
        <w:tc>
          <w:tcPr>
            <w:tcW w:w="800" w:type="dxa"/>
            <w:vAlign w:val="bottom"/>
            <w:tcBorders>
              <w:bottom w:val="single" w:sz="8" w:color="auto"/>
            </w:tcBorders>
            <w:shd w:val="clear" w:color="auto" w:fill="CCECFF"/>
          </w:tcPr>
          <w:p>
            <w:pPr>
              <w:spacing w:after="0"/>
              <w:rPr>
                <w:sz w:val="15"/>
                <w:szCs w:val="15"/>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113</w:t>
            </w:r>
          </w:p>
        </w:tc>
        <w:tc>
          <w:tcPr>
            <w:tcW w:w="220" w:type="dxa"/>
            <w:vAlign w:val="bottom"/>
            <w:tcBorders>
              <w:bottom w:val="single" w:sz="8" w:color="CCECFF"/>
            </w:tcBorders>
            <w:shd w:val="clear" w:color="auto" w:fill="CCECFF"/>
          </w:tcPr>
          <w:p>
            <w:pPr>
              <w:spacing w:after="0"/>
              <w:rPr>
                <w:sz w:val="15"/>
                <w:szCs w:val="15"/>
                <w:color w:val="auto"/>
              </w:rPr>
            </w:pPr>
          </w:p>
        </w:tc>
        <w:tc>
          <w:tcPr>
            <w:tcW w:w="12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52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2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8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Undistributed income</w:t>
            </w:r>
          </w:p>
        </w:tc>
        <w:tc>
          <w:tcPr>
            <w:tcW w:w="800" w:type="dxa"/>
            <w:vAlign w:val="bottom"/>
          </w:tcPr>
          <w:p>
            <w:pPr>
              <w:jc w:val="right"/>
              <w:ind w:right="653"/>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20,449</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129,136</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0.16</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22,083</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111,414</w:t>
            </w:r>
          </w:p>
        </w:tc>
        <w:tc>
          <w:tcPr>
            <w:tcW w:w="740" w:type="dxa"/>
            <w:vAlign w:val="bottom"/>
            <w:gridSpan w:val="2"/>
          </w:tcPr>
          <w:p>
            <w:pPr>
              <w:jc w:val="right"/>
              <w:ind w:right="37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78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Effect of dilutive securities</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7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Stock-based compensation</w:t>
            </w:r>
          </w:p>
        </w:tc>
        <w:tc>
          <w:tcPr>
            <w:tcW w:w="80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4,466</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5,550</w:t>
            </w:r>
          </w:p>
        </w:tc>
        <w:tc>
          <w:tcPr>
            <w:tcW w:w="22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2022 Convertible Notes</w:t>
            </w: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1,819</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17,131</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780" w:type="dxa"/>
            <w:vAlign w:val="bottom"/>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w w:val="99"/>
              </w:rPr>
              <w:t>Undistributed income and assumed conversions</w:t>
            </w:r>
          </w:p>
        </w:tc>
        <w:tc>
          <w:tcPr>
            <w:tcW w:w="800" w:type="dxa"/>
            <w:vAlign w:val="bottom"/>
            <w:tcBorders>
              <w:bottom w:val="single" w:sz="8" w:color="CCECFF"/>
            </w:tcBorders>
            <w:shd w:val="clear" w:color="auto" w:fill="CCECFF"/>
          </w:tcPr>
          <w:p>
            <w:pPr>
              <w:jc w:val="right"/>
              <w:ind w:right="653"/>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w w:val="85"/>
              </w:rPr>
              <w:t>20,449</w:t>
            </w:r>
          </w:p>
        </w:tc>
        <w:tc>
          <w:tcPr>
            <w:tcW w:w="150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3"/>
                <w:szCs w:val="13"/>
                <w:color w:val="auto"/>
              </w:rPr>
              <w:t>133,602</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0.15</w:t>
            </w:r>
          </w:p>
        </w:tc>
        <w:tc>
          <w:tcPr>
            <w:tcW w:w="360" w:type="dxa"/>
            <w:vAlign w:val="bottom"/>
            <w:tcBorders>
              <w:bottom w:val="single" w:sz="8" w:color="CCECFF"/>
            </w:tcBorders>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rPr>
              <w:t>23,902</w:t>
            </w:r>
          </w:p>
        </w:tc>
        <w:tc>
          <w:tcPr>
            <w:tcW w:w="14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3"/>
                <w:szCs w:val="13"/>
                <w:color w:val="auto"/>
              </w:rPr>
              <w:t>134,095</w:t>
            </w:r>
          </w:p>
        </w:tc>
        <w:tc>
          <w:tcPr>
            <w:tcW w:w="22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auto"/>
            </w:tcBorders>
            <w:shd w:val="clear" w:color="auto" w:fill="CCECFF"/>
          </w:tcPr>
          <w:p>
            <w:pPr>
              <w:jc w:val="right"/>
              <w:ind w:right="37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2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2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80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2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0.16</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520" w:type="dxa"/>
            <w:vAlign w:val="bottom"/>
            <w:tcBorders>
              <w:bottom w:val="single" w:sz="8" w:color="auto"/>
            </w:tcBorders>
            <w:shd w:val="clear" w:color="auto" w:fill="CCECFF"/>
          </w:tcPr>
          <w:p>
            <w:pPr>
              <w:jc w:val="right"/>
              <w:ind w:right="37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-1566545</wp:posOffset>
            </wp:positionV>
            <wp:extent cx="7683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-1566545</wp:posOffset>
            </wp:positionV>
            <wp:extent cx="6858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-410210</wp:posOffset>
            </wp:positionV>
            <wp:extent cx="27482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8280" cy="1371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-161925</wp:posOffset>
            </wp:positionV>
            <wp:extent cx="76835"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 As a result of our determination to participate in the FCC Reimbursement Program (as defined and described in Note 16, “Government Assistance”), the Company wrote down the net realizable value of certain inventory by approximately $1.3 million for the three-month period ended March 31, 2023. The write-off charge is included in Cost of equipment revenue in our Unaudited Condensed Consolidated Statements of Operations.</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March 31, 2023 and December 31, 2022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0"/>
                <w:szCs w:val="20"/>
                <w:color w:val="auto"/>
              </w:rPr>
            </w:pP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34,840</w:t>
            </w:r>
          </w:p>
        </w:tc>
        <w:tc>
          <w:tcPr>
            <w:tcW w:w="80" w:type="dxa"/>
            <w:vAlign w:val="bottom"/>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w:t>
            </w:r>
          </w:p>
        </w:tc>
        <w:tc>
          <w:tcPr>
            <w:tcW w:w="8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as of March 31, 2023 and December 31, 2022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caps and receivable</w:t>
            </w:r>
          </w:p>
        </w:tc>
        <w:tc>
          <w:tcPr>
            <w:tcW w:w="2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 assets</w:t>
            </w: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inventories</w:t>
            </w:r>
          </w:p>
        </w:tc>
        <w:tc>
          <w:tcPr>
            <w:tcW w:w="2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45,100</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4"/>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60" w:type="dxa"/>
            <w:vAlign w:val="bottom"/>
          </w:tcPr>
          <w:p>
            <w:pPr>
              <w:jc w:val="right"/>
              <w:ind w:right="157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-513080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-495935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-513080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-495935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March 31, 2023 and December 31, 2022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15,357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180,934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179,363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213,810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211,962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(109,125 )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(107,367 )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104,685</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104,595</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73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72"/>
        </w:trPr>
        <w:tc>
          <w:tcPr>
            <w:tcW w:w="8820" w:type="dxa"/>
            <w:vAlign w:val="bottom"/>
            <w:gridSpan w:val="5"/>
          </w:tcPr>
          <w:p>
            <w:pPr>
              <w:jc w:val="right"/>
              <w:ind w:right="900"/>
              <w:spacing w:after="0"/>
              <w:rPr>
                <w:sz w:val="20"/>
                <w:szCs w:val="20"/>
                <w:color w:val="auto"/>
              </w:rPr>
            </w:pPr>
            <w:r>
              <w:rPr>
                <w:rFonts w:ascii="Arial" w:cs="Arial" w:eastAsia="Arial" w:hAnsi="Arial"/>
                <w:sz w:val="18"/>
                <w:szCs w:val="18"/>
                <w:color w:val="auto"/>
                <w:w w:val="95"/>
              </w:rPr>
              <w:t>Other non-current assets as of March 31, 2023 and December 31, 2022 were as follows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 net of allowances of $487 and $501, 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rate caps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17,639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25,578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deferred financing costs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43,355</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4"/>
        </w:trPr>
        <w:tc>
          <w:tcPr>
            <w:tcW w:w="7320" w:type="dxa"/>
            <w:vAlign w:val="bottom"/>
            <w:gridSpan w:val="2"/>
          </w:tcPr>
          <w:p>
            <w:pPr>
              <w:jc w:val="right"/>
              <w:ind w:right="15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-2559685</wp:posOffset>
            </wp:positionV>
            <wp:extent cx="5969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-2559685</wp:posOffset>
            </wp:positionV>
            <wp:extent cx="5143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-2242820</wp:posOffset>
            </wp:positionV>
            <wp:extent cx="5969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-2242820</wp:posOffset>
            </wp:positionV>
            <wp:extent cx="514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-513080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-495935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-513080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-495935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00" w:type="dxa"/>
            <w:vAlign w:val="bottom"/>
            <w:gridSpan w:val="3"/>
          </w:tcPr>
          <w:p>
            <w:pPr>
              <w:jc w:val="right"/>
              <w:spacing w:after="0"/>
              <w:rPr>
                <w:sz w:val="20"/>
                <w:szCs w:val="20"/>
                <w:color w:val="auto"/>
              </w:rPr>
            </w:pPr>
            <w:r>
              <w:rPr>
                <w:rFonts w:ascii="Arial" w:cs="Arial" w:eastAsia="Arial" w:hAnsi="Arial"/>
                <w:sz w:val="18"/>
                <w:szCs w:val="18"/>
                <w:color w:val="auto"/>
                <w:w w:val="90"/>
              </w:rPr>
              <w:t>Accrued liabilities as of March 31, 2023 and December 31, 2022 were as follows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24"/>
                <w:szCs w:val="24"/>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80" w:type="dxa"/>
            <w:vAlign w:val="bottom"/>
            <w:shd w:val="clear" w:color="auto" w:fill="CFF0FC"/>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9,094</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19,235</w:t>
            </w:r>
          </w:p>
        </w:tc>
        <w:tc>
          <w:tcPr>
            <w:tcW w:w="80" w:type="dxa"/>
            <w:vAlign w:val="bottom"/>
            <w:shd w:val="clear" w:color="auto" w:fill="CFF0FC"/>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Network equipment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8,748</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2,282</w:t>
            </w:r>
          </w:p>
        </w:tc>
        <w:tc>
          <w:tcPr>
            <w:tcW w:w="8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49,300</w:t>
            </w:r>
          </w:p>
        </w:tc>
        <w:tc>
          <w:tcPr>
            <w:tcW w:w="5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60,056</w:t>
            </w:r>
          </w:p>
        </w:tc>
        <w:tc>
          <w:tcPr>
            <w:tcW w:w="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2022 indicated no impairment. We also reevaluate the useful life of indefinite-lived intangible assets each reporting period to determine whether events and circumstances continue to support an indefinite useful life.</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March 31, 2023 and December 31, 2022, our goodwill balance was $0.6 million.</w:t>
      </w:r>
    </w:p>
    <w:p>
      <w:pPr>
        <w:spacing w:after="0" w:line="117"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Our intangible assets, other than goodwill, as of March 31, 2023 and December 31, 2022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As of March 31, 2023</w:t>
            </w:r>
          </w:p>
        </w:tc>
        <w:tc>
          <w:tcPr>
            <w:tcW w:w="100" w:type="dxa"/>
            <w:vAlign w:val="bottom"/>
          </w:tcPr>
          <w:p>
            <w:pPr>
              <w:spacing w:after="0"/>
              <w:rPr>
                <w:sz w:val="20"/>
                <w:szCs w:val="20"/>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As of December 31, 2022</w:t>
            </w:r>
          </w:p>
        </w:tc>
      </w:tr>
      <w:tr>
        <w:trPr>
          <w:trHeight w:val="211"/>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41"/>
        </w:trPr>
        <w:tc>
          <w:tcPr>
            <w:tcW w:w="37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43"/>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36"/>
        </w:trPr>
        <w:tc>
          <w:tcPr>
            <w:tcW w:w="3720" w:type="dxa"/>
            <w:vAlign w:val="bottom"/>
          </w:tcPr>
          <w:p>
            <w:pPr>
              <w:ind w:left="200"/>
              <w:spacing w:after="0"/>
              <w:rPr>
                <w:sz w:val="20"/>
                <w:szCs w:val="20"/>
                <w:color w:val="auto"/>
              </w:rPr>
            </w:pPr>
            <w:r>
              <w:rPr>
                <w:rFonts w:ascii="Arial" w:cs="Arial" w:eastAsia="Arial" w:hAnsi="Arial"/>
                <w:sz w:val="18"/>
                <w:szCs w:val="18"/>
                <w:color w:val="auto"/>
              </w:rPr>
              <w:t>Software</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$(44,551)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$59,932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$(43,950)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$15,982</w:t>
            </w:r>
          </w:p>
        </w:tc>
      </w:tr>
      <w:tr>
        <w:trPr>
          <w:trHeight w:val="249"/>
        </w:trPr>
        <w:tc>
          <w:tcPr>
            <w:tcW w:w="3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intangible assets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w:t>
            </w:r>
          </w:p>
        </w:tc>
      </w:tr>
      <w:tr>
        <w:trPr>
          <w:trHeight w:val="236"/>
        </w:trPr>
        <w:tc>
          <w:tcPr>
            <w:tcW w:w="3720" w:type="dxa"/>
            <w:vAlign w:val="bottom"/>
          </w:tcPr>
          <w:p>
            <w:pPr>
              <w:ind w:left="200"/>
              <w:spacing w:after="0"/>
              <w:rPr>
                <w:sz w:val="20"/>
                <w:szCs w:val="20"/>
                <w:color w:val="auto"/>
              </w:rPr>
            </w:pPr>
            <w:r>
              <w:rPr>
                <w:rFonts w:ascii="Arial" w:cs="Arial" w:eastAsia="Arial" w:hAnsi="Arial"/>
                <w:sz w:val="18"/>
                <w:szCs w:val="18"/>
                <w:color w:val="auto"/>
              </w:rPr>
              <w:t>Service customer relationships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OEM and dealer relationships</w:t>
            </w: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72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(59,356)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75,361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(58,755)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16,606</w:t>
            </w:r>
          </w:p>
        </w:tc>
      </w:tr>
      <w:tr>
        <w:trPr>
          <w:trHeight w:val="249"/>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3720" w:type="dxa"/>
            <w:vAlign w:val="bottom"/>
          </w:tcPr>
          <w:p>
            <w:pPr>
              <w:ind w:left="200"/>
              <w:spacing w:after="0"/>
              <w:rPr>
                <w:sz w:val="20"/>
                <w:szCs w:val="20"/>
                <w:color w:val="auto"/>
              </w:rPr>
            </w:pPr>
            <w:r>
              <w:rPr>
                <w:rFonts w:ascii="Arial" w:cs="Arial" w:eastAsia="Arial" w:hAnsi="Arial"/>
                <w:sz w:val="18"/>
                <w:szCs w:val="18"/>
                <w:color w:val="auto"/>
              </w:rPr>
              <w:t>FCC Licenses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32,283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32,283</w:t>
            </w:r>
          </w:p>
        </w:tc>
      </w:tr>
      <w:tr>
        <w:trPr>
          <w:trHeight w:val="278"/>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$109,180</w:t>
            </w:r>
          </w:p>
        </w:tc>
        <w:tc>
          <w:tcPr>
            <w:tcW w:w="1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$(59,356)</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$49,824</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$107,644</w:t>
            </w: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$(58,755)</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-658495</wp:posOffset>
            </wp:positionV>
            <wp:extent cx="685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-658495</wp:posOffset>
            </wp:positionV>
            <wp:extent cx="685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-658495</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-658495</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-658495</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was $0.6 million and $1.9 million for the three-month periods ended March 31, 2023 and 2022, respectively.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remainder of 2023, each of the next four years and thereafter is estimated to be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5"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Amortization</w:t>
            </w:r>
          </w:p>
        </w:tc>
      </w:tr>
      <w:tr>
        <w:trPr>
          <w:trHeight w:val="251"/>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Expense</w:t>
            </w:r>
          </w:p>
        </w:tc>
      </w:tr>
      <w:tr>
        <w:trPr>
          <w:trHeight w:val="23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(period from April 1 to December 31)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2024</w:t>
            </w:r>
          </w:p>
        </w:tc>
        <w:tc>
          <w:tcPr>
            <w:tcW w:w="1340" w:type="dxa"/>
            <w:vAlign w:val="bottom"/>
          </w:tcPr>
          <w:p>
            <w:pPr>
              <w:jc w:val="right"/>
              <w:spacing w:after="0"/>
              <w:rPr>
                <w:sz w:val="20"/>
                <w:szCs w:val="20"/>
                <w:color w:val="auto"/>
              </w:rPr>
            </w:pPr>
            <w:r>
              <w:rPr>
                <w:rFonts w:ascii="Arial" w:cs="Arial" w:eastAsia="Arial" w:hAnsi="Arial"/>
                <w:sz w:val="18"/>
                <w:szCs w:val="18"/>
                <w:color w:val="auto"/>
              </w:rPr>
              <w:t>$2,566</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2026</w:t>
            </w:r>
          </w:p>
        </w:tc>
        <w:tc>
          <w:tcPr>
            <w:tcW w:w="134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340" w:type="dxa"/>
            <w:vAlign w:val="bottom"/>
          </w:tcPr>
          <w:p>
            <w:pPr>
              <w:jc w:val="right"/>
              <w:spacing w:after="0"/>
              <w:rPr>
                <w:sz w:val="20"/>
                <w:szCs w:val="20"/>
                <w:color w:val="auto"/>
              </w:rPr>
            </w:pPr>
            <w:r>
              <w:rPr>
                <w:rFonts w:ascii="Arial" w:cs="Arial" w:eastAsia="Arial" w:hAnsi="Arial"/>
                <w:sz w:val="18"/>
                <w:szCs w:val="18"/>
                <w:color w:val="auto"/>
              </w:rPr>
              <w:t>$6,095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00" w:lineRule="exact"/>
        <w:rPr>
          <w:sz w:val="20"/>
          <w:szCs w:val="20"/>
          <w:color w:val="auto"/>
        </w:rPr>
      </w:pPr>
    </w:p>
    <w:p>
      <w:pPr>
        <w:spacing w:after="0" w:line="26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as of March 31, 2023 and December 31, 2022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6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709,559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711,263</w:t>
            </w:r>
          </w:p>
        </w:tc>
        <w:tc>
          <w:tcPr>
            <w:tcW w:w="80" w:type="dxa"/>
            <w:vAlign w:val="bottom"/>
            <w:shd w:val="clear" w:color="auto" w:fill="CFF0FC"/>
          </w:tcPr>
          <w:p>
            <w:pPr>
              <w:spacing w:after="0"/>
              <w:rPr>
                <w:sz w:val="21"/>
                <w:szCs w:val="21"/>
                <w:color w:val="auto"/>
              </w:rPr>
            </w:pPr>
          </w:p>
        </w:tc>
      </w:tr>
      <w:tr>
        <w:trPr>
          <w:trHeight w:val="236"/>
        </w:trPr>
        <w:tc>
          <w:tcPr>
            <w:tcW w:w="6100" w:type="dxa"/>
            <w:vAlign w:val="bottom"/>
          </w:tcPr>
          <w:p>
            <w:pPr>
              <w:ind w:left="180"/>
              <w:spacing w:after="0"/>
              <w:rPr>
                <w:sz w:val="20"/>
                <w:szCs w:val="20"/>
                <w:color w:val="auto"/>
              </w:rPr>
            </w:pPr>
            <w:r>
              <w:rPr>
                <w:rFonts w:ascii="Arial" w:cs="Arial" w:eastAsia="Arial" w:hAnsi="Arial"/>
                <w:sz w:val="18"/>
                <w:szCs w:val="18"/>
                <w:color w:val="auto"/>
              </w:rPr>
              <w:t>Less: deferred financing costs</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(13,318 )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(13,840 )</w:t>
            </w:r>
          </w:p>
        </w:tc>
      </w:tr>
      <w:tr>
        <w:trPr>
          <w:trHeight w:val="243"/>
        </w:trPr>
        <w:tc>
          <w:tcPr>
            <w:tcW w:w="6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(7,250 )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(7,250 )</w:t>
            </w:r>
          </w:p>
        </w:tc>
      </w:tr>
      <w:tr>
        <w:trPr>
          <w:trHeight w:val="236"/>
        </w:trPr>
        <w:tc>
          <w:tcPr>
            <w:tcW w:w="61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688,991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690,173</w:t>
            </w:r>
          </w:p>
        </w:tc>
        <w:tc>
          <w:tcPr>
            <w:tcW w:w="80" w:type="dxa"/>
            <w:vAlign w:val="bottom"/>
            <w:tcBorders>
              <w:top w:val="single" w:sz="8" w:color="CFF0FC"/>
            </w:tcBorders>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-187960</wp:posOffset>
            </wp:positionV>
            <wp:extent cx="5969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5143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Agreement</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8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secured overnight financing rate as administered by the Federal Reserve Bank of New York (“SOFR”), plus a credit spread adjustment recommended by the Alternative Reference Rates Committee.</w:t>
      </w:r>
    </w:p>
    <w:p>
      <w:pPr>
        <w:spacing w:after="0" w:line="7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75"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Term Loan Facility bears annual interest at a floating rate measured by reference to, at GIH’s option, either (i) 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7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March 31, 2023, the fee for unused commitments under the Revolving Facility was 0.25% and the applicable margin was 3.25%.</w:t>
      </w:r>
    </w:p>
    <w:p>
      <w:pPr>
        <w:spacing w:after="0" w:line="7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28" w:lineRule="exact"/>
        <w:rPr>
          <w:sz w:val="20"/>
          <w:szCs w:val="20"/>
          <w:color w:val="auto"/>
        </w:rPr>
      </w:pPr>
    </w:p>
    <w:p>
      <w:pPr>
        <w:ind w:left="1020" w:right="38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net cash proceeds of certain debt offerings; and</w:t>
      </w:r>
    </w:p>
    <w:p>
      <w:pPr>
        <w:spacing w:after="0" w:line="116"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68"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7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Revolving Facility is available for working capital and general corporate purposes of GIH and its subsidiaries and was undrawn as of March 31, 2023 and December 31, 2022.</w:t>
      </w:r>
    </w:p>
    <w:p>
      <w:pPr>
        <w:spacing w:after="0" w:line="62"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As of March 31, 2023 and December 31, 2022, the outstanding principal amount of the Term Loan Facility was $712.3 million and $714.1 million, respectively, the unaccreted debt discount was $2.7 million and $2.8 million, respectively, and the net carrying amount was $709.6 million and $711.3 million, respectively. On May 3, 2023, the Company paid $100 million of the outstanding principal amount of the Term Loan Facility.</w:t>
      </w:r>
    </w:p>
    <w:p>
      <w:pPr>
        <w:spacing w:after="0" w:line="56"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$0.6 million and $0.7 million for the three-month periods ended March 31, 2023 and 2022, respectively, and is included in interest expense in our Unaudited Condensed Consolidated Statements of Operations. As of March 31, 2023 and December 31, 2022, the balance of unamortized deferred financing costs related to the Facilities was $14.7 million and $15.3 million, respectively.</w:t>
      </w:r>
    </w:p>
    <w:p>
      <w:pPr>
        <w:spacing w:after="0" w:line="6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460" w:firstLine="509"/>
        <w:spacing w:after="0" w:line="341" w:lineRule="auto"/>
        <w:rPr>
          <w:sz w:val="20"/>
          <w:szCs w:val="20"/>
          <w:color w:val="auto"/>
        </w:rPr>
      </w:pPr>
      <w:r>
        <w:rPr>
          <w:rFonts w:ascii="Arial" w:cs="Arial" w:eastAsia="Arial" w:hAnsi="Arial"/>
          <w:sz w:val="16"/>
          <w:szCs w:val="16"/>
          <w:color w:val="auto"/>
        </w:rPr>
        <w:t>In 2018, we issued $237.8 million aggregate principal amount of 6.00% Convertible Senior Notes due 2022 (the “2022 Convertible Notes”) in private offerings to qualified institutional buyers, including pursuant to Rule 144A under the Securities Act, and in concurrent private placements.</w:t>
      </w:r>
    </w:p>
    <w:p>
      <w:pPr>
        <w:spacing w:after="0" w:line="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In 2021, $135.0 million aggregate principal amount of 2022 Convertible Notes was converted by holders and settled through the issuance of 24,353,006 shares of common stock.</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In May 2022, the remaining $102.8 million aggregate principal amount of 2022 Convertible Notes was converted by holders into 17,131,332 shares of common stock. Thorndale Farm Private Equity Fund 2, LLC, an entity affiliated with our Chairman and Chief Executive Officer, held $8.0 million aggregate principal amount of 2022 Convertible Notes that was converted into 1,333,333 shares of common stock.</w:t>
      </w:r>
    </w:p>
    <w:p>
      <w:pPr>
        <w:spacing w:after="0" w:line="5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incurred approximately $8.1 million of issuance costs related to the 2022 Convertible Notes that were amortized over the term of the 2022 Convertible Notes using the effective interest method. Total amortization expense was $0.3 million for the three-month period ended March 31, 2022 and is included in Interest expense in the Unaudited Condensed Consolidated Statements of Operations. As of December 31, 2022, there were no unamortized deferred financing costs related to the 2022 Convertible Notes. See Note 9, “Interest Costs,” for additional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2022 Convertible Notes had an initial conversion rate of 166.6667 common shares per $1,000 principal amount of 2022 Convertible Notes, which was equivalent to an initial conversion price of approximately $6.00 per share of our common stock. Prior to conversion, the shares of common stock subject to conversion were considered in the diluted earnings per share calculations under the if-converted method if their impact was dilutive.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In connection with the issuance of our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8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In May 2022, the approximately 0.6 million shares that were remaining under the Amended and Restated Forward Transaction were delivered to us, and there are no additional prepaid forward stock repurchase transactions outstanding.</w:t>
      </w:r>
    </w:p>
    <w:p>
      <w:pPr>
        <w:spacing w:after="0" w:line="17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jc w:val="both"/>
        <w:ind w:right="420" w:firstLine="509"/>
        <w:spacing w:after="0" w:line="311" w:lineRule="auto"/>
        <w:rPr>
          <w:sz w:val="20"/>
          <w:szCs w:val="20"/>
          <w:color w:val="auto"/>
        </w:rPr>
      </w:pPr>
      <w:r>
        <w:rPr>
          <w:rFonts w:ascii="Arial" w:cs="Arial" w:eastAsia="Arial" w:hAnsi="Arial"/>
          <w:sz w:val="16"/>
          <w:szCs w:val="16"/>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4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notional amounts, strike rates and end dates of the cap agreements are as follows </w:t>
      </w:r>
      <w:r>
        <w:rPr>
          <w:rFonts w:ascii="Arial" w:cs="Arial" w:eastAsia="Arial" w:hAnsi="Arial"/>
          <w:sz w:val="18"/>
          <w:szCs w:val="18"/>
          <w:i w:val="1"/>
          <w:iCs w:val="1"/>
          <w:color w:val="auto"/>
        </w:rPr>
        <w:t>(notional amounts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211"/>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Notional</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Start Date</w:t>
            </w:r>
          </w:p>
        </w:tc>
        <w:tc>
          <w:tcPr>
            <w:tcW w:w="180" w:type="dxa"/>
            <w:vAlign w:val="bottom"/>
          </w:tcPr>
          <w:p>
            <w:pPr>
              <w:spacing w:after="0"/>
              <w:rPr>
                <w:sz w:val="20"/>
                <w:szCs w:val="20"/>
                <w:color w:val="auto"/>
              </w:rPr>
            </w:pPr>
          </w:p>
        </w:tc>
        <w:tc>
          <w:tcPr>
            <w:tcW w:w="1520" w:type="dxa"/>
            <w:vAlign w:val="bottom"/>
          </w:tcPr>
          <w:p>
            <w:pPr>
              <w:ind w:left="400"/>
              <w:spacing w:after="0"/>
              <w:rPr>
                <w:sz w:val="20"/>
                <w:szCs w:val="20"/>
                <w:color w:val="auto"/>
              </w:rPr>
            </w:pPr>
            <w:r>
              <w:rPr>
                <w:rFonts w:ascii="Arial" w:cs="Arial" w:eastAsia="Arial" w:hAnsi="Arial"/>
                <w:sz w:val="18"/>
                <w:szCs w:val="18"/>
                <w:b w:val="1"/>
                <w:bCs w:val="1"/>
                <w:color w:val="auto"/>
              </w:rPr>
              <w:t>End Date</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Amounts</w:t>
            </w:r>
          </w:p>
        </w:tc>
        <w:tc>
          <w:tcPr>
            <w:tcW w:w="220" w:type="dxa"/>
            <w:vAlign w:val="bottom"/>
          </w:tcPr>
          <w:p>
            <w:pPr>
              <w:spacing w:after="0"/>
              <w:rPr>
                <w:sz w:val="20"/>
                <w:szCs w:val="20"/>
                <w:color w:val="auto"/>
              </w:rPr>
            </w:pPr>
          </w:p>
        </w:tc>
        <w:tc>
          <w:tcPr>
            <w:tcW w:w="17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Strike Rate</w:t>
            </w:r>
          </w:p>
        </w:tc>
      </w:tr>
      <w:tr>
        <w:trPr>
          <w:trHeight w:val="230"/>
        </w:trPr>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7/31/2021</w:t>
            </w:r>
          </w:p>
        </w:tc>
        <w:tc>
          <w:tcPr>
            <w:tcW w:w="180" w:type="dxa"/>
            <w:vAlign w:val="bottom"/>
          </w:tcPr>
          <w:p>
            <w:pPr>
              <w:spacing w:after="0"/>
              <w:rPr>
                <w:sz w:val="20"/>
                <w:szCs w:val="20"/>
                <w:color w:val="auto"/>
              </w:rPr>
            </w:pPr>
          </w:p>
        </w:tc>
        <w:tc>
          <w:tcPr>
            <w:tcW w:w="15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7/31/2023</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2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1540" w:type="dxa"/>
            <w:vAlign w:val="bottom"/>
          </w:tcPr>
          <w:p>
            <w:pPr>
              <w:jc w:val="center"/>
              <w:spacing w:after="0"/>
              <w:rPr>
                <w:sz w:val="20"/>
                <w:szCs w:val="20"/>
                <w:color w:val="auto"/>
              </w:rPr>
            </w:pPr>
            <w:r>
              <w:rPr>
                <w:rFonts w:ascii="Arial" w:cs="Arial" w:eastAsia="Arial" w:hAnsi="Arial"/>
                <w:sz w:val="18"/>
                <w:szCs w:val="18"/>
                <w:color w:val="auto"/>
                <w:w w:val="92"/>
              </w:rPr>
              <w:t>7/31/2023</w:t>
            </w:r>
          </w:p>
        </w:tc>
        <w:tc>
          <w:tcPr>
            <w:tcW w:w="1700" w:type="dxa"/>
            <w:vAlign w:val="bottom"/>
            <w:gridSpan w:val="2"/>
          </w:tcPr>
          <w:p>
            <w:pPr>
              <w:ind w:left="580"/>
              <w:spacing w:after="0"/>
              <w:rPr>
                <w:sz w:val="20"/>
                <w:szCs w:val="20"/>
                <w:color w:val="auto"/>
              </w:rPr>
            </w:pPr>
            <w:r>
              <w:rPr>
                <w:rFonts w:ascii="Arial" w:cs="Arial" w:eastAsia="Arial" w:hAnsi="Arial"/>
                <w:sz w:val="18"/>
                <w:szCs w:val="18"/>
                <w:color w:val="auto"/>
              </w:rPr>
              <w:t>7/31/2024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525,000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0.75 %</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7/31/2024</w:t>
            </w:r>
          </w:p>
        </w:tc>
        <w:tc>
          <w:tcPr>
            <w:tcW w:w="1700" w:type="dxa"/>
            <w:vAlign w:val="bottom"/>
            <w:gridSpan w:val="2"/>
          </w:tcPr>
          <w:p>
            <w:pPr>
              <w:ind w:left="580"/>
              <w:spacing w:after="0"/>
              <w:rPr>
                <w:sz w:val="20"/>
                <w:szCs w:val="20"/>
                <w:color w:val="auto"/>
              </w:rPr>
            </w:pPr>
            <w:r>
              <w:rPr>
                <w:rFonts w:ascii="Arial" w:cs="Arial" w:eastAsia="Arial" w:hAnsi="Arial"/>
                <w:sz w:val="18"/>
                <w:szCs w:val="18"/>
                <w:color w:val="auto"/>
              </w:rPr>
              <w:t>7/31/2025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350,000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7/31/2025</w:t>
            </w:r>
          </w:p>
        </w:tc>
        <w:tc>
          <w:tcPr>
            <w:tcW w:w="1700" w:type="dxa"/>
            <w:vAlign w:val="bottom"/>
            <w:gridSpan w:val="2"/>
          </w:tcPr>
          <w:p>
            <w:pPr>
              <w:ind w:left="580"/>
              <w:spacing w:after="0"/>
              <w:rPr>
                <w:sz w:val="20"/>
                <w:szCs w:val="20"/>
                <w:color w:val="auto"/>
              </w:rPr>
            </w:pPr>
            <w:r>
              <w:rPr>
                <w:rFonts w:ascii="Arial" w:cs="Arial" w:eastAsia="Arial" w:hAnsi="Arial"/>
                <w:sz w:val="18"/>
                <w:szCs w:val="18"/>
                <w:color w:val="auto"/>
              </w:rPr>
              <w:t>7/31/2026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2.25 %</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7/31/2026</w:t>
            </w:r>
          </w:p>
        </w:tc>
        <w:tc>
          <w:tcPr>
            <w:tcW w:w="1700" w:type="dxa"/>
            <w:vAlign w:val="bottom"/>
            <w:gridSpan w:val="2"/>
          </w:tcPr>
          <w:p>
            <w:pPr>
              <w:ind w:left="580"/>
              <w:spacing w:after="0"/>
              <w:rPr>
                <w:sz w:val="20"/>
                <w:szCs w:val="20"/>
                <w:color w:val="auto"/>
              </w:rPr>
            </w:pPr>
            <w:r>
              <w:rPr>
                <w:rFonts w:ascii="Arial" w:cs="Arial" w:eastAsia="Arial" w:hAnsi="Arial"/>
                <w:sz w:val="18"/>
                <w:szCs w:val="18"/>
                <w:color w:val="auto"/>
              </w:rPr>
              <w:t>7/31/2027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-761365</wp:posOffset>
            </wp:positionV>
            <wp:extent cx="427291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-453390</wp:posOffset>
            </wp:positionV>
            <wp:extent cx="427291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-144780</wp:posOffset>
            </wp:positionV>
            <wp:extent cx="427291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72915" cy="154305"/>
                    </a:xfrm>
                    <a:prstGeom prst="rect">
                      <a:avLst/>
                    </a:prstGeom>
                    <a:noFill/>
                  </pic:spPr>
                </pic:pic>
              </a:graphicData>
            </a:graphic>
          </wp:anchor>
        </w:drawing>
      </w:r>
    </w:p>
    <w:p>
      <w:pPr>
        <w:spacing w:after="0" w:line="195"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No gains or losses of our cash flow hedges were considered to be ineffective and reclassified from other comprehensive income (loss) to earnings for the three-month periods ended March 31, 2023 and 2022. We estimate that approximately $2.2 million currently recorded in accumulated other comprehensive income (loss) will be recognized in earnings over the next 12 months. We assess the effectiveness of the hedges on an ongoing basis. Cash flows from interest rate caps are classified in the Unaudited Condensed Consolidated Statement of Cash Flows as investing activities.</w:t>
      </w:r>
    </w:p>
    <w:p>
      <w:pPr>
        <w:spacing w:after="0" w:line="57"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For the three-month period ended March 31, 2023, we recorded a decrease in fair value on the interest rate caps of $7.3 million, net of tax of $2.3 million, and for the three-month period ended March 31, 2022, the increase in fair value was $16.1 million, net of tax of $5.3 million. Increases and decreases in fair value on interest rate caps above exclude amortization of the purchase price paid for the interest rate caps.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 xml:space="preserve">When derivatives are used, we are exposed to credit loss in the event of non-performance by the counterparties; however, non-performance is not anticipated.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7"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The following table presents the fair value of our interest rate derivatives included in the Unaudited Condensed Consolidated Balance Sheets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r>
      <w:tr>
        <w:trPr>
          <w:trHeight w:val="251"/>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w w:val="94"/>
              </w:rPr>
              <w:t>Derivatives designated as hedging instruments</w:t>
            </w:r>
          </w:p>
        </w:tc>
        <w:tc>
          <w:tcPr>
            <w:tcW w:w="4320" w:type="dxa"/>
            <w:vAlign w:val="bottom"/>
          </w:tcPr>
          <w:p>
            <w:pPr>
              <w:ind w:left="260"/>
              <w:spacing w:after="0"/>
              <w:rPr>
                <w:sz w:val="20"/>
                <w:szCs w:val="20"/>
                <w:color w:val="auto"/>
              </w:rPr>
            </w:pPr>
            <w:r>
              <w:rPr>
                <w:rFonts w:ascii="Arial" w:cs="Arial" w:eastAsia="Arial" w:hAnsi="Arial"/>
                <w:sz w:val="18"/>
                <w:szCs w:val="18"/>
                <w:b w:val="1"/>
                <w:bCs w:val="1"/>
                <w:color w:val="auto"/>
              </w:rPr>
              <w:t>Balance sheet location</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interest rate caps</w:t>
            </w:r>
          </w:p>
        </w:tc>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100" w:type="dxa"/>
            <w:vAlign w:val="bottom"/>
            <w:shd w:val="clear" w:color="auto" w:fill="CFF0FC"/>
          </w:tcPr>
          <w:p>
            <w:pPr>
              <w:spacing w:after="0"/>
              <w:rPr>
                <w:sz w:val="20"/>
                <w:szCs w:val="20"/>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Non-current portion of interest rate caps</w:t>
            </w:r>
          </w:p>
        </w:tc>
        <w:tc>
          <w:tcPr>
            <w:tcW w:w="432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25,578</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8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6" w:lineRule="exact"/>
        <w:rPr>
          <w:rFonts w:ascii="Arial" w:cs="Arial" w:eastAsia="Arial" w:hAnsi="Arial"/>
          <w:sz w:val="18"/>
          <w:szCs w:val="18"/>
          <w:b w:val="1"/>
          <w:bCs w:val="1"/>
          <w:color w:val="auto"/>
        </w:rPr>
      </w:pPr>
    </w:p>
    <w:p>
      <w:pPr>
        <w:ind w:left="1020" w:hanging="503"/>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for identical assets or liabilities in active markets;</w:t>
      </w:r>
    </w:p>
    <w:p>
      <w:pPr>
        <w:spacing w:after="0" w:line="116" w:lineRule="exact"/>
        <w:rPr>
          <w:rFonts w:ascii="Arial" w:cs="Arial" w:eastAsia="Arial" w:hAnsi="Arial"/>
          <w:sz w:val="18"/>
          <w:szCs w:val="18"/>
          <w:color w:val="auto"/>
        </w:rPr>
      </w:pPr>
    </w:p>
    <w:p>
      <w:pPr>
        <w:ind w:left="1020" w:right="6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inputs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4" w:lineRule="exact"/>
        <w:rPr>
          <w:rFonts w:ascii="Arial" w:cs="Arial" w:eastAsia="Arial" w:hAnsi="Arial"/>
          <w:sz w:val="18"/>
          <w:szCs w:val="18"/>
          <w:color w:val="auto"/>
        </w:rPr>
      </w:pPr>
    </w:p>
    <w:p>
      <w:pPr>
        <w:ind w:left="500" w:right="60" w:firstLine="17"/>
        <w:spacing w:after="0" w:line="397" w:lineRule="auto"/>
        <w:tabs>
          <w:tab w:leader="none" w:pos="102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defined as unobservable inputs in which little or no market data exists, therefore requiring an entity to develop its own assumptions.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Refer to Note 7, “Derivative Instruments and Hedging Activities,” for fair value information relating to our interest rate caps.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As of March 31, 2023 and December 31, 2022, our only financial asset or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the obligation. The upfront cash payment used in the calculation of fair value on our March 31, 2023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March 31, 2023 and December 31, 2022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0"/>
                <w:szCs w:val="20"/>
                <w:color w:val="auto"/>
              </w:rPr>
            </w:pPr>
          </w:p>
        </w:tc>
        <w:tc>
          <w:tcPr>
            <w:tcW w:w="30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4"/>
                <w:szCs w:val="24"/>
                <w:b w:val="1"/>
                <w:bCs w:val="1"/>
                <w:i w:val="1"/>
                <w:iCs w:val="1"/>
                <w:color w:val="auto"/>
                <w:w w:val="92"/>
                <w:vertAlign w:val="superscript"/>
              </w:rPr>
              <w:t>(1)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9"/>
                <w:szCs w:val="19"/>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4"/>
                <w:szCs w:val="24"/>
                <w:b w:val="1"/>
                <w:bCs w:val="1"/>
                <w:i w:val="1"/>
                <w:iCs w:val="1"/>
                <w:color w:val="auto"/>
                <w:w w:val="92"/>
                <w:vertAlign w:val="superscript"/>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708,000</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709,559</w:t>
            </w:r>
          </w:p>
        </w:tc>
        <w:tc>
          <w:tcPr>
            <w:tcW w:w="380" w:type="dxa"/>
            <w:vAlign w:val="bottom"/>
            <w:shd w:val="clear" w:color="auto" w:fill="CFF0FC"/>
          </w:tcPr>
          <w:p>
            <w:pPr>
              <w:jc w:val="right"/>
              <w:ind w:right="160"/>
              <w:spacing w:after="0"/>
              <w:rPr>
                <w:sz w:val="20"/>
                <w:szCs w:val="20"/>
                <w:color w:val="auto"/>
              </w:rPr>
            </w:pPr>
            <w:r>
              <w:rPr>
                <w:rFonts w:ascii="Arial" w:cs="Arial" w:eastAsia="Arial" w:hAnsi="Arial"/>
                <w:sz w:val="12"/>
                <w:szCs w:val="12"/>
                <w:i w:val="1"/>
                <w:iCs w:val="1"/>
                <w:color w:val="auto"/>
                <w:w w:val="95"/>
              </w:rPr>
              <w:t>(2)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711,263</w:t>
            </w:r>
          </w:p>
        </w:tc>
        <w:tc>
          <w:tcPr>
            <w:tcW w:w="240" w:type="dxa"/>
            <w:vAlign w:val="bottom"/>
            <w:shd w:val="clear" w:color="auto" w:fill="CFF0FC"/>
          </w:tcPr>
          <w:p>
            <w:pPr>
              <w:jc w:val="right"/>
              <w:ind w:right="40"/>
              <w:spacing w:after="0"/>
              <w:rPr>
                <w:sz w:val="20"/>
                <w:szCs w:val="20"/>
                <w:color w:val="auto"/>
              </w:rPr>
            </w:pPr>
            <w:r>
              <w:rPr>
                <w:rFonts w:ascii="Arial" w:cs="Arial" w:eastAsia="Arial" w:hAnsi="Arial"/>
                <w:sz w:val="12"/>
                <w:szCs w:val="12"/>
                <w:i w:val="1"/>
                <w:iCs w:val="1"/>
                <w:color w:val="auto"/>
                <w:w w:val="81"/>
              </w:rPr>
              <w:t>(2)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520" w:right="80" w:hanging="512"/>
        <w:spacing w:after="0" w:line="260" w:lineRule="auto"/>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Carrying value of the Term Loan Facility reflects the unaccreted debt discount of $2.7 million and $2.8 million as of March 31, 2023 and December 31, 2022, respectively. See Note 6, “Long-Term Debt and Other Liabilities,”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three-month periods ended March 31, 2023 and 2022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For the Three Months</w:t>
      </w:r>
    </w:p>
    <w:p>
      <w:pPr>
        <w:spacing w:after="0" w:line="22"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0"/>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costs charged to expense</w:t>
            </w:r>
          </w:p>
        </w:tc>
        <w:tc>
          <w:tcPr>
            <w:tcW w:w="2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14,497</w:t>
            </w: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w:t>
            </w:r>
          </w:p>
        </w:tc>
        <w:tc>
          <w:tcPr>
            <w:tcW w:w="100" w:type="dxa"/>
            <w:vAlign w:val="bottom"/>
            <w:shd w:val="clear" w:color="auto" w:fill="CFF0FC"/>
          </w:tcPr>
          <w:p>
            <w:pPr>
              <w:spacing w:after="0"/>
              <w:rPr>
                <w:sz w:val="20"/>
                <w:szCs w:val="20"/>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the purchase price of interest rate caps</w:t>
            </w:r>
          </w:p>
        </w:tc>
        <w:tc>
          <w:tcPr>
            <w:tcW w:w="2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Interest rate cap benefit</w:t>
            </w: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(6,393 )</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of debt discount</w:t>
            </w:r>
          </w:p>
        </w:tc>
        <w:tc>
          <w:tcPr>
            <w:tcW w:w="2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8,976</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costs capitalized to property and equipment</w:t>
            </w:r>
          </w:p>
        </w:tc>
        <w:tc>
          <w:tcPr>
            <w:tcW w:w="2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1"/>
                <w:szCs w:val="2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Interest costs capitalized to software</w:t>
            </w:r>
          </w:p>
        </w:tc>
        <w:tc>
          <w:tcPr>
            <w:tcW w:w="21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r>
      <w:tr>
        <w:trPr>
          <w:trHeight w:val="276"/>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costs</w:t>
            </w:r>
          </w:p>
        </w:tc>
        <w:tc>
          <w:tcPr>
            <w:tcW w:w="21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9,630</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4760" w:type="dxa"/>
            <w:vAlign w:val="bottom"/>
          </w:tcPr>
          <w:p>
            <w:pPr>
              <w:spacing w:after="0"/>
              <w:rPr>
                <w:sz w:val="24"/>
                <w:szCs w:val="24"/>
                <w:color w:val="auto"/>
              </w:rPr>
            </w:pPr>
          </w:p>
        </w:tc>
        <w:tc>
          <w:tcPr>
            <w:tcW w:w="2160" w:type="dxa"/>
            <w:vAlign w:val="bottom"/>
          </w:tcPr>
          <w:p>
            <w:pPr>
              <w:jc w:val="right"/>
              <w:ind w:right="1110"/>
              <w:spacing w:after="0"/>
              <w:rPr>
                <w:sz w:val="20"/>
                <w:szCs w:val="20"/>
                <w:color w:val="auto"/>
              </w:rPr>
            </w:pPr>
            <w:r>
              <w:rPr>
                <w:rFonts w:ascii="Arial" w:cs="Arial" w:eastAsia="Arial" w:hAnsi="Arial"/>
                <w:sz w:val="18"/>
                <w:szCs w:val="18"/>
                <w:color w:val="auto"/>
              </w:rPr>
              <w:t>16</w:t>
            </w: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-1155065</wp:posOffset>
            </wp:positionV>
            <wp:extent cx="7683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-521970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-504825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b w:val="1"/>
          <w:bCs w:val="1"/>
          <w:color w:val="auto"/>
        </w:rPr>
        <w:t xml:space="preserve">Operating and Financing Leases — </w:t>
      </w:r>
      <w:r>
        <w:rPr>
          <w:rFonts w:ascii="Arial" w:cs="Arial" w:eastAsia="Arial" w:hAnsi="Arial"/>
          <w:sz w:val="18"/>
          <w:szCs w:val="18"/>
          <w:color w:val="auto"/>
        </w:rPr>
        <w:t>We determine whether a contract contains a lease at contract inception. Lease liabilities are calculated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March 31, 2023, there were no significant leases which had not commenced.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following is a summary of our lease expense included in the Unaudited Condensed Consolidated Statements of Operations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5"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For the Three Months</w:t>
      </w:r>
    </w:p>
    <w:p>
      <w:pPr>
        <w:spacing w:after="0" w:line="22"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20" w:type="dxa"/>
            <w:vAlign w:val="bottom"/>
          </w:tcPr>
          <w:p>
            <w:pPr>
              <w:spacing w:after="0"/>
              <w:rPr>
                <w:sz w:val="21"/>
                <w:szCs w:val="21"/>
                <w:color w:val="auto"/>
              </w:rPr>
            </w:pPr>
          </w:p>
        </w:tc>
        <w:tc>
          <w:tcPr>
            <w:tcW w:w="11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34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Financing lease cost:</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leased assets</w:t>
            </w: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860" w:type="dxa"/>
            <w:vAlign w:val="bottom"/>
            <w:gridSpan w:val="5"/>
          </w:tcPr>
          <w:p>
            <w:pPr>
              <w:ind w:left="520"/>
              <w:spacing w:after="0"/>
              <w:rPr>
                <w:sz w:val="20"/>
                <w:szCs w:val="20"/>
                <w:color w:val="auto"/>
              </w:rPr>
            </w:pPr>
            <w:r>
              <w:rPr>
                <w:rFonts w:ascii="Arial" w:cs="Arial" w:eastAsia="Arial" w:hAnsi="Arial"/>
                <w:sz w:val="18"/>
                <w:szCs w:val="18"/>
                <w:color w:val="auto"/>
                <w:w w:val="98"/>
              </w:rPr>
              <w:t xml:space="preserve">Other information regarding our leases is as follows </w:t>
            </w:r>
            <w:r>
              <w:rPr>
                <w:rFonts w:ascii="Arial" w:cs="Arial" w:eastAsia="Arial" w:hAnsi="Arial"/>
                <w:sz w:val="18"/>
                <w:szCs w:val="18"/>
                <w:i w:val="1"/>
                <w:iCs w:val="1"/>
                <w:color w:val="auto"/>
                <w:w w:val="98"/>
              </w:rPr>
              <w:t>(in thousands, except lease terms and discount rates)</w:t>
            </w:r>
            <w:r>
              <w:rPr>
                <w:rFonts w:ascii="Arial" w:cs="Arial" w:eastAsia="Arial" w:hAnsi="Arial"/>
                <w:sz w:val="18"/>
                <w:szCs w:val="18"/>
                <w:color w:val="auto"/>
                <w:w w:val="98"/>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6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10"/>
          </w:tcPr>
          <w:p>
            <w:pPr>
              <w:jc w:val="right"/>
              <w:ind w:right="118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8"/>
        </w:trPr>
        <w:tc>
          <w:tcPr>
            <w:tcW w:w="6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used in operating leases</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3,969</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0"/>
              <w:spacing w:after="0"/>
              <w:rPr>
                <w:sz w:val="20"/>
                <w:szCs w:val="20"/>
                <w:color w:val="auto"/>
              </w:rPr>
            </w:pPr>
            <w:r>
              <w:rPr>
                <w:rFonts w:ascii="Arial" w:cs="Arial" w:eastAsia="Arial" w:hAnsi="Arial"/>
                <w:sz w:val="18"/>
                <w:szCs w:val="18"/>
                <w:color w:val="auto"/>
              </w:rPr>
              <w:t>Operating cash flows used in financing leases</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Financing cash flows used in financing leases</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 obtained</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0"/>
              <w:spacing w:after="0"/>
              <w:rPr>
                <w:sz w:val="20"/>
                <w:szCs w:val="20"/>
                <w:color w:val="auto"/>
              </w:rPr>
            </w:pPr>
            <w:r>
              <w:rPr>
                <w:rFonts w:ascii="Arial" w:cs="Arial" w:eastAsia="Arial" w:hAnsi="Arial"/>
                <w:sz w:val="18"/>
                <w:szCs w:val="18"/>
                <w:color w:val="auto"/>
              </w:rPr>
              <w:t>Financing leases obtained</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5"/>
          </w:tcPr>
          <w:p>
            <w:pPr>
              <w:jc w:val="right"/>
              <w:ind w:right="300"/>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leases</w:t>
            </w:r>
          </w:p>
        </w:tc>
        <w:tc>
          <w:tcPr>
            <w:tcW w:w="8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60" w:type="dxa"/>
            <w:vAlign w:val="bottom"/>
            <w:gridSpan w:val="5"/>
            <w:shd w:val="clear" w:color="auto" w:fill="CFF0FC"/>
          </w:tcPr>
          <w:p>
            <w:pPr>
              <w:jc w:val="right"/>
              <w:ind w:right="300"/>
              <w:spacing w:after="0"/>
              <w:rPr>
                <w:sz w:val="20"/>
                <w:szCs w:val="20"/>
                <w:color w:val="auto"/>
              </w:rPr>
            </w:pPr>
            <w:r>
              <w:rPr>
                <w:rFonts w:ascii="Arial" w:cs="Arial" w:eastAsia="Arial" w:hAnsi="Arial"/>
                <w:sz w:val="18"/>
                <w:szCs w:val="18"/>
                <w:color w:val="auto"/>
              </w:rPr>
              <w:t>1 year</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year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Financing leases</w:t>
            </w: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16.6 %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337"/>
        </w:trPr>
        <w:tc>
          <w:tcPr>
            <w:tcW w:w="6920" w:type="dxa"/>
            <w:vAlign w:val="bottom"/>
          </w:tcPr>
          <w:p>
            <w:pPr>
              <w:ind w:left="520"/>
              <w:spacing w:after="0"/>
              <w:rPr>
                <w:sz w:val="20"/>
                <w:szCs w:val="20"/>
                <w:color w:val="auto"/>
              </w:rPr>
            </w:pPr>
            <w:r>
              <w:rPr>
                <w:rFonts w:ascii="Arial" w:cs="Arial" w:eastAsia="Arial" w:hAnsi="Arial"/>
                <w:sz w:val="18"/>
                <w:szCs w:val="18"/>
                <w:color w:val="auto"/>
              </w:rPr>
              <w:t xml:space="preserve">Annual future minimum lease payments as of March 31,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5"/>
            <w:vMerge w:val="restart"/>
          </w:tcPr>
          <w:p>
            <w:pPr>
              <w:jc w:val="center"/>
              <w:ind w:right="620"/>
              <w:spacing w:after="0"/>
              <w:rPr>
                <w:sz w:val="20"/>
                <w:szCs w:val="20"/>
                <w:color w:val="auto"/>
              </w:rPr>
            </w:pPr>
            <w:r>
              <w:rPr>
                <w:rFonts w:ascii="Arial" w:cs="Arial" w:eastAsia="Arial" w:hAnsi="Arial"/>
                <w:sz w:val="18"/>
                <w:szCs w:val="18"/>
                <w:b w:val="1"/>
                <w:bCs w:val="1"/>
                <w:color w:val="auto"/>
                <w:w w:val="94"/>
              </w:rPr>
              <w:t>Operating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89"/>
              </w:rPr>
              <w:t>Financing</w:t>
            </w: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Leases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(period from April 1 to December 31)</w:t>
            </w:r>
          </w:p>
        </w:tc>
        <w:tc>
          <w:tcPr>
            <w:tcW w:w="820" w:type="dxa"/>
            <w:vAlign w:val="bottom"/>
            <w:shd w:val="clear" w:color="auto" w:fill="CFF0FC"/>
          </w:tcPr>
          <w:p>
            <w:pPr>
              <w:spacing w:after="0"/>
              <w:rPr>
                <w:sz w:val="20"/>
                <w:szCs w:val="20"/>
                <w:color w:val="auto"/>
              </w:rPr>
            </w:pPr>
          </w:p>
        </w:tc>
        <w:tc>
          <w:tcPr>
            <w:tcW w:w="360" w:type="dxa"/>
            <w:vAlign w:val="bottom"/>
            <w:tcBorders>
              <w:top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10,877</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15,256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14,402</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2026</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14,229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13,377</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42,644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future minimum lease payments</w:t>
            </w:r>
          </w:p>
        </w:tc>
        <w:tc>
          <w:tcPr>
            <w:tcW w:w="82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110,785</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5"/>
          </w:tcPr>
          <w:p>
            <w:pPr>
              <w:jc w:val="right"/>
              <w:ind w:right="180"/>
              <w:spacing w:after="0"/>
              <w:rPr>
                <w:sz w:val="20"/>
                <w:szCs w:val="20"/>
                <w:color w:val="auto"/>
              </w:rPr>
            </w:pPr>
            <w:r>
              <w:rPr>
                <w:rFonts w:ascii="Arial" w:cs="Arial" w:eastAsia="Arial" w:hAnsi="Arial"/>
                <w:sz w:val="18"/>
                <w:szCs w:val="18"/>
                <w:color w:val="auto"/>
              </w:rPr>
              <w:t>(24,075 )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net minimum lease payments</w:t>
            </w:r>
          </w:p>
        </w:tc>
        <w:tc>
          <w:tcPr>
            <w:tcW w:w="8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86,710</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Reported as of March 31, 2023</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8"/>
              </w:rPr>
              <w:t>9,445</w:t>
            </w:r>
          </w:p>
        </w:tc>
        <w:tc>
          <w:tcPr>
            <w:tcW w:w="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77,265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8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86,710</w:t>
            </w:r>
          </w:p>
        </w:tc>
        <w:tc>
          <w:tcPr>
            <w:tcW w:w="26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-5590540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-5573395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-5590540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-5573395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-3047365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-829945</wp:posOffset>
            </wp:positionV>
            <wp:extent cx="123317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260" w:firstLine="509"/>
        <w:spacing w:after="0" w:line="265"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73"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In June 2022, we and Hughes entered into a supply and product support agreement (the “SPSA”), providing for our purchase from Hughes of airborne antennas for use on a LEO satellite network, and the performance by Hughes of services related thereto. Under the SPSA, we commit to purchase, over a seven-year period that will begin on completion of a project milestone currently expected to occur at the end of 2024, antennas with an estimated aggregate purchase price of approximately $170 million. During the contractual seven-year period, Hughes may not sell substantially similar equipment to other purchasers in our primary target market. In March 2023, we amended the SPSA, pursuant to which, we committed to purchase, over a seven-year period that will begin on completion of a project milestone currently expected to occur in mid-2025, additional equipment with an estimated aggregate purchase price of approximately $102 million.</w:t>
      </w:r>
    </w:p>
    <w:p>
      <w:pPr>
        <w:spacing w:after="0" w:line="81" w:lineRule="exact"/>
        <w:rPr>
          <w:sz w:val="20"/>
          <w:szCs w:val="20"/>
          <w:color w:val="auto"/>
        </w:rPr>
      </w:pPr>
    </w:p>
    <w:p>
      <w:pPr>
        <w:ind w:right="140" w:firstLine="509"/>
        <w:spacing w:after="0" w:line="260"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8"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75"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derivative lawsuits in the Court, styled Nanduri v. Gogo Inc. and Hutsenpiller v. Gogo Inc., respectively. Both 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Arial" w:cs="Arial" w:eastAsia="Arial" w:hAnsi="Arial"/>
          <w:sz w:val="16"/>
          <w:szCs w:val="16"/>
          <w:i w:val="1"/>
          <w:iCs w:val="1"/>
          <w:color w:val="auto"/>
        </w:rPr>
        <w:t>inter alia</w:t>
      </w:r>
      <w:r>
        <w:rPr>
          <w:rFonts w:ascii="Arial" w:cs="Arial" w:eastAsia="Arial" w:hAnsi="Arial"/>
          <w:sz w:val="16"/>
          <w:szCs w:val="16"/>
          <w:color w:val="auto"/>
        </w:rPr>
        <w:t>, breach of fiduciary duty. The two derivative lawsuits and the litigation demand letter are collectively referred to herein as the “Derivative Matters” and the plaintiffs in the two derivative lawsuits and the purported stockholder who sent the litigation demand letter are collectively referred to herein as the “Stockholders.”</w:t>
      </w:r>
    </w:p>
    <w:p>
      <w:pPr>
        <w:spacing w:after="0" w:line="6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January 5, 2023, following mediation, the defendants and the Stockholders entered into a Stipulation and Agreement of Settlement (the “Derivative Settlement”) under which the Company, in consideration of dismissal of the two derivative lawsuits with prejudice and a release of all claims asserted against the Company and the individual defendants in the Derivative Matters, will implement certain corporate governance initiatives and cause its D&amp;O insurance carrier to pay the Stockholders’ attorneys’ fees. Under the terms of the Derivative Settlement, the defendants will not be required to pay any damages. We had accrued a liability for attorneys’ fees within Accrued liabilities and a corresponding receivable in Prepaid expenses and other current assets in the Unaudited Condensed Consolidated Balance Sheets as of December 21, 2022.</w:t>
      </w:r>
    </w:p>
    <w:p>
      <w:pPr>
        <w:spacing w:after="0" w:line="68"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On February 1, 2023, the Court granted preliminary approval of the proposed Derivative Settlement, approved various notices to be disseminated to the Company’s stockholders and the schedule for dissemination. On April 11, 2023, the Court issued final judgment approving the Derivative Settlement. The Company released the accrued liability and corresponding receivable for attorneys’ fees as of March 31, 2023. Pursuant to the terms of the Derivative Settlement, the Company is required to implement certain governance changes by May 11,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b w:val="1"/>
          <w:bCs w:val="1"/>
          <w:color w:val="auto"/>
        </w:rPr>
        <w:t xml:space="preserve">SmartSky Litigation </w:t>
      </w:r>
      <w:r>
        <w:rPr>
          <w:rFonts w:ascii="Arial" w:cs="Arial" w:eastAsia="Arial" w:hAnsi="Arial"/>
          <w:sz w:val="16"/>
          <w:szCs w:val="16"/>
          <w:color w:val="auto"/>
        </w:rPr>
        <w:t>– On February 28, 2022, SmartSky Networks, LLC brought suit against Gogo Inc. and its subsidiary Gogo Business Aviation</w:t>
      </w:r>
      <w:r>
        <w:rPr>
          <w:rFonts w:ascii="Arial" w:cs="Arial" w:eastAsia="Arial" w:hAnsi="Arial"/>
          <w:sz w:val="16"/>
          <w:szCs w:val="16"/>
          <w:b w:val="1"/>
          <w:bCs w:val="1"/>
          <w:color w:val="auto"/>
        </w:rPr>
        <w:t xml:space="preserve"> </w:t>
      </w:r>
      <w:r>
        <w:rPr>
          <w:rFonts w:ascii="Arial" w:cs="Arial" w:eastAsia="Arial" w:hAnsi="Arial"/>
          <w:sz w:val="16"/>
          <w:szCs w:val="16"/>
          <w:color w:val="auto"/>
        </w:rPr>
        <w:t>LLC in the U.S. District Court for the District of Delaware alleging that Gogo 5G infringes four patents owned by the plaintiff. On February 21, 2023, the plaintiff amended its complaint to allege that Gogo 5G infringes two additional patents recently issued to the plaintiff. The suit seeks an unspecified amount of compensatory damages as well as treble damages for alleged willful infringement and reimbursement of plaintiff's costs, disbursements and attorneys' fees. Under a schedule agreed upon by the parties, fact discovery and claim construction proceedings will be substantially completed by the end of 2023 or early 2024, and expert discovery by early-to-mid 2024, with dispositive motions to follow. A trial date has been scheduled for April 14, 2025. Also on February 28, 2022, the plaintiff filed a motion (the “PI Motion”) requesting that the Court preliminarily enjoin the Company from making, using, offering to sell or selling the Gogo 5G system. On September 26, 2022, the Court issued an order denying the PI Motion. The plaintiff has appealed the denial to the U.S. Court of Appeals for the Federal Circuit. Briefing for the appeal is complete and the appellate court scheduled the oral argument for June 5, 2023. We believe that the plaintiff’s claims are without merit and intend to continue to vigorously defend our position in the infringement suit and defend against the appeal. The outcomes of the appeal and the underlying litigation are inherently uncertain. No amounts have been accrued for any potential losses under this matter, as we cannot reasonably predict the outcome of the litigation or any potential losses.</w:t>
      </w:r>
    </w:p>
    <w:p>
      <w:pPr>
        <w:spacing w:after="0" w:line="200" w:lineRule="exact"/>
        <w:rPr>
          <w:sz w:val="20"/>
          <w:szCs w:val="20"/>
          <w:color w:val="auto"/>
        </w:rPr>
      </w:pPr>
    </w:p>
    <w:p>
      <w:pPr>
        <w:spacing w:after="0" w:line="28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effective income tax rates for the three-month periods ended March 31, 2023 and 2022 were 17.7% and 8.0%, respectively. For the three-month period ended March 31, 2023, our effective income tax rate was lower than the U.S. federal statutory rate of 21% primarily due to a partial release of the valuation allowance on our deferred income tax assets and tax benefits for research and development tax credits and stock-based compensation, partially offset by state income taxes. For the three-month period ended March 31, 2022, our effective income tax rate was lower than the U.S. federal statutory rate of 21% primarily due to tax benefits for stock-based compensation and a partial release of the valuation allowance on our deferred income tax assets.</w:t>
      </w:r>
    </w:p>
    <w:p>
      <w:pPr>
        <w:spacing w:after="0" w:line="5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The remaining valuation allowance is still required for deferred income tax assets related to certain state and foreign net operating losses (“NOLs”), capital losses, and the Section 163(j) interest limitation carryforward as it was more likely than not as of March 31, 2023 that these deferred income tax assets will not be realized. However, if we continue to sustain our current operating performance, additional reversals of our valuation allowance could occur in fiscal year 2023.</w:t>
      </w:r>
    </w:p>
    <w:p>
      <w:pPr>
        <w:spacing w:after="0" w:line="57"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We are subject to taxation and file income tax returns in the United States federal jurisdiction and many states and Canada. With few exceptions, as of March 31, 2023 we are no longer subject to U.S. federal, state, local or foreign examinations by tax authorities for years before 2019.</w:t>
      </w:r>
    </w:p>
    <w:p>
      <w:pPr>
        <w:spacing w:after="0" w:line="17"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three-month periods ended March 31, 2023 and 2022. As of March 31, 2023 and December 31, 2022, we did not have a liability recorded for interest or potential penalties.</w:t>
      </w:r>
    </w:p>
    <w:p>
      <w:pPr>
        <w:spacing w:after="0" w:line="14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401(k) Plan</w:t>
      </w:r>
    </w:p>
    <w:p>
      <w:pPr>
        <w:spacing w:after="0" w:line="117" w:lineRule="exact"/>
        <w:rPr>
          <w:sz w:val="20"/>
          <w:szCs w:val="20"/>
          <w:color w:val="auto"/>
        </w:rPr>
      </w:pPr>
    </w:p>
    <w:p>
      <w:pPr>
        <w:ind w:right="180" w:firstLine="509"/>
        <w:spacing w:after="0" w:line="265" w:lineRule="auto"/>
        <w:rPr>
          <w:sz w:val="20"/>
          <w:szCs w:val="20"/>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As of March 31, 2023, we maintained three stock-based incentive compensation plans (“Stock Plans”),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Stock Purchase Plan (“ESPP”). See Note 14, “Stock-Based Compensation and 401(k) Plan,” in our 2022 10-K for further information regarding these plans. The majority of our equity grants are awarded on an annual basis.</w:t>
      </w:r>
    </w:p>
    <w:p>
      <w:pPr>
        <w:spacing w:after="0" w:line="7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For the three-month period ended March 31, 2023, no options to purchase shares of common stock were granted, options to purchase 68,520 shares of common stock were exercised, 1,875 options to purchase shares of common stock were forfeited and no options to purchase shares of common stock expired.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For the three-month period ended March 31, 2023, 1,346,428 Restricted Stock Units (“RSUs”) were granted, 1,013,614 RSUs vested and 40,561 RSUs were forfeited. The fair value of the RSUs granted during the three-month period ended March 31, 2023 was approximately $22.3 million, which will generally be recognized over a period of four years.</w:t>
      </w:r>
    </w:p>
    <w:p>
      <w:pPr>
        <w:spacing w:after="0" w:line="75"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For the three-month period ended March 31, 2023, 31,804 deferred stock units were granted and 55,999 vested. The fair value of the deferred stock units granted during the three-month period ended March 31, 2023 was approximately $0.5 million, which was recognized immediately.</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three-month period ended March 31, 2023, 12,582 shares of common stock were issued under the ESPP.</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5,041</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jc w:val="both"/>
        <w:ind w:right="520" w:firstLine="509"/>
        <w:spacing w:after="0" w:line="288" w:lineRule="auto"/>
        <w:rPr>
          <w:sz w:val="20"/>
          <w:szCs w:val="20"/>
          <w:color w:val="auto"/>
        </w:rPr>
      </w:pPr>
      <w:r>
        <w:rPr>
          <w:rFonts w:ascii="Arial" w:cs="Arial" w:eastAsia="Arial" w:hAnsi="Arial"/>
          <w:sz w:val="17"/>
          <w:szCs w:val="17"/>
          <w:b w:val="1"/>
          <w:bCs w:val="1"/>
          <w:color w:val="auto"/>
        </w:rPr>
        <w:t xml:space="preserve">401(k) Plan — </w:t>
      </w:r>
      <w:r>
        <w:rPr>
          <w:rFonts w:ascii="Arial" w:cs="Arial" w:eastAsia="Arial" w:hAnsi="Arial"/>
          <w:sz w:val="17"/>
          <w:szCs w:val="17"/>
          <w:color w:val="auto"/>
        </w:rPr>
        <w:t>Under our 401(k) plan, all employees who are eligible to participate are entitled to make tax-deferred contributions,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Revenue Service limitations. We match 100% of the employee’s first 4% of contributions made, subject to annual limitations. Our matching contributions were $0.5 million for both three-month periods ended March 31, 2023 and 2022.</w:t>
      </w:r>
    </w:p>
    <w:p>
      <w:pPr>
        <w:spacing w:after="0" w:line="15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Expenditures for research and development are charged to expense as incurred and totaled $7.9 million and $5.4 million, respectively, during the three-month periods ended March 31, 2023 and 2022. Research and development costs are reported as Engineering, design and development expenses in our Unaudited Condensed Consolidated Statements of Operations.</w:t>
      </w:r>
    </w:p>
    <w:p>
      <w:pPr>
        <w:spacing w:after="0" w:line="17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is a summary of changes in accumulated other comprehensive income (loss) by component </w:t>
      </w: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22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31,353</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(2,439 )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(2,364 )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Net current period comprehensive income (loss)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(7,160 </w:t>
            </w:r>
            <w:r>
              <w:rPr>
                <w:rFonts w:ascii="Arial" w:cs="Arial" w:eastAsia="Arial" w:hAnsi="Arial"/>
                <w:sz w:val="18"/>
                <w:szCs w:val="18"/>
                <w:color w:val="auto"/>
                <w:highlight w:val="white"/>
              </w:rPr>
              <w:t>)</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(7,085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24,193</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23,043</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22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16,164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income realized and reclassified to earnings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current period comprehensive income (loss)</w:t>
            </w: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16,172</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2"/>
        </w:trPr>
        <w:tc>
          <w:tcPr>
            <w:tcW w:w="1140" w:type="dxa"/>
            <w:vAlign w:val="bottom"/>
          </w:tcPr>
          <w:p>
            <w:pPr>
              <w:spacing w:after="0"/>
              <w:rPr>
                <w:sz w:val="24"/>
                <w:szCs w:val="24"/>
                <w:color w:val="auto"/>
              </w:rPr>
            </w:pPr>
          </w:p>
        </w:tc>
        <w:tc>
          <w:tcPr>
            <w:tcW w:w="5320" w:type="dxa"/>
            <w:vAlign w:val="bottom"/>
          </w:tcPr>
          <w:p>
            <w:pPr>
              <w:ind w:left="44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-2251075</wp:posOffset>
            </wp:positionV>
            <wp:extent cx="5969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-1925955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-1908810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-1925955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-1908810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-1925955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-1908810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-847090</wp:posOffset>
            </wp:positionV>
            <wp:extent cx="5969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-847090</wp:posOffset>
            </wp:positionV>
            <wp:extent cx="5143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-847090</wp:posOffset>
            </wp:positionV>
            <wp:extent cx="5143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-521970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-504825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-521970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-504825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Assistance</w:t>
      </w:r>
    </w:p>
    <w:p>
      <w:pPr>
        <w:spacing w:after="0" w:line="121"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b w:val="1"/>
          <w:bCs w:val="1"/>
          <w:i w:val="1"/>
          <w:iCs w:val="1"/>
          <w:color w:val="auto"/>
        </w:rPr>
        <w:t>Federal Communications Commission's ("FCC") Secure and Trusted Communications Networks Reimbursement Program (the “FCC Reimbursement Program”)</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If Congress appropriates additional funds for this purpose, the allocations of the Company and other approved applicants will be increased </w:t>
      </w:r>
      <w:r>
        <w:rPr>
          <w:rFonts w:ascii="Arial" w:cs="Arial" w:eastAsia="Arial" w:hAnsi="Arial"/>
          <w:sz w:val="16"/>
          <w:szCs w:val="16"/>
          <w:i w:val="1"/>
          <w:iCs w:val="1"/>
          <w:color w:val="auto"/>
        </w:rPr>
        <w:t>pro rata</w:t>
      </w:r>
      <w:r>
        <w:rPr>
          <w:rFonts w:ascii="Arial" w:cs="Arial" w:eastAsia="Arial" w:hAnsi="Arial"/>
          <w:sz w:val="16"/>
          <w:szCs w:val="16"/>
          <w:color w:val="auto"/>
        </w:rPr>
        <w:t>. Program participants are subject to a number of conditions and requirements under the FCC’s rules including a requirement that they submit their first reimbursement request by July 15, 2023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While the Company reserves the right not to proceed as it has until July 15, 2023 to submit its first reimbursement claim, at the end of the first quarter of 2023, the Company determined that it will participate in the partially funded FCC Reimbursement Program. We are currently assessing the impact of this program on our financial statements and as of March 31, 2023, we have not recorded a receivable from the FCC related to the FCC Reimbursement Program.</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8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7"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to generate revenue from the provision of our connectivity services;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deploy Gogo 5G, Global Broadband or other next generation technologies;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expand our business outside of the United States;</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pandemics or other outbreaks of contagious diseases, including the COVID-19 pandemic, and the measures implemented to combat them;</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global supply chain and logistics issues and increasing inflation;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reliance on third parties for equipment components and services;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16"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rights to use our licensed 3Mhz of ATG spectrum in the United States and obtain rights to additional spectrum if needed;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use of open-source software;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equipment failure or material defects or errors in our software;</w:t>
      </w:r>
    </w:p>
    <w:p>
      <w:pPr>
        <w:spacing w:after="0" w:line="116"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service interruptions or delays, technology failures, equipment damage or system disruptions or failures, including any arising from cyber-attacks;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innovate and provide products and services;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participation in the Federal Communications Commission’s (“FCC”) Reimbursement Program;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applicable foreign ownership limitations;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 and conflict minerals;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anti-bribery, anti-corruption and anti-money laundering laws;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possession and use of personal information;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expenses, liabilities or business disruptions resulting from litigation;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global climate change and legal, regulatory or market responses to it;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3" w:name="page24"/>
    <w:bookmarkEnd w:id="23"/>
    <w:p>
      <w:pPr>
        <w:ind w:left="1020" w:right="2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limitations and restrictions in the agreements governing our current and future indebtedness and our ability to service our indebtedness;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fully utilize portions of our deferred income tax assets; and</w:t>
      </w:r>
    </w:p>
    <w:p>
      <w:pPr>
        <w:spacing w:after="0" w:line="116" w:lineRule="exact"/>
        <w:rPr>
          <w:rFonts w:ascii="Arial" w:cs="Arial" w:eastAsia="Arial" w:hAnsi="Arial"/>
          <w:sz w:val="18"/>
          <w:szCs w:val="18"/>
          <w:color w:val="auto"/>
        </w:rPr>
      </w:pPr>
    </w:p>
    <w:p>
      <w:pPr>
        <w:jc w:val="both"/>
        <w:ind w:left="1020" w:right="20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in our Annual Report on Form 10-K for the year ended December 31, 2022, as filed with the Securities and Exchange Commission (the “SEC”) on February 28, 2023 (the “2022 10-K”) and in Item 1A of this Quarterly Report on Form 10-Q.</w:t>
      </w:r>
    </w:p>
    <w:p>
      <w:pPr>
        <w:spacing w:after="0" w:line="75"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8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5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2022 10-K and in Item 1A and “Special Note Regarding Forward-Looking Statements” in this Quarterly Report on Form 10-Q. Our actual results may differ materially from those contained in or implied by any forward-looking statements.</w:t>
      </w:r>
    </w:p>
    <w:p>
      <w:pPr>
        <w:spacing w:after="0" w:line="79" w:lineRule="exact"/>
        <w:rPr>
          <w:sz w:val="20"/>
          <w:szCs w:val="20"/>
          <w:color w:val="auto"/>
        </w:rPr>
      </w:pPr>
    </w:p>
    <w:p>
      <w:pPr>
        <w:ind w:right="160" w:firstLine="509"/>
        <w:spacing w:after="0" w:line="281"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fourth quarter of 2023.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(“Global Broadband”). The service will use an electronically steered antenna (“ESA”), specifically designed to address a broad range of business aviation aircraft, operating on a low earth orbit (“LEO”) satellite network and is targeted for commercial launch in the second half of 2024.</w:t>
      </w:r>
    </w:p>
    <w:p>
      <w:pPr>
        <w:spacing w:after="0" w:line="66"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5" w:lineRule="exact"/>
        <w:rPr>
          <w:sz w:val="20"/>
          <w:szCs w:val="20"/>
          <w:color w:val="auto"/>
        </w:rPr>
      </w:pPr>
    </w:p>
    <w:p>
      <w:pPr>
        <w:ind w:left="1020" w:right="160" w:hanging="504"/>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including upgrades to and installation of the ATG technologies we currently offer, Gogo 5G, Global Broadband and any other next generation or other new technology;</w:t>
      </w:r>
    </w:p>
    <w:p>
      <w:pPr>
        <w:spacing w:after="0" w:line="74" w:lineRule="exact"/>
        <w:rPr>
          <w:rFonts w:ascii="Arial" w:cs="Arial" w:eastAsia="Arial" w:hAnsi="Arial"/>
          <w:sz w:val="18"/>
          <w:szCs w:val="18"/>
          <w:color w:val="auto"/>
        </w:rPr>
      </w:pPr>
    </w:p>
    <w:p>
      <w:pPr>
        <w:ind w:left="1020" w:right="300" w:hanging="504"/>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or satellite network providers, some of which are single-source;</w:t>
      </w:r>
    </w:p>
    <w:p>
      <w:pPr>
        <w:spacing w:after="0" w:line="74"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supply chains and installations, including shortages of electronic components that have resulted in longer lead times and delays in obtaining certain electronic components used in the airborne equipment that we manufacture;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left="1020" w:right="440" w:hanging="504"/>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fully utilize portions of our deferred income tax assets;</w:t>
      </w:r>
    </w:p>
    <w:p>
      <w:pPr>
        <w:spacing w:after="0" w:line="116" w:lineRule="exact"/>
        <w:rPr>
          <w:rFonts w:ascii="Arial" w:cs="Arial" w:eastAsia="Arial" w:hAnsi="Arial"/>
          <w:sz w:val="18"/>
          <w:szCs w:val="18"/>
          <w:color w:val="auto"/>
        </w:rPr>
      </w:pPr>
    </w:p>
    <w:p>
      <w:pPr>
        <w:ind w:left="1020" w:right="40" w:hanging="504"/>
        <w:spacing w:after="0" w:line="31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Global Broadband, expand our service offerings and manage our network; and</w:t>
      </w:r>
    </w:p>
    <w:p>
      <w:pPr>
        <w:spacing w:after="0" w:line="39" w:lineRule="exact"/>
        <w:rPr>
          <w:rFonts w:ascii="Arial" w:cs="Arial" w:eastAsia="Arial" w:hAnsi="Arial"/>
          <w:sz w:val="16"/>
          <w:szCs w:val="16"/>
          <w:color w:val="auto"/>
        </w:rPr>
      </w:pPr>
    </w:p>
    <w:p>
      <w:pPr>
        <w:ind w:left="1020" w:right="180" w:hanging="504"/>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88"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9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ATG</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Narrowband satellite</w:t>
            </w: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Average monthly connectivity service revenue per aircraft online</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ATG</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Narrowband satellite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ATG</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Narrowband satellite</w:t>
            </w: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ATG</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Narrowband satellite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bl>
    <w:p>
      <w:pPr>
        <w:spacing w:after="0" w:line="120" w:lineRule="exact"/>
        <w:rPr>
          <w:sz w:val="20"/>
          <w:szCs w:val="20"/>
          <w:color w:val="auto"/>
        </w:rPr>
      </w:pPr>
    </w:p>
    <w:p>
      <w:pPr>
        <w:ind w:left="1020" w:right="40" w:hanging="503"/>
        <w:spacing w:after="0" w:line="34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ATG aircraft online. </w:t>
      </w:r>
      <w:r>
        <w:rPr>
          <w:rFonts w:ascii="Arial" w:cs="Arial" w:eastAsia="Arial" w:hAnsi="Arial"/>
          <w:sz w:val="16"/>
          <w:szCs w:val="16"/>
          <w:color w:val="auto"/>
        </w:rPr>
        <w:t>We define ATG aircraft online as the total number of business aircraft for which we provide ATG services as of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day of each period presented. This number excludes commercial aircraft operated by Intelsat’s airline customers receiving ATG service.</w:t>
      </w:r>
    </w:p>
    <w:p>
      <w:pPr>
        <w:spacing w:after="0" w:line="16" w:lineRule="exact"/>
        <w:rPr>
          <w:rFonts w:ascii="Arial" w:cs="Arial" w:eastAsia="Arial" w:hAnsi="Arial"/>
          <w:sz w:val="16"/>
          <w:szCs w:val="16"/>
          <w:color w:val="auto"/>
        </w:rPr>
      </w:pPr>
    </w:p>
    <w:p>
      <w:pPr>
        <w:ind w:left="1020" w:right="3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Narrowband satellite aircraft online</w:t>
      </w:r>
      <w:r>
        <w:rPr>
          <w:rFonts w:ascii="Arial" w:cs="Arial" w:eastAsia="Arial" w:hAnsi="Arial"/>
          <w:sz w:val="18"/>
          <w:szCs w:val="18"/>
          <w:color w:val="auto"/>
        </w:rPr>
        <w:t>. We define narrowband satellite aircraft online as the total number of business aircraft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narrowband satellite services as of the last day of each period presented.</w:t>
      </w:r>
    </w:p>
    <w:p>
      <w:pPr>
        <w:spacing w:after="0" w:line="61"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Average monthly connectivity service revenue per ATG aircraft online. </w:t>
      </w:r>
      <w:r>
        <w:rPr>
          <w:rFonts w:ascii="Arial" w:cs="Arial" w:eastAsia="Arial" w:hAnsi="Arial"/>
          <w:sz w:val="18"/>
          <w:szCs w:val="18"/>
          <w:color w:val="auto"/>
        </w:rPr>
        <w:t>We define average monthly connectivity service revenue per ATG</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77"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Average monthly connectivity service revenue per narrowband satellite aircraft online</w:t>
      </w:r>
      <w:r>
        <w:rPr>
          <w:rFonts w:ascii="Arial" w:cs="Arial" w:eastAsia="Arial" w:hAnsi="Arial"/>
          <w:sz w:val="18"/>
          <w:szCs w:val="18"/>
          <w:color w:val="auto"/>
        </w:rPr>
        <w:t>. We define average monthly connectivity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Units sold</w:t>
      </w:r>
      <w:r>
        <w:rPr>
          <w:rFonts w:ascii="Arial" w:cs="Arial" w:eastAsia="Arial" w:hAnsi="Arial"/>
          <w:sz w:val="16"/>
          <w:szCs w:val="16"/>
          <w:color w:val="auto"/>
        </w:rPr>
        <w:t>. We define units sold as the number of ATG or narrowband satellite units for which we recognized revenue during the period.</w:t>
      </w:r>
    </w:p>
    <w:p>
      <w:pPr>
        <w:spacing w:after="0" w:line="139"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6" w:name="page27"/>
    <w:bookmarkEnd w:id="26"/>
    <w:p>
      <w:pPr>
        <w:ind w:left="1020" w:right="18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Average equipment revenue per narrowband satellite unit sold</w:t>
      </w:r>
      <w:r>
        <w:rPr>
          <w:rFonts w:ascii="Arial" w:cs="Arial" w:eastAsia="Arial" w:hAnsi="Arial"/>
          <w:sz w:val="18"/>
          <w:szCs w:val="18"/>
          <w:color w:val="auto"/>
        </w:rPr>
        <w:t>. We define average equipment revenue per narrowband satellite unit sold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equipment revenue earned from all narrowband satellite units sold during the period, divided by the number of narrowband satellite units sold.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500" w:firstLine="509"/>
        <w:spacing w:after="0" w:line="307" w:lineRule="auto"/>
        <w:rPr>
          <w:sz w:val="20"/>
          <w:szCs w:val="20"/>
          <w:color w:val="auto"/>
        </w:rPr>
      </w:pPr>
      <w:r>
        <w:rPr>
          <w:rFonts w:ascii="Arial" w:cs="Arial" w:eastAsia="Arial" w:hAnsi="Arial"/>
          <w:sz w:val="17"/>
          <w:szCs w:val="17"/>
          <w:color w:val="auto"/>
        </w:rPr>
        <w:t>There have been no material changes to our key components of Unaudited Condensed Consolidated Statements of Operations as described in “Management’s Discussion and Analysis of Financial Condition and Results of Operations” (“MD&amp;A”) in our 2022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75"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our critical accounting estimates described in the MD&amp;A in our 2022 10-K.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All recently issued ASUs were assessed and determined to be either not applicable or expected to have minimal impact on our Unaudited Condensed Consolidated Financial Statements.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Three Months</w:t>
      </w:r>
    </w:p>
    <w:p>
      <w:pPr>
        <w:jc w:val="center"/>
        <w:ind w:left="760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54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78,499</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70,667</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Equipment revenue</w:t>
            </w:r>
          </w:p>
        </w:tc>
        <w:tc>
          <w:tcPr>
            <w:tcW w:w="25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20,098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2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98,597</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92,750</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Cost of service revenue (exclusive of amounts shown below)</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16,797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tcPr>
          <w:p>
            <w:pPr>
              <w:spacing w:after="0"/>
              <w:rPr>
                <w:sz w:val="20"/>
                <w:szCs w:val="20"/>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Cost of equipment revenue (exclusive of amounts shown below)</w:t>
            </w:r>
          </w:p>
        </w:tc>
        <w:tc>
          <w:tcPr>
            <w:tcW w:w="2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18,126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Engineering, design and development</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0"/>
                <w:szCs w:val="20"/>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2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14,199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5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66,669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57,801</w:t>
            </w: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31,928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(1,916 )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(47 )</w:t>
            </w: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2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r>
      <w:tr>
        <w:trPr>
          <w:trHeight w:val="238"/>
        </w:trPr>
        <w:tc>
          <w:tcPr>
            <w:tcW w:w="518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other expense</w:t>
            </w:r>
          </w:p>
        </w:tc>
        <w:tc>
          <w:tcPr>
            <w:tcW w:w="256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top w:val="single" w:sz="8" w:color="CFF0FC"/>
            </w:tcBorders>
          </w:tcPr>
          <w:p>
            <w:pPr>
              <w:spacing w:after="0"/>
              <w:rPr>
                <w:sz w:val="20"/>
                <w:szCs w:val="20"/>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24,837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24,133</w:t>
            </w:r>
          </w:p>
        </w:tc>
        <w:tc>
          <w:tcPr>
            <w:tcW w:w="100" w:type="dxa"/>
            <w:vAlign w:val="bottom"/>
            <w:shd w:val="clear" w:color="auto" w:fill="CFF0FC"/>
          </w:tcPr>
          <w:p>
            <w:pPr>
              <w:spacing w:after="0"/>
              <w:rPr>
                <w:sz w:val="20"/>
                <w:szCs w:val="20"/>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2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0"/>
                <w:szCs w:val="20"/>
                <w:color w:val="auto"/>
              </w:rPr>
            </w:pPr>
          </w:p>
        </w:tc>
      </w:tr>
      <w:tr>
        <w:trPr>
          <w:trHeight w:val="278"/>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20,449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5180" w:type="dxa"/>
            <w:vAlign w:val="bottom"/>
          </w:tcPr>
          <w:p>
            <w:pPr>
              <w:spacing w:after="0"/>
              <w:rPr>
                <w:sz w:val="24"/>
                <w:szCs w:val="24"/>
                <w:color w:val="auto"/>
              </w:rPr>
            </w:pPr>
          </w:p>
        </w:tc>
        <w:tc>
          <w:tcPr>
            <w:tcW w:w="2560" w:type="dxa"/>
            <w:vAlign w:val="bottom"/>
          </w:tcPr>
          <w:p>
            <w:pPr>
              <w:jc w:val="right"/>
              <w:ind w:right="1930"/>
              <w:spacing w:after="0"/>
              <w:rPr>
                <w:sz w:val="20"/>
                <w:szCs w:val="20"/>
                <w:color w:val="auto"/>
              </w:rPr>
            </w:pPr>
            <w:r>
              <w:rPr>
                <w:rFonts w:ascii="Arial" w:cs="Arial" w:eastAsia="Arial" w:hAnsi="Arial"/>
                <w:sz w:val="18"/>
                <w:szCs w:val="18"/>
                <w:color w:val="auto"/>
              </w:rPr>
              <w:t>27</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-3364230</wp:posOffset>
            </wp:positionV>
            <wp:extent cx="7683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-3364230</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-2114550</wp:posOffset>
            </wp:positionV>
            <wp:extent cx="7683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-1788795</wp:posOffset>
            </wp:positionV>
            <wp:extent cx="7683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-1163955</wp:posOffset>
            </wp:positionV>
            <wp:extent cx="768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-521970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Three Months Ended March 31, 2023 and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Revenue and percent change for the three-month periods ended March 31, 2023 and 2022 were as follows </w:t>
      </w:r>
      <w:r>
        <w:rPr>
          <w:rFonts w:ascii="Arial" w:cs="Arial" w:eastAsia="Arial" w:hAnsi="Arial"/>
          <w:sz w:val="16"/>
          <w:szCs w:val="16"/>
          <w:i w:val="1"/>
          <w:iCs w:val="1"/>
          <w:color w:val="auto"/>
        </w:rPr>
        <w:t>(in thousands, except for percent change)</w:t>
      </w:r>
      <w:r>
        <w:rPr>
          <w:rFonts w:ascii="Arial" w:cs="Arial" w:eastAsia="Arial" w:hAnsi="Arial"/>
          <w:sz w:val="16"/>
          <w:szCs w:val="16"/>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For the Three Months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vMerge w:val="restart"/>
          </w:tcPr>
          <w:p>
            <w:pPr>
              <w:jc w:val="right"/>
              <w:ind w:right="6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 over 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78,499</w:t>
            </w:r>
          </w:p>
        </w:tc>
        <w:tc>
          <w:tcPr>
            <w:tcW w:w="3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70,667</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720" w:type="dxa"/>
            <w:vAlign w:val="bottom"/>
          </w:tcPr>
          <w:p>
            <w:pPr>
              <w:ind w:left="20"/>
              <w:spacing w:after="0"/>
              <w:rPr>
                <w:sz w:val="20"/>
                <w:szCs w:val="20"/>
                <w:color w:val="auto"/>
              </w:rPr>
            </w:pPr>
            <w:r>
              <w:rPr>
                <w:rFonts w:ascii="Arial" w:cs="Arial" w:eastAsia="Arial" w:hAnsi="Arial"/>
                <w:sz w:val="18"/>
                <w:szCs w:val="18"/>
                <w:color w:val="auto"/>
              </w:rPr>
              <w:t>Equipment revenue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20,098</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22,083</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98,597</w:t>
            </w: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92,750</w:t>
            </w:r>
          </w:p>
        </w:tc>
        <w:tc>
          <w:tcPr>
            <w:tcW w:w="22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jc w:val="both"/>
        <w:ind w:right="200" w:firstLine="509"/>
        <w:spacing w:after="0" w:line="277" w:lineRule="auto"/>
        <w:rPr>
          <w:sz w:val="20"/>
          <w:szCs w:val="20"/>
          <w:color w:val="auto"/>
        </w:rPr>
      </w:pPr>
      <w:r>
        <w:rPr>
          <w:rFonts w:ascii="Arial" w:cs="Arial" w:eastAsia="Arial" w:hAnsi="Arial"/>
          <w:sz w:val="18"/>
          <w:szCs w:val="18"/>
          <w:color w:val="auto"/>
        </w:rPr>
        <w:t>Revenue increased to $98.6 million for the three-month period ended March 31, 2023, as compared with $92.8 million for the prior-year period due to an increase in service revenue, partially offset by a decrease in equipment revenue.</w:t>
      </w:r>
    </w:p>
    <w:p>
      <w:pPr>
        <w:spacing w:after="0" w:line="62"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Service revenue increased to $78.5 million for the three-month period ended March 31, 2023, as compared with $70.7 million for the prior-year period, primarily due to increases in ATG aircraft online and average monthly service revenue per aircraft online.</w:t>
      </w:r>
    </w:p>
    <w:p>
      <w:pPr>
        <w:spacing w:after="0" w:line="62"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Equipment revenue decreased to $20.1 million for the three-month period ended March 31, 2023, as compared with $22.1 million for the prior-year period, primarily due to decreases in the number of ATG units sold, with 223 units sold during the three-month period ended March 31, 2023 as compared with 246 units sold during the prior-year period.</w:t>
      </w:r>
    </w:p>
    <w:p>
      <w:pPr>
        <w:spacing w:after="0" w:line="75" w:lineRule="exact"/>
        <w:rPr>
          <w:sz w:val="20"/>
          <w:szCs w:val="20"/>
          <w:color w:val="auto"/>
        </w:rPr>
      </w:pPr>
    </w:p>
    <w:p>
      <w:pPr>
        <w:ind w:right="400" w:firstLine="509"/>
        <w:spacing w:after="0" w:line="311" w:lineRule="auto"/>
        <w:rPr>
          <w:sz w:val="20"/>
          <w:szCs w:val="20"/>
          <w:color w:val="auto"/>
        </w:rPr>
      </w:pPr>
      <w:r>
        <w:rPr>
          <w:rFonts w:ascii="Arial" w:cs="Arial" w:eastAsia="Arial" w:hAnsi="Arial"/>
          <w:sz w:val="16"/>
          <w:szCs w:val="16"/>
          <w:color w:val="auto"/>
        </w:rPr>
        <w:t>We expect service revenue to increase in the future as additional ATG aircraft come online and average monthly connectivity service revenue per ATG aircraft online increases, due in part to the expected impact of the launch of Gogo 5G. We expect equipment revenue to increase in the future as a larger number of ATG units, including Gogo 5G units, are sold. In addition, we expect further revenue growth as we launch Global Broadband.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 xml:space="preserve">Cost of revenue and percent change for the three-month periods ended March 31, 2023 and 2022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For the Three Months</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vMerge w:val="restart"/>
          </w:tcPr>
          <w:p>
            <w:pPr>
              <w:jc w:val="right"/>
              <w:ind w:right="5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Ended March 31,</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 over 2022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16,797</w:t>
            </w:r>
          </w:p>
        </w:tc>
        <w:tc>
          <w:tcPr>
            <w:tcW w:w="3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14,634</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740" w:type="dxa"/>
            <w:vAlign w:val="bottom"/>
          </w:tcPr>
          <w:p>
            <w:pPr>
              <w:ind w:left="20"/>
              <w:spacing w:after="0"/>
              <w:rPr>
                <w:sz w:val="20"/>
                <w:szCs w:val="20"/>
                <w:color w:val="auto"/>
              </w:rPr>
            </w:pPr>
            <w:r>
              <w:rPr>
                <w:rFonts w:ascii="Arial" w:cs="Arial" w:eastAsia="Arial" w:hAnsi="Arial"/>
                <w:sz w:val="18"/>
                <w:szCs w:val="18"/>
                <w:color w:val="auto"/>
              </w:rPr>
              <w:t>Cost of equipment revenue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18,126</w:t>
            </w:r>
          </w:p>
        </w:tc>
        <w:tc>
          <w:tcPr>
            <w:tcW w:w="8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14,281</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Cost of service revenue increased to $16.8 million for the three-month period ended March 31, 2023, as compared with $14.6 million for the prior-year period, primarily due to an increase in ATG network costs and increased personnel costs.</w:t>
      </w:r>
    </w:p>
    <w:p>
      <w:pPr>
        <w:spacing w:after="0" w:line="6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 In addition, we expect cost of service revenue to increase as we launch Global Broadband.</w:t>
      </w:r>
    </w:p>
    <w:p>
      <w:pPr>
        <w:spacing w:after="0" w:line="62"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Cost of equipment revenue increased to $18.1 million for the three-month period ended March 31, 2023, as compared with $14.3 million for the prior-year period, primarily due to additional costs related to the FCC Reimbursement Program and increased production costs, partially offset by a decrease in ATG units sold.</w:t>
      </w:r>
    </w:p>
    <w:p>
      <w:pPr>
        <w:spacing w:after="0" w:line="75"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We expect that our cost of equipment revenue will increase with growth in ATG units sold, including Gogo 5G units following the launch of that service, and Global Broadband units sold following the launch of that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260" w:firstLine="509"/>
        <w:spacing w:after="0" w:line="307" w:lineRule="auto"/>
        <w:rPr>
          <w:sz w:val="20"/>
          <w:szCs w:val="20"/>
          <w:color w:val="auto"/>
        </w:rPr>
      </w:pPr>
      <w:r>
        <w:rPr>
          <w:rFonts w:ascii="Arial" w:cs="Arial" w:eastAsia="Arial" w:hAnsi="Arial"/>
          <w:sz w:val="17"/>
          <w:szCs w:val="17"/>
          <w:color w:val="auto"/>
        </w:rPr>
        <w:t>Engineering, design and development expenses increased to $7.9 million for the three-month period ended March 31, 2023, as compared with $5.4 million for the prior-year period, primarily due to the Global Broadband development program and increased personnel costs.</w:t>
      </w:r>
    </w:p>
    <w:p>
      <w:pPr>
        <w:spacing w:after="0" w:line="39" w:lineRule="exact"/>
        <w:rPr>
          <w:sz w:val="20"/>
          <w:szCs w:val="20"/>
          <w:color w:val="auto"/>
        </w:rPr>
      </w:pPr>
    </w:p>
    <w:p>
      <w:pPr>
        <w:ind w:right="180" w:firstLine="509"/>
        <w:spacing w:after="0" w:line="307" w:lineRule="auto"/>
        <w:rPr>
          <w:sz w:val="20"/>
          <w:szCs w:val="20"/>
          <w:color w:val="auto"/>
        </w:rPr>
      </w:pPr>
      <w:r>
        <w:rPr>
          <w:rFonts w:ascii="Arial" w:cs="Arial" w:eastAsia="Arial" w:hAnsi="Arial"/>
          <w:sz w:val="17"/>
          <w:szCs w:val="17"/>
          <w:color w:val="auto"/>
        </w:rPr>
        <w:t>We expect engineering, design and development expenses as a percentage of service revenue to increase through 2024, driven by Global Broadband development costs and Gogo 5G program spend, and decrease thereafter as the level of investment decreases and revenue increases.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Sales and marketing expenses increased to $6.9 million for the three-month period ended March 31, 2023, as compared with $6.2 million for the prior-year period, primarily due to increased personnel costs.</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5"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We expect sales and marketing expenses as a percentage of service revenue to remain relatively flat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General and administrative expenses increased to $14.2 million for the three-month period ended March 31, 2023, as compared with $13.5 million for the prior-year period, primarily due to an increase in personnel costs.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general and administrative expenses as a percentage of service revenue to decrease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Depreciation and amortization expense decreased to $2.8 million for three-month period ended March 31, 2023, as compared with $3.8 million for the prior-year period, primarily due to decreased amortization expense for capitalized software.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ind w:right="280" w:firstLine="509"/>
        <w:spacing w:after="0" w:line="258" w:lineRule="auto"/>
        <w:rPr>
          <w:sz w:val="20"/>
          <w:szCs w:val="20"/>
          <w:color w:val="auto"/>
        </w:rPr>
      </w:pPr>
      <w:r>
        <w:rPr>
          <w:rFonts w:ascii="Arial" w:cs="Arial" w:eastAsia="Arial" w:hAnsi="Arial"/>
          <w:sz w:val="18"/>
          <w:szCs w:val="18"/>
          <w:color w:val="auto"/>
        </w:rPr>
        <w:t xml:space="preserve">Other expense (income) and percent change for the three-month periods ended March 31, 2023 and 2022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0"/>
        </w:trPr>
        <w:tc>
          <w:tcPr>
            <w:tcW w:w="6620" w:type="dxa"/>
            <w:vAlign w:val="bottom"/>
          </w:tcPr>
          <w:p>
            <w:pPr>
              <w:spacing w:after="0"/>
              <w:rPr>
                <w:sz w:val="12"/>
                <w:szCs w:val="12"/>
                <w:color w:val="auto"/>
              </w:rPr>
            </w:pPr>
          </w:p>
        </w:tc>
        <w:tc>
          <w:tcPr>
            <w:tcW w:w="3100" w:type="dxa"/>
            <w:vAlign w:val="bottom"/>
            <w:gridSpan w:val="6"/>
          </w:tcPr>
          <w:p>
            <w:pPr>
              <w:jc w:val="right"/>
              <w:ind w:right="901"/>
              <w:spacing w:after="0" w:line="140" w:lineRule="exact"/>
              <w:rPr>
                <w:sz w:val="20"/>
                <w:szCs w:val="20"/>
                <w:color w:val="auto"/>
              </w:rPr>
            </w:pPr>
            <w:r>
              <w:rPr>
                <w:rFonts w:ascii="Arial" w:cs="Arial" w:eastAsia="Arial" w:hAnsi="Arial"/>
                <w:sz w:val="14"/>
                <w:szCs w:val="14"/>
                <w:b w:val="1"/>
                <w:bCs w:val="1"/>
                <w:color w:val="auto"/>
              </w:rPr>
              <w:t>For the Three Months</w:t>
            </w:r>
          </w:p>
        </w:tc>
        <w:tc>
          <w:tcPr>
            <w:tcW w:w="1620" w:type="dxa"/>
            <w:vAlign w:val="bottom"/>
            <w:gridSpan w:val="2"/>
            <w:vMerge w:val="restart"/>
          </w:tcPr>
          <w:p>
            <w:pPr>
              <w:jc w:val="right"/>
              <w:ind w:right="4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 over 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(1,916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3976.6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6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8,976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(26 )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(219.2 )%</w:t>
            </w:r>
          </w:p>
        </w:tc>
        <w:tc>
          <w:tcPr>
            <w:tcW w:w="0" w:type="dxa"/>
            <w:vAlign w:val="bottom"/>
          </w:tcPr>
          <w:p>
            <w:pPr>
              <w:spacing w:after="0"/>
              <w:rPr>
                <w:sz w:val="1"/>
                <w:szCs w:val="1"/>
                <w:color w:val="auto"/>
              </w:rPr>
            </w:pPr>
          </w:p>
        </w:tc>
      </w:tr>
      <w:tr>
        <w:trPr>
          <w:trHeight w:val="27"/>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7,091</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10,816</w:t>
            </w:r>
          </w:p>
        </w:tc>
        <w:tc>
          <w:tcPr>
            <w:tcW w:w="2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4965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496570"/>
                    </a:xfrm>
                    <a:prstGeom prst="rect">
                      <a:avLst/>
                    </a:prstGeom>
                    <a:noFill/>
                  </pic:spPr>
                </pic:pic>
              </a:graphicData>
            </a:graphic>
          </wp:anchor>
        </w:drawing>
      </w:r>
    </w:p>
    <w:p>
      <w:pPr>
        <w:spacing w:after="0" w:line="316"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Total other expense decreased to $7.1 million for the three-month period ended March 31, 2023, as compared with $10.8 million for the prior-year period, primarily due to a decrease in interest expense as a result of the 2022 Convertible Notes no longer being outstanding during the current-year period and an increase in interest income.</w:t>
      </w:r>
    </w:p>
    <w:p>
      <w:pPr>
        <w:spacing w:after="0" w:line="75"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We expect our interest expense to decrease in the future as we paid $100 million of the outstanding principal amount of the Term Loan Facility on May 3, 2023. This decrease could be impacted by fluctuations with changes in the variable rates associated with the Facilities, with increases partially offset by the impact of our interest rate caps. See Note 6, “Long-Term Debt and Other Liabilities,” to our Unaudited Condensed Consolidated Financial Statements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20" w:firstLine="509"/>
        <w:spacing w:after="0" w:line="287" w:lineRule="auto"/>
        <w:rPr>
          <w:sz w:val="20"/>
          <w:szCs w:val="20"/>
          <w:color w:val="auto"/>
        </w:rPr>
      </w:pPr>
      <w:r>
        <w:rPr>
          <w:rFonts w:ascii="Arial" w:cs="Arial" w:eastAsia="Arial" w:hAnsi="Arial"/>
          <w:sz w:val="16"/>
          <w:szCs w:val="16"/>
          <w:color w:val="auto"/>
        </w:rPr>
        <w:t>The effective income tax rate for the three-month period ended March 31, 2023 was 17.7%, as compared with 8.0% for the prior-year period. For the three-month period ended March 31, 2023, our income tax expense was $4.4 million, primarily due to pre-tax income, partially offset by the partial release of the valuation allowance on our deferred income tax assets and the tax benefits for research and development tax credits and stock-based compensation.</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three-month period ended March 31, 2022, our income tax expense was $1.9 million, primarily due to pre-tax income, partially offset by the tax benefits for stock-based compensation and a partial release of the valuation allowance on our deferred income tax assets. See Note 12, “Income Tax,” to our Unaudited Condensed Consolidated Financial Statements for additional information.</w:t>
      </w:r>
    </w:p>
    <w:p>
      <w:pPr>
        <w:spacing w:after="0" w:line="81"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We expect our income tax provision to increase in the long term as we continue to generate positive pre-tax income, which we expect to be at least partially offset by reversals of our valuation allowance in fiscal year 2023. We expect cash tax payments to be immaterial for an extended period of time, subject to the availability of our net operating loss carryforward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w:t>
      </w:r>
    </w:p>
    <w:p>
      <w:pPr>
        <w:spacing w:after="0" w:line="1" w:lineRule="exact"/>
        <w:rPr>
          <w:sz w:val="20"/>
          <w:szCs w:val="20"/>
          <w:color w:val="auto"/>
        </w:rPr>
      </w:pPr>
    </w:p>
    <w:p>
      <w:pPr>
        <w:ind w:right="360" w:firstLine="8"/>
        <w:spacing w:after="0" w:line="322"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use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30" w:name="page31"/>
    <w:bookmarkEnd w:id="30"/>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attributable to common stock before interest expense, interest income, income taxes and depreciation and amortization expense.</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stock-based compensation expense.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6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83"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75" w:lineRule="exact"/>
        <w:rPr>
          <w:sz w:val="20"/>
          <w:szCs w:val="20"/>
          <w:color w:val="auto"/>
        </w:rPr>
      </w:pPr>
    </w:p>
    <w:p>
      <w:pPr>
        <w:ind w:right="560" w:firstLine="562"/>
        <w:spacing w:after="0" w:line="277"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plus the proceeds received from our interest rate caps, less purchases of property and equipment. We believe that Free Cash Flow provides meaningful information regarding our liquidity.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unaudited)</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Three Months</w:t>
      </w:r>
    </w:p>
    <w:p>
      <w:pPr>
        <w:jc w:val="center"/>
        <w:ind w:left="760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income attributable to common stock (GAAP)</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20,449</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(1,916 )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provision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EBITDA</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34,688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39,729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7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Free Cash Flow:</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 (GAAP)</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18,514</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Consolidated capital expenditures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(4,596 )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(9,055 )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interest rate caps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Free cash flow</w:t>
            </w:r>
          </w:p>
        </w:tc>
        <w:tc>
          <w:tcPr>
            <w:tcW w:w="98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20,005</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-984250</wp:posOffset>
            </wp:positionV>
            <wp:extent cx="123317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16" w:lineRule="exact"/>
        <w:rPr>
          <w:rFonts w:ascii="Arial" w:cs="Arial" w:eastAsia="Arial" w:hAnsi="Arial"/>
          <w:sz w:val="18"/>
          <w:szCs w:val="18"/>
          <w:color w:val="auto"/>
        </w:rPr>
      </w:pPr>
    </w:p>
    <w:p>
      <w:pPr>
        <w:ind w:left="1020" w:right="8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80" w:type="dxa"/>
            <w:vAlign w:val="bottom"/>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(9,055 )</w:t>
            </w: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(7,445 )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(1,879 )</w:t>
            </w: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r>
      <w:tr>
        <w:trPr>
          <w:trHeight w:val="242"/>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12,716</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80" w:type="dxa"/>
            <w:vAlign w:val="bottom"/>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146,268</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163,596</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153,184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163,596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153,184</w:t>
            </w:r>
          </w:p>
        </w:tc>
        <w:tc>
          <w:tcPr>
            <w:tcW w:w="80" w:type="dxa"/>
            <w:vAlign w:val="bottom"/>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Arial" w:cs="Arial" w:eastAsia="Arial" w:hAnsi="Arial"/>
                <w:sz w:val="18"/>
                <w:szCs w:val="18"/>
                <w:color w:val="auto"/>
              </w:rPr>
              <w:t>Less: current restricted cash</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163,266</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152,829</w:t>
            </w:r>
          </w:p>
        </w:tc>
        <w:tc>
          <w:tcPr>
            <w:tcW w:w="8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-829945</wp:posOffset>
            </wp:positionV>
            <wp:extent cx="92456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24560"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5143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spacing w:after="0" w:line="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detailed in Note 6,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p>
    <w:p>
      <w:pPr>
        <w:spacing w:after="0" w:line="77"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spacing w:after="0" w:line="4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5"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Term Loan Facility bears annual interest at a floating rate measured by reference to, at GIH’s option, either (i) 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7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March 31, 2023, the fee for unused commitments under the Revolving Facility was 0.25% and the applicable margin was 3.25%.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right="60" w:firstLine="509"/>
        <w:spacing w:after="0" w:line="255"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83"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75"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7" w:lineRule="exact"/>
        <w:rPr>
          <w:sz w:val="20"/>
          <w:szCs w:val="20"/>
          <w:color w:val="auto"/>
        </w:rPr>
      </w:pPr>
    </w:p>
    <w:p>
      <w:pPr>
        <w:jc w:val="both"/>
        <w:ind w:right="40" w:firstLine="509"/>
        <w:spacing w:after="0" w:line="256" w:lineRule="auto"/>
        <w:rPr>
          <w:sz w:val="20"/>
          <w:szCs w:val="20"/>
          <w:color w:val="auto"/>
        </w:rPr>
      </w:pPr>
      <w:r>
        <w:rPr>
          <w:rFonts w:ascii="Arial" w:cs="Arial" w:eastAsia="Arial" w:hAnsi="Arial"/>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March 31, 2023 and December 31, 2022.</w:t>
      </w:r>
    </w:p>
    <w:p>
      <w:pPr>
        <w:spacing w:after="0" w:line="83"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For additional information on the 2021 Credit Agreement, see Note 6, “Long-Term Debt and Other Liabilities,” to our Unaudited Condensed Consolidated Financial Statements.</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with the first reduction of $125 million occurring on July 31, 2023.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 We intend to transition our interest rate caps from LIBOR to SOFR before LIBOR’s discontinuation.</w:t>
      </w:r>
    </w:p>
    <w:p>
      <w:pPr>
        <w:spacing w:after="0" w:line="55"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For additional information on the interest rate caps, see Note 7, “Derivative Instruments and Hedging Activities,” to our Unaudited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For the Three Months</w:t>
      </w:r>
    </w:p>
    <w:p>
      <w:pPr>
        <w:spacing w:after="0" w:line="3"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(15,112 )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(15,350 )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9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17,866</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vMerge w:val="restart"/>
          </w:tcPr>
          <w:p>
            <w:pPr>
              <w:jc w:val="right"/>
              <w:ind w:right="129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-684530</wp:posOffset>
            </wp:positionV>
            <wp:extent cx="5143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-684530</wp:posOffset>
            </wp:positionV>
            <wp:extent cx="4254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firstLine="509"/>
        <w:spacing w:after="0" w:line="277" w:lineRule="auto"/>
        <w:rPr>
          <w:sz w:val="20"/>
          <w:szCs w:val="20"/>
          <w:color w:val="auto"/>
        </w:rPr>
      </w:pPr>
      <w:r>
        <w:rPr>
          <w:rFonts w:ascii="Arial" w:cs="Arial" w:eastAsia="Arial" w:hAnsi="Arial"/>
          <w:sz w:val="18"/>
          <w:szCs w:val="18"/>
          <w:color w:val="auto"/>
        </w:rPr>
        <w:t>For the three-month period ended March 31, 2023, net cash provided by operating activities was $18.5 million as compared with $17.9 million in the prior-year period. The principal contributors to the year-over-year change in operating cash flows were:</w:t>
      </w:r>
    </w:p>
    <w:p>
      <w:pPr>
        <w:spacing w:after="0" w:line="6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$0.4 million improvement in net income and non-cash charges and credits, as noted above under “—Results of Operations.”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$0.2 million improvement in cash flows related to operating assets and liabilities resulting from:</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increase in cash flows primarily due to the following:</w:t>
      </w:r>
    </w:p>
    <w:p>
      <w:pPr>
        <w:spacing w:after="0" w:line="116" w:lineRule="exact"/>
        <w:rPr>
          <w:rFonts w:ascii="Arial" w:cs="Arial" w:eastAsia="Arial" w:hAnsi="Arial"/>
          <w:sz w:val="18"/>
          <w:szCs w:val="18"/>
          <w:color w:val="auto"/>
        </w:rPr>
      </w:pPr>
    </w:p>
    <w:p>
      <w:pPr>
        <w:ind w:left="2380" w:hanging="500"/>
        <w:spacing w:after="0"/>
        <w:tabs>
          <w:tab w:leader="none" w:pos="2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accounts receivable due to the timing of collections; and</w:t>
      </w:r>
    </w:p>
    <w:p>
      <w:pPr>
        <w:spacing w:after="0" w:line="116" w:lineRule="exact"/>
        <w:rPr>
          <w:rFonts w:ascii="Arial" w:cs="Arial" w:eastAsia="Arial" w:hAnsi="Arial"/>
          <w:sz w:val="18"/>
          <w:szCs w:val="18"/>
          <w:color w:val="auto"/>
        </w:rPr>
      </w:pPr>
    </w:p>
    <w:p>
      <w:pPr>
        <w:ind w:left="2380" w:right="100" w:hanging="500"/>
        <w:spacing w:after="0" w:line="277" w:lineRule="auto"/>
        <w:tabs>
          <w:tab w:leader="none" w:pos="2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contract assets primarily due to fewer promotional sales programs in the current period compared to the prior-year period.</w:t>
      </w:r>
    </w:p>
    <w:p>
      <w:pPr>
        <w:spacing w:after="0" w:line="62" w:lineRule="exact"/>
        <w:rPr>
          <w:sz w:val="20"/>
          <w:szCs w:val="20"/>
          <w:color w:val="auto"/>
        </w:rPr>
      </w:pPr>
    </w:p>
    <w:p>
      <w:pPr>
        <w:ind w:left="1540" w:right="280" w:hanging="513"/>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Partially offset by a decrease primarily due to changes in prepaid expenses and other current assets and accrued liabilities primarily due the timing of payments.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520" w:firstLine="509"/>
        <w:spacing w:after="0" w:line="311" w:lineRule="auto"/>
        <w:rPr>
          <w:sz w:val="20"/>
          <w:szCs w:val="20"/>
          <w:color w:val="auto"/>
        </w:rPr>
      </w:pPr>
      <w:r>
        <w:rPr>
          <w:rFonts w:ascii="Arial" w:cs="Arial" w:eastAsia="Arial" w:hAnsi="Arial"/>
          <w:sz w:val="16"/>
          <w:szCs w:val="16"/>
          <w:color w:val="auto"/>
        </w:rPr>
        <w:t>Cash used in investing activities is primarily for capital expenditures related to cell site construction, software development, and data center upgrades. See “— Capital Expenditures” below. Additionally, cash provided by investing activities for the three-month period ended March 31, 2023 included $6.1 million of proceeds from interest rate caps as well as net proceeds from our short-term investments of $0.1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Cash used in financing activities for the three-month period ended March 31, 2023 was $7.4 million primarily due to stock-based compensation activities and principal payments on the Term Loan Facility.</w:t>
      </w:r>
    </w:p>
    <w:p>
      <w:pPr>
        <w:spacing w:after="0" w:line="6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Cash used in financing activities for the three-month period ended March 31, 2022 was $1.9 million, primarily due to principal payments on the Term Loan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Capital expenditures for the three-month periods ended March 31, 2023 and 2022 were $4.6 million and $9.1 million, respectively. The expected decrease in capital expenditures was primarily due to the build out of Gogo 5G during the prior-year period.</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expect that our capital expenditures will decrease over time as we complete the Gogo 5G program. Capital expenditures associated with Global Broadband are not expected to be material.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We have agreements with various vendors under which we have remaining commitments to purchase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and development services. Such commitments will become payable as we receive the hardware components or as development services are provided. See Note 11, “Commitments and Contingencies,” to our Unaudited Condensed Consolidated Financial Statements for additional information.</w:t>
      </w:r>
    </w:p>
    <w:p>
      <w:pPr>
        <w:spacing w:after="0" w:line="4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10, “Leases,” to our Unaudited Condensed Consolidated Financial Statements for additional information.</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75"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cash equivalents and short-term investments as of both March 31, 2023 and December 31, 2022 included amounts in bank deposit accounts, money market funds with U.S. Government and U.S. Treasury securities and U.S. Treasury securities. The primary objective of our investment policy is to preserve capital and maintain liquidity while limiting concentration and counterparty risk. We believe that a change in average interest rates would not affect our interest income and results of operations by a material amount. However, a change in interest rates could impact our interest income and results of operations to the extent that we invest in a material amount of interest-bearing securities.</w:t>
      </w:r>
    </w:p>
    <w:p>
      <w:pPr>
        <w:spacing w:after="0" w:line="74" w:lineRule="exact"/>
        <w:rPr>
          <w:sz w:val="20"/>
          <w:szCs w:val="20"/>
          <w:color w:val="auto"/>
        </w:rPr>
      </w:pPr>
    </w:p>
    <w:p>
      <w:pPr>
        <w:jc w:val="both"/>
        <w:ind w:right="520" w:firstLine="509"/>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56"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exposed to interest rate risk on our variable rate indebtedness, which includes borrowings under the Term Loan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March 31, 2023, we had interest rate cap agreements to hedge a portion of our exposure to interest rate movements of our variable rate debt and to manage our interest expense. Currently,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notional amount of outstanding debt associated with interest rate cap agreements as of March 31, 2023 was $650.0 million. Based on our March 31, 2023 outstanding variable rate debt balance, a hypothetical one percentage point change in the applicable interest rate would impact our annual interest expense by approximately $1.5 million for the next twelve-month period, which includes the impact of our interest rate caps at a strike rate of 0.75% and the $125 million reduction in the notional amount that will occur on July 31, 2023. Excluding the impact of our interest rate caps, a hypothetical one percentage point change in the applicable interest rate would impact our annual interest expense by approximately $7.1 million for the next twelve-month period.</w:t>
      </w:r>
    </w:p>
    <w:p>
      <w:pPr>
        <w:spacing w:after="0" w:line="83"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three-month periods ended March 31, 2023 and 2022 by immaterial amounts.</w:t>
      </w:r>
    </w:p>
    <w:p>
      <w:pPr>
        <w:spacing w:after="0" w:line="5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affected by inflation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17"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2023. Based upon this evaluation, our Chief Executive Officer and the Chief Financial Officer have concluded that our disclosure controls and procedures were effective as of March 31, 2023.</w:t>
      </w:r>
    </w:p>
    <w:p>
      <w:pPr>
        <w:spacing w:after="0" w:line="77"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1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are subject to a number of lawsuits arising out of the conduct of our business. See Note 11, “Commitments and Contingencies,” to our Unaudited Condensed Consolidated Financial Statements for a discussion of litigation matters.</w:t>
      </w:r>
    </w:p>
    <w:p>
      <w:pPr>
        <w:spacing w:after="0" w:line="62"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9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“Item 1A. Risk Factors” of our 2022 10-K includes a discussion of our risk factors. The information presented below updates, and should be read in conjunction with, the risk factors and information disclosed in our 2022 10-K. Except as set forth below, there have been no material changes to the risk factors previously disclosed in our 2022 10-K.</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Participation in the FCC Reimbursement Program could adversely affect our results of operations and financial condition.</w:t>
      </w:r>
    </w:p>
    <w:p>
      <w:pPr>
        <w:spacing w:after="0" w:line="117"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While the Company reserves the right not to proceed as it has until July 15, 2023 to submit its first reimbursement claim, at the end of the first quarter of 2023, the Company determined that it will participate in the partially funded FCC Reimbursement Program. Due to a shortfall in the funds appropriated by Congress for the program, the FCC has allocated to the Company approximately only $132 million of the approximately $334 million approved for reimbursement. There can be no assurance that Congress will appropriate any additional funds, but recent legislative efforts have been undertaken, including the introduction of Senate Bill (S.1245) (“Defend Our Networks Act”), to provide a potential path forward for full funding of the FCC Reimbursement Program. If Congress fails to appropriate funds sufficient to fund all of the approved expenditures of the Company and other participants, we will be required to fund the portion of program costs that exceeds the FCC allocation. In order to participate in the program, we must comply with various conditions and requirements established by the FCC, including a requirement that we submit our first reimbursement request by July 15, 2023, and complete the removal, replacement and disposal of applicable equipment within one year following such request. The FCC may grant one or more six-month extensions to a participant where it finds that due to factors beyond its control, the participant cannot complete the project by the deadline. Due to a number of factors including supply chain disruptions, the current insufficiency of FCC funding and the operational and logistical complexity of replacing airborne equipment, we do not believe that we can complete the project by July 2024, and we intend to seek extensions. If the FCC does not grant the necessary extensions and the project is not completed by the FCC’s deadline, we could face penalties or other sanctions.</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if any of the Company’s customers do not replace their airborne equipment with equipment that is compatible with the replacement terrestrial network equipment prior to the date on which the replacement terrestrial network equipment goes into effect, the Company will be unable to provide service to these legacy-equipment customers until the airborne equipment is replaced. Such service disruptions could have a material adverse effect on our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140" w:right="7019" w:hanging="758"/>
        <w:spacing w:after="0" w:line="375" w:lineRule="auto"/>
        <w:tabs>
          <w:tab w:leader="none" w:pos="76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1140" w:right="5219" w:hanging="758"/>
        <w:spacing w:after="0" w:line="375" w:lineRule="auto"/>
        <w:tabs>
          <w:tab w:leader="none" w:pos="76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ind w:left="1140" w:right="4159" w:hanging="758"/>
        <w:spacing w:after="0" w:line="372" w:lineRule="auto"/>
        <w:tabs>
          <w:tab w:leader="none" w:pos="76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998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10.1.1</w:t>
            </w:r>
          </w:p>
        </w:tc>
        <w:tc>
          <w:tcPr>
            <w:tcW w:w="120" w:type="dxa"/>
            <w:vAlign w:val="bottom"/>
          </w:tcPr>
          <w:p>
            <w:pPr>
              <w:spacing w:after="0"/>
              <w:rPr>
                <w:sz w:val="24"/>
                <w:szCs w:val="24"/>
                <w:color w:val="auto"/>
              </w:rPr>
            </w:pPr>
          </w:p>
        </w:tc>
        <w:tc>
          <w:tcPr>
            <w:tcW w:w="9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Amended and Restated Supply and Product Support Agreement, dated as of March 31, 2023, by and between Gogo Business Aviation</w:t>
            </w:r>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0"/>
          </w:tcPr>
          <w:p>
            <w:pPr>
              <w:spacing w:after="0" w:line="195" w:lineRule="exact"/>
              <w:rPr>
                <w:sz w:val="20"/>
                <w:szCs w:val="20"/>
                <w:color w:val="auto"/>
              </w:rPr>
            </w:pPr>
            <w:r>
              <w:rPr>
                <w:rFonts w:ascii="Arial" w:cs="Arial" w:eastAsia="Arial" w:hAnsi="Arial"/>
                <w:sz w:val="18"/>
                <w:szCs w:val="18"/>
                <w:color w:val="0000FF"/>
              </w:rPr>
              <w:t>LLC and Hughes Network Systems, LLC</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373"/>
              <w:spacing w:after="0"/>
              <w:rPr>
                <w:sz w:val="20"/>
                <w:szCs w:val="20"/>
                <w:color w:val="auto"/>
              </w:rPr>
            </w:pPr>
            <w:r>
              <w:rPr>
                <w:rFonts w:ascii="Arial" w:cs="Arial" w:eastAsia="Arial" w:hAnsi="Arial"/>
                <w:sz w:val="18"/>
                <w:szCs w:val="18"/>
                <w:color w:val="auto"/>
              </w:rPr>
              <w:t>31.1</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Chief Executive Officer pursuant to Exchange Act Rules 13a-14(a) and 15d-14(a), as adopted pursuant to Section 302 of</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right"/>
              <w:ind w:right="37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Chief Financial Officer pursuant to Exchange Act Rules 13a-14(a) and 15d-14(a), as adopted pursuant to Section 302 of</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Arial" w:cs="Arial" w:eastAsia="Arial" w:hAnsi="Arial"/>
                <w:sz w:val="18"/>
                <w:szCs w:val="18"/>
                <w:color w:val="auto"/>
                <w:w w:val="97"/>
              </w:rPr>
              <w:t>32.1 *</w:t>
            </w:r>
          </w:p>
        </w:tc>
        <w:tc>
          <w:tcPr>
            <w:tcW w:w="120" w:type="dxa"/>
            <w:vAlign w:val="bottom"/>
          </w:tcPr>
          <w:p>
            <w:pPr>
              <w:spacing w:after="0"/>
              <w:rPr>
                <w:sz w:val="24"/>
                <w:szCs w:val="24"/>
                <w:color w:val="auto"/>
              </w:rPr>
            </w:pPr>
          </w:p>
        </w:tc>
        <w:tc>
          <w:tcPr>
            <w:tcW w:w="9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Certification of Chief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0"/>
          </w:tcPr>
          <w:p>
            <w:pPr>
              <w:spacing w:after="0" w:line="195"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7"/>
              </w:rPr>
              <w:t>32.2 *</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w:t>
            </w:r>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0"/>
          </w:tcPr>
          <w:p>
            <w:pPr>
              <w:spacing w:after="0" w:line="195"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60" w:hanging="821"/>
        <w:spacing w:after="0"/>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4" w:lineRule="exact"/>
        <w:rPr>
          <w:rFonts w:ascii="Arial" w:cs="Arial" w:eastAsia="Arial" w:hAnsi="Arial"/>
          <w:sz w:val="18"/>
          <w:szCs w:val="18"/>
          <w:color w:val="auto"/>
        </w:rPr>
      </w:pPr>
    </w:p>
    <w:p>
      <w:pPr>
        <w:ind w:right="460"/>
        <w:spacing w:after="0" w:line="311" w:lineRule="auto"/>
        <w:rPr>
          <w:rFonts w:ascii="Arial" w:cs="Arial" w:eastAsia="Arial" w:hAnsi="Arial"/>
          <w:sz w:val="18"/>
          <w:szCs w:val="18"/>
          <w:color w:val="auto"/>
        </w:rPr>
      </w:pPr>
      <w:r>
        <w:rPr>
          <w:rFonts w:ascii="Arial" w:cs="Arial" w:eastAsia="Arial" w:hAnsi="Arial"/>
          <w:sz w:val="16"/>
          <w:szCs w:val="16"/>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Gogo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3, 2023</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34766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Oakleigh Thorne</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Chairman of the Board</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7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34766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Jessica G. Betjemann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ind w:right="380"/>
        <w:spacing w:after="0" w:line="258" w:lineRule="auto"/>
        <w:rPr>
          <w:sz w:val="20"/>
          <w:szCs w:val="20"/>
          <w:color w:val="auto"/>
        </w:rPr>
      </w:pPr>
      <w:r>
        <w:rPr>
          <w:rFonts w:ascii="Arial" w:cs="Arial" w:eastAsia="Arial" w:hAnsi="Arial"/>
          <w:sz w:val="18"/>
          <w:szCs w:val="18"/>
          <w:b w:val="1"/>
          <w:bCs w:val="1"/>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AMENDED AND RESTATED</w:t>
      </w:r>
    </w:p>
    <w:p>
      <w:pPr>
        <w:spacing w:after="0" w:line="107"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SUPPLY AND PRODUCT SUPPORT AGREEMENT</w:t>
      </w:r>
    </w:p>
    <w:p>
      <w:pPr>
        <w:spacing w:after="0" w:line="107"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BETWEEN</w:t>
      </w:r>
    </w:p>
    <w:p>
      <w:pPr>
        <w:spacing w:after="0" w:line="107"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GOGO BUSINESS AVIATION LLC</w:t>
      </w:r>
    </w:p>
    <w:p>
      <w:pPr>
        <w:spacing w:after="0" w:line="107"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AND</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HUGHES NETWORK SYSTEMS,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NOTICE: The contents of this document are proprietary to Gogo Business Aviation LLC and Hughes Network Systems, LLC and constitute Confidential Information of each Party subject to Section 8 (Confidentiality)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334010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460" w:type="dxa"/>
            <w:vAlign w:val="bottom"/>
          </w:tcPr>
          <w:p>
            <w:pPr>
              <w:ind w:left="430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728"/>
        </w:trPr>
        <w:tc>
          <w:tcPr>
            <w:tcW w:w="340" w:type="dxa"/>
            <w:vAlign w:val="bottom"/>
          </w:tcPr>
          <w:p>
            <w:pPr>
              <w:spacing w:after="0"/>
              <w:rPr>
                <w:sz w:val="20"/>
                <w:szCs w:val="20"/>
                <w:color w:val="auto"/>
              </w:rPr>
            </w:pPr>
            <w:r>
              <w:rPr>
                <w:rFonts w:ascii="Arial" w:cs="Arial" w:eastAsia="Arial" w:hAnsi="Arial"/>
                <w:sz w:val="18"/>
                <w:szCs w:val="18"/>
                <w:b w:val="1"/>
                <w:bCs w:val="1"/>
                <w:color w:val="auto"/>
              </w:rPr>
              <w:t>1.</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INTERPRETATION AND DEFINITIONS.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AGREEMENT APPLICABILITY AND LIMITATION.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TERM.</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PAYMENT AND PRICES.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ORDER AND PRODUCT ADMINISTRATION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TARGET MARKET SEGMENTS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DELIVERY AND TITLE</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TERMINATION.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LIMITATION OF LIABILITY.</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PRODUCT MANAGEMENT.</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PERFORMANCE REQUIREMENTS.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GENERAL.</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PRODUCT REQUIREMENTS DOCUMENTS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PRODUCT AND PRICING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 PRODUCT SUPPORT ASSURANCE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 EXCEPTIONS AND RESPONSES TO REV. P OF GOGO’S QUALITY MANAGEMENT DOCUMENT NUMBER D15692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1134745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43" w:name="page44"/>
    <w:bookmarkEnd w:id="43"/>
    <w:p>
      <w:pPr>
        <w:jc w:val="both"/>
        <w:spacing w:after="0" w:line="297" w:lineRule="auto"/>
        <w:rPr>
          <w:sz w:val="20"/>
          <w:szCs w:val="20"/>
          <w:color w:val="auto"/>
        </w:rPr>
      </w:pPr>
      <w:r>
        <w:rPr>
          <w:rFonts w:ascii="Arial" w:cs="Arial" w:eastAsia="Arial" w:hAnsi="Arial"/>
          <w:sz w:val="15"/>
          <w:szCs w:val="15"/>
          <w:color w:val="auto"/>
        </w:rPr>
        <w:t xml:space="preserve">THIS Amended and Restated Supply and Product Support Agreement is made and entered into as of March 31, 2023 (the “Amendment Effective Date”) by and between </w:t>
      </w:r>
      <w:r>
        <w:rPr>
          <w:rFonts w:ascii="Arial" w:cs="Arial" w:eastAsia="Arial" w:hAnsi="Arial"/>
          <w:sz w:val="15"/>
          <w:szCs w:val="15"/>
          <w:b w:val="1"/>
          <w:bCs w:val="1"/>
          <w:color w:val="auto"/>
        </w:rPr>
        <w:t>Gogo Business Aviation LLC</w:t>
      </w:r>
      <w:r>
        <w:rPr>
          <w:rFonts w:ascii="Arial" w:cs="Arial" w:eastAsia="Arial" w:hAnsi="Arial"/>
          <w:sz w:val="15"/>
          <w:szCs w:val="15"/>
          <w:color w:val="auto"/>
        </w:rPr>
        <w:t>, a Delaware limited liability company, having offices at 105 Edgeview Drive, Broomfield, CO 80021, and its Affiliates (collectively 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as “Gogo”), and </w:t>
      </w:r>
      <w:r>
        <w:rPr>
          <w:rFonts w:ascii="Arial" w:cs="Arial" w:eastAsia="Arial" w:hAnsi="Arial"/>
          <w:sz w:val="15"/>
          <w:szCs w:val="15"/>
          <w:b w:val="1"/>
          <w:bCs w:val="1"/>
          <w:color w:val="auto"/>
        </w:rPr>
        <w:t>Hughes Network Systems, LLC</w:t>
      </w:r>
      <w:r>
        <w:rPr>
          <w:rFonts w:ascii="Arial" w:cs="Arial" w:eastAsia="Arial" w:hAnsi="Arial"/>
          <w:sz w:val="15"/>
          <w:szCs w:val="15"/>
          <w:color w:val="auto"/>
        </w:rPr>
        <w:t xml:space="preserve">, a Delaware limited liability company, having its principal place of business at 11717 Exploration Lane, Germantown, MD 20876 </w:t>
      </w:r>
      <w:r>
        <w:rPr>
          <w:rFonts w:ascii="Arial" w:cs="Arial" w:eastAsia="Arial" w:hAnsi="Arial"/>
          <w:sz w:val="15"/>
          <w:szCs w:val="15"/>
          <w:b w:val="1"/>
          <w:bCs w:val="1"/>
          <w:color w:val="auto"/>
        </w:rPr>
        <w:t>(</w:t>
      </w:r>
      <w:r>
        <w:rPr>
          <w:rFonts w:ascii="Arial" w:cs="Arial" w:eastAsia="Arial" w:hAnsi="Arial"/>
          <w:sz w:val="15"/>
          <w:szCs w:val="15"/>
          <w:color w:val="auto"/>
        </w:rPr>
        <w:t>“Supplier”</w:t>
      </w:r>
      <w:r>
        <w:rPr>
          <w:rFonts w:ascii="Arial" w:cs="Arial" w:eastAsia="Arial" w:hAnsi="Arial"/>
          <w:sz w:val="15"/>
          <w:szCs w:val="15"/>
          <w:b w:val="1"/>
          <w:bCs w:val="1"/>
          <w:color w:val="auto"/>
        </w:rPr>
        <w:t>)</w:t>
      </w:r>
      <w:r>
        <w:rPr>
          <w:rFonts w:ascii="Arial" w:cs="Arial" w:eastAsia="Arial" w:hAnsi="Arial"/>
          <w:sz w:val="15"/>
          <w:szCs w:val="15"/>
          <w:color w:val="auto"/>
        </w:rPr>
        <w:t xml:space="preserve">, either or both of which may be hereinafter referred to as a “Party” or the </w:t>
      </w:r>
      <w:r>
        <w:rPr>
          <w:rFonts w:ascii="Arial" w:cs="Arial" w:eastAsia="Arial" w:hAnsi="Arial"/>
          <w:sz w:val="15"/>
          <w:szCs w:val="15"/>
          <w:b w:val="1"/>
          <w:bCs w:val="1"/>
          <w:color w:val="auto"/>
        </w:rPr>
        <w:t>“</w:t>
      </w:r>
      <w:r>
        <w:rPr>
          <w:rFonts w:ascii="Arial" w:cs="Arial" w:eastAsia="Arial" w:hAnsi="Arial"/>
          <w:sz w:val="15"/>
          <w:szCs w:val="15"/>
          <w:color w:val="auto"/>
        </w:rPr>
        <w:t>Parties</w:t>
      </w:r>
      <w:r>
        <w:rPr>
          <w:rFonts w:ascii="Arial" w:cs="Arial" w:eastAsia="Arial" w:hAnsi="Arial"/>
          <w:sz w:val="15"/>
          <w:szCs w:val="15"/>
          <w:b w:val="1"/>
          <w:bCs w:val="1"/>
          <w:color w:val="auto"/>
        </w:rPr>
        <w:t>”,</w:t>
      </w:r>
      <w:r>
        <w:rPr>
          <w:rFonts w:ascii="Arial" w:cs="Arial" w:eastAsia="Arial" w:hAnsi="Arial"/>
          <w:sz w:val="15"/>
          <w:szCs w:val="15"/>
          <w:color w:val="auto"/>
        </w:rPr>
        <w:t xml:space="preserve">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WITNESSETH</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entered into a Supply and Product Support Agreement, effective June 6, 2022 allowing Gogo and its Affiliates from time to time to engage Supplier</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certain Products and perform certain Services;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wish to amend and restate the Supply and Product Support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and make conforming and other changes to the Agreement and Exhibits;</w:t>
      </w:r>
    </w:p>
    <w:p>
      <w:pPr>
        <w:spacing w:after="0" w:line="14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Supplier is in the business of manufacturing and selling the Products and/or Services itemized in Exhibits A and B and desires to sell the Products to Gogo;</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Gogo and its Affiliates wishes to purchase certain Product and/or Services from Supplier;</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covenants and agreements contained herein, the receipt and sufficiency of which are acknowledged,</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hereby agree as follows:</w:t>
      </w:r>
    </w:p>
    <w:p>
      <w:pPr>
        <w:spacing w:after="0" w:line="151"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INTERPRETATION AND DEFINITIONS.</w:t>
      </w:r>
    </w:p>
    <w:p>
      <w:pPr>
        <w:spacing w:after="0" w:line="238" w:lineRule="exact"/>
        <w:rPr>
          <w:rFonts w:ascii="Arial" w:cs="Arial" w:eastAsia="Arial" w:hAnsi="Arial"/>
          <w:sz w:val="16"/>
          <w:szCs w:val="16"/>
          <w:b w:val="1"/>
          <w:bCs w:val="1"/>
          <w:color w:val="auto"/>
        </w:rPr>
      </w:pPr>
    </w:p>
    <w:p>
      <w:pPr>
        <w:ind w:left="840" w:hanging="449"/>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the context otherwise requires: (i) words importing the singular include the plural and vice versa; (ii) words importing a gender include any gender; (iii) clause headings are for convenient reference only and have no effect in limiting or extending the language to which they refer in this Agreement or any Exhibit or Attachment; and (iv) expressions importing natural persons include any company, partnership, joint venture, association, corporation or other corporate body.</w:t>
      </w:r>
    </w:p>
    <w:p>
      <w:pPr>
        <w:spacing w:after="0" w:line="187"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r>
        <w:rPr>
          <w:rFonts w:ascii="Arial" w:cs="Arial" w:eastAsia="Arial" w:hAnsi="Arial"/>
          <w:sz w:val="16"/>
          <w:szCs w:val="16"/>
          <w:color w:val="auto"/>
        </w:rPr>
        <w:t>. All definitions are listed alphabetically in Exhibit D.</w:t>
      </w:r>
    </w:p>
    <w:p>
      <w:pPr>
        <w:spacing w:after="0" w:line="230" w:lineRule="exact"/>
        <w:rPr>
          <w:rFonts w:ascii="Arial" w:cs="Arial" w:eastAsia="Arial" w:hAnsi="Arial"/>
          <w:sz w:val="16"/>
          <w:szCs w:val="16"/>
          <w:b w:val="1"/>
          <w:bCs w:val="1"/>
          <w:color w:val="auto"/>
        </w:rPr>
      </w:pPr>
    </w:p>
    <w:p>
      <w:pPr>
        <w:ind w:left="380" w:hanging="372"/>
        <w:spacing w:after="0"/>
        <w:tabs>
          <w:tab w:leader="none" w:pos="3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 APPLICABILITY AND LIMITATION.</w:t>
      </w:r>
    </w:p>
    <w:p>
      <w:pPr>
        <w:spacing w:after="0" w:line="238"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2.1. This Agreement and the Exhibits contain the general terms and conditions governing Supplier’s Products, Services, and business transactions to this Agreement. The execution of this Agreement alone does not authorize the conduct of any transitional business between the Parties.</w:t>
      </w:r>
    </w:p>
    <w:p>
      <w:pPr>
        <w:spacing w:after="0" w:line="172"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2.2.   The terms and conditions of any Exhibit are supplemented by the terms and conditions of this Agreement according to Section 16.20.</w:t>
      </w:r>
    </w:p>
    <w:p>
      <w:pPr>
        <w:spacing w:after="0" w:line="234"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2.3. This Agreement will supplement and apply to any Order(s) submitted for Products whether or not this Agreement is referenced in the Order. From the effective date of this Agreement all Products ordered by Gogo shall be covered under this Agreement.</w:t>
      </w:r>
    </w:p>
    <w:p>
      <w:pPr>
        <w:spacing w:after="0" w:line="168" w:lineRule="exact"/>
        <w:rPr>
          <w:rFonts w:ascii="Arial" w:cs="Arial" w:eastAsia="Arial" w:hAnsi="Arial"/>
          <w:sz w:val="16"/>
          <w:szCs w:val="16"/>
          <w:b w:val="1"/>
          <w:bCs w:val="1"/>
          <w:color w:val="auto"/>
        </w:rPr>
      </w:pPr>
    </w:p>
    <w:p>
      <w:pPr>
        <w:ind w:left="380" w:hanging="372"/>
        <w:spacing w:after="0"/>
        <w:tabs>
          <w:tab w:leader="none" w:pos="3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p>
    <w:p>
      <w:pPr>
        <w:spacing w:after="0" w:line="238"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3.1. This Agreement will continue in effect for [***] from the Effective Date and thereafter will automatically renew from year to year unless terminated upon notice at least 90 Days prior to the renewal date. Either Party may terminate this Agreement in accordance with Section 9 of this Agreement.</w:t>
      </w:r>
    </w:p>
    <w:p>
      <w:pPr>
        <w:spacing w:after="0" w:line="168" w:lineRule="exact"/>
        <w:rPr>
          <w:rFonts w:ascii="Arial" w:cs="Arial" w:eastAsia="Arial" w:hAnsi="Arial"/>
          <w:sz w:val="16"/>
          <w:szCs w:val="16"/>
          <w:b w:val="1"/>
          <w:bCs w:val="1"/>
          <w:color w:val="auto"/>
        </w:rPr>
      </w:pPr>
    </w:p>
    <w:p>
      <w:pPr>
        <w:ind w:left="380" w:hanging="372"/>
        <w:spacing w:after="0"/>
        <w:tabs>
          <w:tab w:leader="none" w:pos="3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AND PRICES.</w:t>
      </w:r>
    </w:p>
    <w:p>
      <w:pPr>
        <w:spacing w:after="0" w:line="238"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Payment Terms</w:t>
      </w:r>
      <w:r>
        <w:rPr>
          <w:rFonts w:ascii="Arial" w:cs="Arial" w:eastAsia="Arial" w:hAnsi="Arial"/>
          <w:sz w:val="14"/>
          <w:szCs w:val="14"/>
          <w:color w:val="auto"/>
        </w:rPr>
        <w:t>.</w:t>
      </w:r>
    </w:p>
    <w:p>
      <w:pPr>
        <w:spacing w:after="0" w:line="234" w:lineRule="exact"/>
        <w:rPr>
          <w:sz w:val="20"/>
          <w:szCs w:val="20"/>
          <w:color w:val="auto"/>
        </w:rPr>
      </w:pPr>
    </w:p>
    <w:p>
      <w:pPr>
        <w:jc w:val="both"/>
        <w:ind w:left="1380" w:hanging="523"/>
        <w:spacing w:after="0" w:line="297" w:lineRule="auto"/>
        <w:tabs>
          <w:tab w:leader="none" w:pos="136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5"/>
          <w:szCs w:val="15"/>
          <w:color w:val="auto"/>
        </w:rPr>
        <w:t>For the HDX Product, on or before completion of IDR, Gogo shall issue a purchase order for procurement of advance material in the amount of [***] (the “HDX Advance Materials PO”) to be paid in two installments. Upon receipt of the HDX Advance Materials PO, [***]. Amounts paid under the HDX Advance Materials PO (a) will be used by Supplier exclusively for the purchase of long lead time components required for the production of the first [***] units of the HDX Product, and (b) will be credited against Gogo’s Orders for the first [***] units of production HDX Products.</w:t>
      </w:r>
    </w:p>
    <w:p>
      <w:pPr>
        <w:spacing w:after="0" w:line="171"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6"/>
          <w:szCs w:val="16"/>
          <w:color w:val="auto"/>
        </w:rPr>
        <w:t>4.1.2.</w:t>
        <w:tab/>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4" w:name="page45"/>
    <w:bookmarkEnd w:id="44"/>
    <w:p>
      <w:pPr>
        <w:jc w:val="both"/>
        <w:ind w:left="1380" w:hanging="523"/>
        <w:spacing w:after="0" w:line="289" w:lineRule="auto"/>
        <w:tabs>
          <w:tab w:leader="none" w:pos="1360" w:val="left"/>
        </w:tabs>
        <w:rPr>
          <w:sz w:val="20"/>
          <w:szCs w:val="20"/>
          <w:color w:val="auto"/>
        </w:rPr>
      </w:pPr>
      <w:r>
        <w:rPr>
          <w:rFonts w:ascii="Arial" w:cs="Arial" w:eastAsia="Arial" w:hAnsi="Arial"/>
          <w:sz w:val="16"/>
          <w:szCs w:val="16"/>
          <w:color w:val="auto"/>
        </w:rPr>
        <w:t>4.1.3.</w:t>
      </w:r>
      <w:r>
        <w:rPr>
          <w:sz w:val="20"/>
          <w:szCs w:val="20"/>
          <w:color w:val="auto"/>
        </w:rPr>
        <w:tab/>
      </w:r>
      <w:r>
        <w:rPr>
          <w:rFonts w:ascii="Arial" w:cs="Arial" w:eastAsia="Arial" w:hAnsi="Arial"/>
          <w:sz w:val="15"/>
          <w:szCs w:val="15"/>
          <w:color w:val="auto"/>
        </w:rPr>
        <w:t>With respect to any Orders for Products, Supplier shall issue an invoice to Gogo on or any time after the completion of Delivery and only in accordance with the terms which shall be payable [***] after Gogo’s receipt of such invoice, except for any amounts disputed by Gogo in good faith. All payments hereunder will be in US dollars unless otherwise agreed to in writing. In the event of a payment dispute, Gogo shall deliver a written statement to Supplier no later than ten (10) business days prior to the date payment is due on the disputed invoice listing all disputed items and providing a reasonably detailed description of each disputed item. Amounts not so disputed are deemed accepted and must be paid, notwithstanding disputes on other items, within the period set forth in this Section 4.1. The Parties shall seek to resolve all such disputes expeditiously and in good faith. Supplier shall continue performing its obligations under the Order notwithstanding any such dispute.</w:t>
      </w:r>
    </w:p>
    <w:p>
      <w:pPr>
        <w:spacing w:after="0" w:line="178" w:lineRule="exact"/>
        <w:rPr>
          <w:sz w:val="20"/>
          <w:szCs w:val="20"/>
          <w:color w:val="auto"/>
        </w:rPr>
      </w:pPr>
    </w:p>
    <w:p>
      <w:pPr>
        <w:jc w:val="both"/>
        <w:ind w:left="840" w:hanging="448"/>
        <w:spacing w:after="0" w:line="292" w:lineRule="auto"/>
        <w:tabs>
          <w:tab w:leader="none" w:pos="8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u w:val="single" w:color="auto"/>
          <w:color w:val="auto"/>
        </w:rPr>
        <w:t>Price</w:t>
      </w:r>
      <w:r>
        <w:rPr>
          <w:rFonts w:ascii="Arial" w:cs="Arial" w:eastAsia="Arial" w:hAnsi="Arial"/>
          <w:sz w:val="16"/>
          <w:szCs w:val="16"/>
          <w:color w:val="auto"/>
        </w:rPr>
        <w:t>. All pricing listed on the attached Exhibit B will be held firm and fixed for the duration of the term stated in such Exhibit B. If not listed in Exhibit B, then</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pricing shall be as mutually agreed to in the accepted Order.</w:t>
      </w:r>
    </w:p>
    <w:p>
      <w:pPr>
        <w:spacing w:after="0" w:line="173" w:lineRule="exact"/>
        <w:rPr>
          <w:sz w:val="20"/>
          <w:szCs w:val="20"/>
          <w:color w:val="auto"/>
        </w:rPr>
      </w:pPr>
    </w:p>
    <w:p>
      <w:pPr>
        <w:jc w:val="both"/>
        <w:ind w:left="840" w:hanging="448"/>
        <w:spacing w:after="0" w:line="286" w:lineRule="auto"/>
        <w:tabs>
          <w:tab w:leader="none" w:pos="8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u w:val="single" w:color="auto"/>
          <w:color w:val="auto"/>
        </w:rPr>
        <w:t>Records; Audit</w:t>
      </w:r>
      <w:r>
        <w:rPr>
          <w:rFonts w:ascii="Arial" w:cs="Arial" w:eastAsia="Arial" w:hAnsi="Arial"/>
          <w:sz w:val="15"/>
          <w:szCs w:val="15"/>
          <w:color w:val="auto"/>
        </w:rPr>
        <w:t>. Supplier shall maintain adequate records of the amounts charged, and quality records inclusive of FAA required documents pertaining to Gogo</w:t>
      </w:r>
      <w:r>
        <w:rPr>
          <w:rFonts w:ascii="Arial" w:cs="Arial" w:eastAsia="Arial" w:hAnsi="Arial"/>
          <w:sz w:val="15"/>
          <w:szCs w:val="15"/>
          <w:u w:val="single" w:color="auto"/>
          <w:color w:val="auto"/>
        </w:rPr>
        <w:t xml:space="preserve"> </w:t>
      </w:r>
      <w:r>
        <w:rPr>
          <w:rFonts w:ascii="Arial" w:cs="Arial" w:eastAsia="Arial" w:hAnsi="Arial"/>
          <w:sz w:val="15"/>
          <w:szCs w:val="15"/>
          <w:color w:val="auto"/>
        </w:rPr>
        <w:t>with respect to the Products and Services under each Exhibit for ten (10) years after the shipment of the Products or provision of the Service. For purposes of clarification, except with respect to cost-reimbursement or time-and-materials based pricing, amounts charged shall not include, and Gogo shall have no right of access to or audit of, Supplier’s detailed rate and cost information (of a type that is not ordinarily provided to any other commercial Gogo or third party including the Supplier’s process for building up the applicable labor rates, overhead or fixed price elements). Supplier shall make such records available to Gogo during normal business hours upon reasonable advance written notice. Supplier shall cooperate in any audit of such records that Gogo may undertake; provided, however, that any such audit shall be at Gogo’s sole expense. For cost-reimbursement or time-and-materials pricing, if, as a result of such audit, it is determined that Supplier has overcharged Gogo, Gogo shall notify Supplier of the amount of such overcharge, and Supplier shall credit to Gogo the amount of such overcharge. In addition, if any such audit reveals an overcharge that is equal to or greater than 10% of the amounts billed for the period of time audited, Supplier shall reimburse Gogo for all costs related to the audit.</w:t>
      </w:r>
    </w:p>
    <w:p>
      <w:pPr>
        <w:spacing w:after="0" w:line="183" w:lineRule="exact"/>
        <w:rPr>
          <w:sz w:val="20"/>
          <w:szCs w:val="20"/>
          <w:color w:val="auto"/>
        </w:rPr>
      </w:pPr>
    </w:p>
    <w:p>
      <w:pPr>
        <w:jc w:val="both"/>
        <w:ind w:left="840" w:hanging="448"/>
        <w:spacing w:after="0" w:line="314" w:lineRule="auto"/>
        <w:tabs>
          <w:tab w:leader="none" w:pos="8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 Gogo is liable to Supplier only for taxes which Supplier is required to collect from Gogo by law. All prices are exclusive of taxes and charges, including</w:t>
      </w:r>
      <w:r>
        <w:rPr>
          <w:rFonts w:ascii="Arial" w:cs="Arial" w:eastAsia="Arial" w:hAnsi="Arial"/>
          <w:sz w:val="14"/>
          <w:szCs w:val="14"/>
          <w:u w:val="single" w:color="auto"/>
          <w:color w:val="auto"/>
        </w:rPr>
        <w:t xml:space="preserve"> </w:t>
      </w:r>
      <w:r>
        <w:rPr>
          <w:rFonts w:ascii="Arial" w:cs="Arial" w:eastAsia="Arial" w:hAnsi="Arial"/>
          <w:sz w:val="14"/>
          <w:szCs w:val="14"/>
          <w:color w:val="auto"/>
        </w:rPr>
        <w:t>without limitation (i) any present or future Federal, State, or local excise, sales, or use taxes (including any VAT); (ii) any other present or future excise, sales or use tax, (including any VAT), or other charge or assessment upon or measured by the gross receipts from the transactions provided by this Agreement; (iii) any import duties, customs charges, tariffs or similar fees and (iv) any present or future property, inventory, or value-added tax or similar charge. Gogo will pay and discharge, either directly to the governmental agency or as billed by Supplier, the foregoing taxes, duties and charges and all assessments and other taxes with respect to the transactions provided in this Agreement and all Products delivered hereunder. Supplier’s invoices shall list taxes separately.</w:t>
      </w:r>
    </w:p>
    <w:p>
      <w:pPr>
        <w:spacing w:after="0" w:line="162"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ORDER AND PRODUCT ADMINISTRATION</w:t>
      </w:r>
    </w:p>
    <w:p>
      <w:pPr>
        <w:spacing w:after="0" w:line="238"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Obligation to Supply during the Term</w:t>
      </w:r>
      <w:r>
        <w:rPr>
          <w:rFonts w:ascii="Arial" w:cs="Arial" w:eastAsia="Arial" w:hAnsi="Arial"/>
          <w:sz w:val="16"/>
          <w:szCs w:val="16"/>
          <w:color w:val="auto"/>
        </w:rPr>
        <w:t>. Supplier agrees to sell to Gogo the Products ordered by Gogo’s duly issued Orders on the terms and conditions provided herein. Each Order shall be deemed to be incorporated as part of this Agreement upon Gogo’s issuance thereof.</w:t>
      </w:r>
    </w:p>
    <w:p>
      <w:pPr>
        <w:spacing w:after="0" w:line="173"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u w:val="single" w:color="auto"/>
          <w:color w:val="auto"/>
        </w:rPr>
        <w:t>Initial Volume Commitment</w:t>
      </w:r>
      <w:r>
        <w:rPr>
          <w:rFonts w:ascii="Arial" w:cs="Arial" w:eastAsia="Arial" w:hAnsi="Arial"/>
          <w:sz w:val="15"/>
          <w:szCs w:val="15"/>
          <w:color w:val="auto"/>
        </w:rPr>
        <w:t>.</w:t>
      </w:r>
    </w:p>
    <w:p>
      <w:pPr>
        <w:spacing w:after="0" w:line="234"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6"/>
          <w:szCs w:val="16"/>
          <w:color w:val="auto"/>
        </w:rPr>
        <w:t>5.2.1.</w:t>
        <w:tab/>
        <w:t>[***]</w:t>
      </w:r>
    </w:p>
    <w:p>
      <w:pPr>
        <w:spacing w:after="0" w:line="234"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6"/>
          <w:szCs w:val="16"/>
          <w:color w:val="auto"/>
        </w:rPr>
        <w:t>5.2.2.</w:t>
        <w:tab/>
        <w:t>[***]</w:t>
      </w:r>
    </w:p>
    <w:p>
      <w:pPr>
        <w:spacing w:after="0" w:line="234" w:lineRule="exact"/>
        <w:rPr>
          <w:sz w:val="20"/>
          <w:szCs w:val="20"/>
          <w:color w:val="auto"/>
        </w:rPr>
      </w:pPr>
    </w:p>
    <w:p>
      <w:pPr>
        <w:jc w:val="both"/>
        <w:ind w:left="840" w:hanging="448"/>
        <w:spacing w:after="0" w:line="271" w:lineRule="auto"/>
        <w:tabs>
          <w:tab w:leader="none" w:pos="82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u w:val="single" w:color="auto"/>
          <w:color w:val="auto"/>
        </w:rPr>
        <w:t>Order Acceptance</w:t>
      </w:r>
      <w:r>
        <w:rPr>
          <w:rFonts w:ascii="Arial" w:cs="Arial" w:eastAsia="Arial" w:hAnsi="Arial"/>
          <w:sz w:val="16"/>
          <w:szCs w:val="16"/>
          <w:color w:val="auto"/>
        </w:rPr>
        <w:t>. Gogo and its affiliated companies may place Order(s), from time to time, with Supplier for the Products. Orders are deemed accepted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unless Gogo receives written notice of rejection from the Supplier explaining the basis for the rejection within 7 calendar days of Gogo’s issuance of the Order in accordance with the terms and conditions of this Agreement. All terms and conditions within this Agreement shall govern said Order(s) with the exception of shipping, delivery dates and invoicing address, which will be identified within that Order. Any terms conflicting with or in addition to the terms of this Agreement will not apply unless expressly agreed to in writing by the Parties.</w:t>
      </w:r>
    </w:p>
    <w:p>
      <w:pPr>
        <w:spacing w:after="0" w:line="188" w:lineRule="exact"/>
        <w:rPr>
          <w:sz w:val="20"/>
          <w:szCs w:val="20"/>
          <w:color w:val="auto"/>
        </w:rPr>
      </w:pPr>
    </w:p>
    <w:p>
      <w:pPr>
        <w:jc w:val="both"/>
        <w:ind w:left="840" w:hanging="448"/>
        <w:spacing w:after="0" w:line="269" w:lineRule="auto"/>
        <w:tabs>
          <w:tab w:leader="none" w:pos="82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u w:val="single" w:color="auto"/>
          <w:color w:val="auto"/>
        </w:rPr>
        <w:t>Order Rejection and/or Changes</w:t>
      </w:r>
      <w:r>
        <w:rPr>
          <w:rFonts w:ascii="Arial" w:cs="Arial" w:eastAsia="Arial" w:hAnsi="Arial"/>
          <w:sz w:val="16"/>
          <w:szCs w:val="16"/>
          <w:color w:val="auto"/>
        </w:rPr>
        <w:t>. Supplier shall have the right to reject an Order only if the Order does not comply with the express requirements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and then only until Gogo corrects such Order. Supplier shall not reject any Order that is issued in accordance with the terms and conditions of this Agreement. Should Supplier reject an Order based upon the foregoing, Supplier shall notify Gogo in writing within 7 calendar days of such rejection and must clearly state the reason(s) Supplier is claiming the Order does not comply with this Agreement or contains additional non-agreed upon terms and any changes or additions thereto that would make the Order compliant with this Agreement. If Gogo does not agree with Supplier’s allegation that the Order is non-compliant with this Agreement, Supplier shall</w:t>
      </w:r>
    </w:p>
    <w:p>
      <w:pPr>
        <w:spacing w:after="0" w:line="179" w:lineRule="exact"/>
        <w:rPr>
          <w:sz w:val="20"/>
          <w:szCs w:val="20"/>
          <w:color w:val="auto"/>
        </w:rPr>
      </w:pPr>
    </w:p>
    <w:p>
      <w:pPr>
        <w:ind w:left="11160"/>
        <w:spacing w:after="0"/>
        <w:rPr>
          <w:sz w:val="20"/>
          <w:szCs w:val="20"/>
          <w:color w:val="auto"/>
        </w:rPr>
      </w:pPr>
      <w:r>
        <w:rPr>
          <w:rFonts w:ascii="Arial" w:cs="Arial" w:eastAsia="Arial" w:hAnsi="Arial"/>
          <w:sz w:val="14"/>
          <w:szCs w:val="14"/>
          <w:b w:val="1"/>
          <w:bCs w:val="1"/>
          <w:color w:val="auto"/>
        </w:rPr>
        <w:t>2</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5" w:name="page46"/>
    <w:bookmarkEnd w:id="45"/>
    <w:p>
      <w:pPr>
        <w:jc w:val="both"/>
        <w:ind w:left="840"/>
        <w:spacing w:after="0" w:line="278" w:lineRule="auto"/>
        <w:rPr>
          <w:sz w:val="20"/>
          <w:szCs w:val="20"/>
          <w:color w:val="auto"/>
        </w:rPr>
      </w:pPr>
      <w:r>
        <w:rPr>
          <w:rFonts w:ascii="Arial" w:cs="Arial" w:eastAsia="Arial" w:hAnsi="Arial"/>
          <w:sz w:val="16"/>
          <w:szCs w:val="16"/>
          <w:color w:val="auto"/>
        </w:rPr>
        <w:t>accept the Order as originally submitted by Gogo and continue to· perform while the Parties negotiate in good faith to resolve such issues. Changes proposed by Supplier shall not be valid or binding on Gogo unless the changes are accepted by Gogo in writing and formally incorporated into the related Order by issuing a Change Order.</w:t>
      </w:r>
    </w:p>
    <w:p>
      <w:pPr>
        <w:spacing w:after="0" w:line="183" w:lineRule="exact"/>
        <w:rPr>
          <w:sz w:val="20"/>
          <w:szCs w:val="20"/>
          <w:color w:val="auto"/>
        </w:rPr>
      </w:pPr>
    </w:p>
    <w:p>
      <w:pPr>
        <w:jc w:val="both"/>
        <w:ind w:left="840" w:hanging="448"/>
        <w:spacing w:after="0" w:line="271" w:lineRule="auto"/>
        <w:tabs>
          <w:tab w:leader="none" w:pos="82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u w:val="single" w:color="auto"/>
          <w:color w:val="auto"/>
        </w:rPr>
        <w:t>Forecasted Quantities</w:t>
      </w:r>
      <w:r>
        <w:rPr>
          <w:rFonts w:ascii="Arial" w:cs="Arial" w:eastAsia="Arial" w:hAnsi="Arial"/>
          <w:sz w:val="16"/>
          <w:szCs w:val="16"/>
          <w:color w:val="auto"/>
        </w:rPr>
        <w:t>. Gogo shall make available to Supplier, on a quarterly basis in writing or electronically, a twelve (12) month, non-binding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information-only rolling forecast as a purchase order estimate including an estimated Product lead-time (“Forecast”). The quantities listed in any Forecast are for planning purposes only, do not constitute an Order, and shall in no way bind Gogo to actually place orders for any such quantities indicated in the Forecast or otherwise expose Gogo to any form of liability. Supplier shall make available to Gogo, at least monthly in writing or electronically, a six (6) month material resource plan schedule that reflects Orders received.</w:t>
      </w:r>
    </w:p>
    <w:p>
      <w:pPr>
        <w:spacing w:after="0" w:line="184" w:lineRule="exact"/>
        <w:rPr>
          <w:sz w:val="20"/>
          <w:szCs w:val="20"/>
          <w:color w:val="auto"/>
        </w:rPr>
      </w:pPr>
    </w:p>
    <w:p>
      <w:pPr>
        <w:ind w:left="380" w:right="8480" w:hanging="372"/>
        <w:spacing w:after="0" w:line="547" w:lineRule="auto"/>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TARGET MARKET SEGMENTS </w:t>
      </w:r>
      <w:r>
        <w:rPr>
          <w:rFonts w:ascii="Arial" w:cs="Arial" w:eastAsia="Arial" w:hAnsi="Arial"/>
          <w:sz w:val="16"/>
          <w:szCs w:val="16"/>
          <w:color w:val="auto"/>
        </w:rPr>
        <w:t>6.1. [***]</w:t>
      </w:r>
    </w:p>
    <w:p>
      <w:pPr>
        <w:spacing w:after="0" w:line="1"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6.2.   [***]</w:t>
      </w:r>
    </w:p>
    <w:p>
      <w:pPr>
        <w:spacing w:after="0" w:line="234"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6.3.   [***]</w:t>
      </w:r>
    </w:p>
    <w:p>
      <w:pPr>
        <w:spacing w:after="0" w:line="234" w:lineRule="exact"/>
        <w:rPr>
          <w:rFonts w:ascii="Arial" w:cs="Arial" w:eastAsia="Arial" w:hAnsi="Arial"/>
          <w:sz w:val="16"/>
          <w:szCs w:val="16"/>
          <w:b w:val="1"/>
          <w:bCs w:val="1"/>
          <w:color w:val="auto"/>
        </w:rPr>
      </w:pPr>
    </w:p>
    <w:p>
      <w:pPr>
        <w:ind w:left="1540"/>
        <w:spacing w:after="0"/>
        <w:rPr>
          <w:rFonts w:ascii="Arial" w:cs="Arial" w:eastAsia="Arial" w:hAnsi="Arial"/>
          <w:sz w:val="16"/>
          <w:szCs w:val="16"/>
          <w:b w:val="1"/>
          <w:bCs w:val="1"/>
          <w:color w:val="auto"/>
        </w:rPr>
      </w:pPr>
      <w:r>
        <w:rPr>
          <w:rFonts w:ascii="Arial" w:cs="Arial" w:eastAsia="Arial" w:hAnsi="Arial"/>
          <w:sz w:val="16"/>
          <w:szCs w:val="16"/>
          <w:color w:val="auto"/>
        </w:rPr>
        <w:t>6.3.1.  [***]</w:t>
      </w:r>
    </w:p>
    <w:p>
      <w:pPr>
        <w:spacing w:after="0" w:line="234" w:lineRule="exact"/>
        <w:rPr>
          <w:rFonts w:ascii="Arial" w:cs="Arial" w:eastAsia="Arial" w:hAnsi="Arial"/>
          <w:sz w:val="16"/>
          <w:szCs w:val="16"/>
          <w:b w:val="1"/>
          <w:bCs w:val="1"/>
          <w:color w:val="auto"/>
        </w:rPr>
      </w:pPr>
    </w:p>
    <w:p>
      <w:pPr>
        <w:ind w:left="1540"/>
        <w:spacing w:after="0"/>
        <w:rPr>
          <w:rFonts w:ascii="Arial" w:cs="Arial" w:eastAsia="Arial" w:hAnsi="Arial"/>
          <w:sz w:val="16"/>
          <w:szCs w:val="16"/>
          <w:b w:val="1"/>
          <w:bCs w:val="1"/>
          <w:color w:val="auto"/>
        </w:rPr>
      </w:pPr>
      <w:r>
        <w:rPr>
          <w:rFonts w:ascii="Arial" w:cs="Arial" w:eastAsia="Arial" w:hAnsi="Arial"/>
          <w:sz w:val="16"/>
          <w:szCs w:val="16"/>
          <w:color w:val="auto"/>
        </w:rPr>
        <w:t>6.3.2.  [***]</w:t>
      </w:r>
    </w:p>
    <w:p>
      <w:pPr>
        <w:spacing w:after="0" w:line="234" w:lineRule="exact"/>
        <w:rPr>
          <w:rFonts w:ascii="Arial" w:cs="Arial" w:eastAsia="Arial" w:hAnsi="Arial"/>
          <w:sz w:val="16"/>
          <w:szCs w:val="16"/>
          <w:b w:val="1"/>
          <w:bCs w:val="1"/>
          <w:color w:val="auto"/>
        </w:rPr>
      </w:pPr>
    </w:p>
    <w:p>
      <w:pPr>
        <w:ind w:left="1540"/>
        <w:spacing w:after="0"/>
        <w:rPr>
          <w:rFonts w:ascii="Arial" w:cs="Arial" w:eastAsia="Arial" w:hAnsi="Arial"/>
          <w:sz w:val="16"/>
          <w:szCs w:val="16"/>
          <w:b w:val="1"/>
          <w:bCs w:val="1"/>
          <w:color w:val="auto"/>
        </w:rPr>
      </w:pPr>
      <w:r>
        <w:rPr>
          <w:rFonts w:ascii="Arial" w:cs="Arial" w:eastAsia="Arial" w:hAnsi="Arial"/>
          <w:sz w:val="16"/>
          <w:szCs w:val="16"/>
          <w:color w:val="auto"/>
        </w:rPr>
        <w:t>6.3.3.  [***]</w:t>
      </w:r>
    </w:p>
    <w:p>
      <w:pPr>
        <w:spacing w:after="0" w:line="234" w:lineRule="exact"/>
        <w:rPr>
          <w:rFonts w:ascii="Arial" w:cs="Arial" w:eastAsia="Arial" w:hAnsi="Arial"/>
          <w:sz w:val="16"/>
          <w:szCs w:val="16"/>
          <w:b w:val="1"/>
          <w:bCs w:val="1"/>
          <w:color w:val="auto"/>
        </w:rPr>
      </w:pPr>
    </w:p>
    <w:p>
      <w:pPr>
        <w:ind w:left="1540"/>
        <w:spacing w:after="0"/>
        <w:rPr>
          <w:rFonts w:ascii="Arial" w:cs="Arial" w:eastAsia="Arial" w:hAnsi="Arial"/>
          <w:sz w:val="16"/>
          <w:szCs w:val="16"/>
          <w:b w:val="1"/>
          <w:bCs w:val="1"/>
          <w:color w:val="auto"/>
        </w:rPr>
      </w:pPr>
      <w:r>
        <w:rPr>
          <w:rFonts w:ascii="Arial" w:cs="Arial" w:eastAsia="Arial" w:hAnsi="Arial"/>
          <w:sz w:val="16"/>
          <w:szCs w:val="16"/>
          <w:color w:val="auto"/>
        </w:rPr>
        <w:t>6.3.4.  [***]</w:t>
      </w:r>
    </w:p>
    <w:p>
      <w:pPr>
        <w:spacing w:after="0" w:line="230" w:lineRule="exact"/>
        <w:rPr>
          <w:rFonts w:ascii="Arial" w:cs="Arial" w:eastAsia="Arial" w:hAnsi="Arial"/>
          <w:sz w:val="16"/>
          <w:szCs w:val="16"/>
          <w:b w:val="1"/>
          <w:bCs w:val="1"/>
          <w:color w:val="auto"/>
        </w:rPr>
      </w:pPr>
    </w:p>
    <w:p>
      <w:pPr>
        <w:ind w:left="380" w:hanging="372"/>
        <w:spacing w:after="0"/>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AND TITLE</w:t>
      </w:r>
    </w:p>
    <w:p>
      <w:pPr>
        <w:spacing w:after="0" w:line="238" w:lineRule="exact"/>
        <w:rPr>
          <w:rFonts w:ascii="Arial" w:cs="Arial" w:eastAsia="Arial" w:hAnsi="Arial"/>
          <w:sz w:val="16"/>
          <w:szCs w:val="16"/>
          <w:b w:val="1"/>
          <w:bCs w:val="1"/>
          <w:color w:val="auto"/>
        </w:rPr>
      </w:pPr>
    </w:p>
    <w:p>
      <w:pPr>
        <w:ind w:left="840" w:hanging="449"/>
        <w:spacing w:after="0" w:line="335" w:lineRule="auto"/>
        <w:rPr>
          <w:rFonts w:ascii="Arial" w:cs="Arial" w:eastAsia="Arial" w:hAnsi="Arial"/>
          <w:sz w:val="16"/>
          <w:szCs w:val="16"/>
          <w:b w:val="1"/>
          <w:bCs w:val="1"/>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Time is of the Essence</w:t>
      </w:r>
      <w:r>
        <w:rPr>
          <w:rFonts w:ascii="Arial" w:cs="Arial" w:eastAsia="Arial" w:hAnsi="Arial"/>
          <w:sz w:val="14"/>
          <w:szCs w:val="14"/>
          <w:color w:val="auto"/>
        </w:rPr>
        <w:t>. Supplier acknowledges that time is of the essence with respect to its performance under this Agreement. Supplier shall notify Gogo in writing within seven (7) days of any occurrence, event, or circumstance, which may impede the proper and timely execution of Supplier’s obligations hereunder. Such notification by Supplier shall include a detailed preventative/recovery plan for such delay, including the expedited shipment of Product at Supplier’s cost.</w:t>
      </w:r>
    </w:p>
    <w:p>
      <w:pPr>
        <w:spacing w:after="0" w:line="148" w:lineRule="exact"/>
        <w:rPr>
          <w:rFonts w:ascii="Arial" w:cs="Arial" w:eastAsia="Arial" w:hAnsi="Arial"/>
          <w:sz w:val="16"/>
          <w:szCs w:val="16"/>
          <w:b w:val="1"/>
          <w:bCs w:val="1"/>
          <w:color w:val="auto"/>
        </w:rPr>
      </w:pPr>
    </w:p>
    <w:p>
      <w:pPr>
        <w:ind w:left="840" w:hanging="449"/>
        <w:spacing w:after="0" w:line="290" w:lineRule="auto"/>
        <w:rPr>
          <w:rFonts w:ascii="Arial" w:cs="Arial" w:eastAsia="Arial" w:hAnsi="Arial"/>
          <w:sz w:val="16"/>
          <w:szCs w:val="16"/>
          <w:b w:val="1"/>
          <w:bCs w:val="1"/>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Delivery Terms</w:t>
      </w:r>
      <w:r>
        <w:rPr>
          <w:rFonts w:ascii="Arial" w:cs="Arial" w:eastAsia="Arial" w:hAnsi="Arial"/>
          <w:sz w:val="15"/>
          <w:szCs w:val="15"/>
          <w:color w:val="auto"/>
        </w:rPr>
        <w:t>. Delivery of Products (“Delivery”) shall be Free Carrier (FCA Incoterms 2020) Supplier’s facility in Germantown, Maryland. Supplier shall deliver Product in accordance with the quantities and date(s), specified on the Order, subject to any mutually agreed lead times. Except for repaired or replaced Products being returned under warranty, the Delivery of any Products will be deemed to have been made on the date such Products are delivered to Gogo at Supplier’s facility (the “Delivery Date”). If Delivery Dates are not stated, Supplier shall offer its best delivery date(s), which will be subject to acceptance by Gogo. Unless otherwise directed, all Product(s) shipped in one (1) day from and to a single location must be consolidated on one (1) bill of lading or air waybill, as appropriate. Supplier is responsible for creation of shipping documents as per the Order pursuant to the delivery terms stated in this Section 7.2.</w:t>
      </w:r>
    </w:p>
    <w:p>
      <w:pPr>
        <w:spacing w:after="0" w:line="178"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Delivery Notice</w:t>
      </w:r>
      <w:r>
        <w:rPr>
          <w:rFonts w:ascii="Arial" w:cs="Arial" w:eastAsia="Arial" w:hAnsi="Arial"/>
          <w:sz w:val="15"/>
          <w:szCs w:val="15"/>
          <w:color w:val="auto"/>
        </w:rPr>
        <w:t>. The Supplier shall send a detailed Delivery Notice to Gogo two (2) business days prior to the time of Delivery of the Product to Gogo.</w:t>
      </w:r>
    </w:p>
    <w:p>
      <w:pPr>
        <w:spacing w:after="0" w:line="245"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Risk of Loss and Title</w:t>
      </w:r>
      <w:r>
        <w:rPr>
          <w:rFonts w:ascii="Arial" w:cs="Arial" w:eastAsia="Arial" w:hAnsi="Arial"/>
          <w:sz w:val="16"/>
          <w:szCs w:val="16"/>
          <w:color w:val="auto"/>
        </w:rPr>
        <w:t>. Supplier bears all risk of loss or damage to Product(s) until Delivery to Gogo at the Delivery location specified in Section 7.2. The title to Product(s) passes to Gogo upon receipt of the Product(s) by Gogo.</w:t>
      </w:r>
    </w:p>
    <w:p>
      <w:pPr>
        <w:spacing w:after="0" w:line="172"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Export License</w:t>
      </w:r>
      <w:r>
        <w:rPr>
          <w:rFonts w:ascii="Arial" w:cs="Arial" w:eastAsia="Arial" w:hAnsi="Arial"/>
          <w:sz w:val="16"/>
          <w:szCs w:val="16"/>
          <w:color w:val="auto"/>
        </w:rPr>
        <w:t>. Gogo with support from Supplier is responsible for obtaining all necessary export licenses and completing all export clearance documents for the STE incorporating the Product.</w:t>
      </w:r>
    </w:p>
    <w:p>
      <w:pPr>
        <w:spacing w:after="0" w:line="172" w:lineRule="exact"/>
        <w:rPr>
          <w:rFonts w:ascii="Arial" w:cs="Arial" w:eastAsia="Arial" w:hAnsi="Arial"/>
          <w:sz w:val="16"/>
          <w:szCs w:val="16"/>
          <w:b w:val="1"/>
          <w:bCs w:val="1"/>
          <w:color w:val="auto"/>
        </w:rPr>
      </w:pPr>
    </w:p>
    <w:p>
      <w:pPr>
        <w:ind w:left="840" w:hanging="449"/>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Expeditious Shipping</w:t>
      </w:r>
      <w:r>
        <w:rPr>
          <w:rFonts w:ascii="Arial" w:cs="Arial" w:eastAsia="Arial" w:hAnsi="Arial"/>
          <w:sz w:val="16"/>
          <w:szCs w:val="16"/>
          <w:color w:val="auto"/>
        </w:rPr>
        <w:t>. Supplier shall, at Supplier’s expense, deliver Product(s) by the most expeditious shipping method if the delivery schedule is endangered for any reason other than Gogo’s fault. If Product(s) are delinquent to Gogo’s requirements, Supplier will grant Gogo first priority for Product(s) allocation and shipment. Gogo reserves the right to reject, at no expense to Gogo, all or any part of any delivery that materially varies from the quantity authorized by Gogo for shipment. Supplier will not make any substitutions without Gogo’s prior written approval. Items shipped in advance of Gogo’s delivery schedule may be returned at Supplier’s expense. The Order number(s) must appear on all correspondence, shipping labels, and shipping documents, including all packing sheets, bills of lading, and air waybills.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6" w:name="page47"/>
    <w:bookmarkEnd w:id="46"/>
    <w:p>
      <w:pPr>
        <w:jc w:val="both"/>
        <w:ind w:left="840" w:hanging="448"/>
        <w:spacing w:after="0" w:line="269" w:lineRule="auto"/>
        <w:tabs>
          <w:tab w:leader="none" w:pos="82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u w:val="single" w:color="auto"/>
          <w:color w:val="auto"/>
        </w:rPr>
        <w:t>Schedule Acceleration/Deceleration</w:t>
      </w:r>
      <w:r>
        <w:rPr>
          <w:rFonts w:ascii="Arial" w:cs="Arial" w:eastAsia="Arial" w:hAnsi="Arial"/>
          <w:sz w:val="16"/>
          <w:szCs w:val="16"/>
          <w:color w:val="auto"/>
        </w:rPr>
        <w:t>. Gogo may revise any delivery schedule without cost or change to the Product price stated in the applicable Order(s) if</w:t>
      </w:r>
      <w:r>
        <w:rPr>
          <w:rFonts w:ascii="Arial" w:cs="Arial" w:eastAsia="Arial" w:hAnsi="Arial"/>
          <w:sz w:val="16"/>
          <w:szCs w:val="16"/>
          <w:u w:val="single" w:color="auto"/>
          <w:color w:val="auto"/>
        </w:rPr>
        <w:t xml:space="preserve"> </w:t>
      </w:r>
      <w:r>
        <w:rPr>
          <w:rFonts w:ascii="Arial" w:cs="Arial" w:eastAsia="Arial" w:hAnsi="Arial"/>
          <w:sz w:val="16"/>
          <w:szCs w:val="16"/>
          <w:color w:val="auto"/>
        </w:rPr>
        <w:t>Gogo provides Supplier with written notice of the revised schedule and (a) the delivery date of the Product(s) under such Order(s) is deferred by [***] and is on or before the end of the term of this Agreement; and (b) if the delivery date is accelerated, the accelerated schedule remains compliant with all applicable Product lead times. Upon receipt of written notice of the change, Supplier shall make a good faith effort to meet those requirements as soon as possible, but in no event shall the revised schedule be implemented [***] after a notification of a schedule acceleration, or [***] after notification of a schedule deceleration subject to the terms and conditions outlined in Exhibit B.</w:t>
      </w:r>
    </w:p>
    <w:p>
      <w:pPr>
        <w:spacing w:after="0" w:line="192" w:lineRule="exact"/>
        <w:rPr>
          <w:sz w:val="20"/>
          <w:szCs w:val="20"/>
          <w:color w:val="auto"/>
        </w:rPr>
      </w:pPr>
    </w:p>
    <w:p>
      <w:pPr>
        <w:jc w:val="both"/>
        <w:ind w:left="840" w:hanging="448"/>
        <w:spacing w:after="0" w:line="292" w:lineRule="auto"/>
        <w:tabs>
          <w:tab w:leader="none" w:pos="82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u w:val="single" w:color="auto"/>
          <w:color w:val="auto"/>
        </w:rPr>
        <w:t>Packaging</w:t>
      </w:r>
      <w:r>
        <w:rPr>
          <w:rFonts w:ascii="Arial" w:cs="Arial" w:eastAsia="Arial" w:hAnsi="Arial"/>
          <w:sz w:val="16"/>
          <w:szCs w:val="16"/>
          <w:color w:val="auto"/>
        </w:rPr>
        <w:t>. For airborne Product(s) used on or in an aircraft, Supplier will pack such Product(s) in accordance with the ATA-300 specification (Category 3,</w:t>
      </w:r>
      <w:r>
        <w:rPr>
          <w:rFonts w:ascii="Arial" w:cs="Arial" w:eastAsia="Arial" w:hAnsi="Arial"/>
          <w:sz w:val="16"/>
          <w:szCs w:val="16"/>
          <w:u w:val="single" w:color="auto"/>
          <w:color w:val="auto"/>
        </w:rPr>
        <w:t xml:space="preserve"> </w:t>
      </w:r>
      <w:r>
        <w:rPr>
          <w:rFonts w:ascii="Arial" w:cs="Arial" w:eastAsia="Arial" w:hAnsi="Arial"/>
          <w:sz w:val="16"/>
          <w:szCs w:val="16"/>
          <w:color w:val="auto"/>
        </w:rPr>
        <w:t>Class A) and all other Product(s) shall be packed in accordance with standard commercial practices.</w:t>
      </w:r>
    </w:p>
    <w:p>
      <w:pPr>
        <w:spacing w:after="0" w:line="173" w:lineRule="exact"/>
        <w:rPr>
          <w:sz w:val="20"/>
          <w:szCs w:val="20"/>
          <w:color w:val="auto"/>
        </w:rPr>
      </w:pPr>
    </w:p>
    <w:p>
      <w:pPr>
        <w:jc w:val="both"/>
        <w:ind w:left="840" w:hanging="448"/>
        <w:spacing w:after="0" w:line="328" w:lineRule="auto"/>
        <w:tabs>
          <w:tab w:leader="none" w:pos="820"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5"/>
          <w:szCs w:val="15"/>
          <w:u w:val="single" w:color="auto"/>
          <w:color w:val="auto"/>
        </w:rPr>
        <w:t>Country of Origin</w:t>
      </w:r>
      <w:r>
        <w:rPr>
          <w:rFonts w:ascii="Arial" w:cs="Arial" w:eastAsia="Arial" w:hAnsi="Arial"/>
          <w:sz w:val="15"/>
          <w:szCs w:val="15"/>
          <w:color w:val="auto"/>
        </w:rPr>
        <w:t>. All Product(s), unless specifically exempted by the destination country’s governing authorities, must be marked with the country of origin</w:t>
      </w:r>
      <w:r>
        <w:rPr>
          <w:rFonts w:ascii="Arial" w:cs="Arial" w:eastAsia="Arial" w:hAnsi="Arial"/>
          <w:sz w:val="15"/>
          <w:szCs w:val="15"/>
          <w:u w:val="single" w:color="auto"/>
          <w:color w:val="auto"/>
        </w:rPr>
        <w:t xml:space="preserve"> </w:t>
      </w:r>
      <w:r>
        <w:rPr>
          <w:rFonts w:ascii="Arial" w:cs="Arial" w:eastAsia="Arial" w:hAnsi="Arial"/>
          <w:sz w:val="15"/>
          <w:szCs w:val="15"/>
          <w:color w:val="auto"/>
        </w:rPr>
        <w:t>(manufacture) of the Product(s) in a conspicuous place as legibly, indelibly, and permanently as the nature of the article or container permits.</w:t>
      </w:r>
    </w:p>
    <w:p>
      <w:pPr>
        <w:spacing w:after="0" w:line="149" w:lineRule="exact"/>
        <w:rPr>
          <w:sz w:val="20"/>
          <w:szCs w:val="20"/>
          <w:color w:val="auto"/>
        </w:rPr>
      </w:pPr>
    </w:p>
    <w:p>
      <w:pPr>
        <w:jc w:val="both"/>
        <w:ind w:left="840" w:hanging="448"/>
        <w:spacing w:after="0" w:line="290" w:lineRule="auto"/>
        <w:tabs>
          <w:tab w:leader="none" w:pos="820" w:val="left"/>
        </w:tabs>
        <w:rPr>
          <w:sz w:val="20"/>
          <w:szCs w:val="20"/>
          <w:color w:val="auto"/>
        </w:rPr>
      </w:pPr>
      <w:r>
        <w:rPr>
          <w:rFonts w:ascii="Arial" w:cs="Arial" w:eastAsia="Arial" w:hAnsi="Arial"/>
          <w:sz w:val="16"/>
          <w:szCs w:val="16"/>
          <w:color w:val="auto"/>
        </w:rPr>
        <w:t>7.10.</w:t>
      </w:r>
      <w:r>
        <w:rPr>
          <w:sz w:val="20"/>
          <w:szCs w:val="20"/>
          <w:color w:val="auto"/>
        </w:rPr>
        <w:tab/>
      </w:r>
      <w:r>
        <w:rPr>
          <w:rFonts w:ascii="Arial" w:cs="Arial" w:eastAsia="Arial" w:hAnsi="Arial"/>
          <w:sz w:val="15"/>
          <w:szCs w:val="15"/>
          <w:u w:val="single" w:color="auto"/>
          <w:color w:val="auto"/>
        </w:rPr>
        <w:t>Harmonized Tariff Schedule</w:t>
      </w:r>
      <w:r>
        <w:rPr>
          <w:rFonts w:ascii="Arial" w:cs="Arial" w:eastAsia="Arial" w:hAnsi="Arial"/>
          <w:sz w:val="15"/>
          <w:szCs w:val="15"/>
          <w:color w:val="auto"/>
        </w:rPr>
        <w:t>. Supplier, upon request, shall provide Gogo with (i) the Harmonized Tariff Schedule number, country of origin information or</w:t>
      </w:r>
      <w:r>
        <w:rPr>
          <w:rFonts w:ascii="Arial" w:cs="Arial" w:eastAsia="Arial" w:hAnsi="Arial"/>
          <w:sz w:val="15"/>
          <w:szCs w:val="15"/>
          <w:u w:val="single" w:color="auto"/>
          <w:color w:val="auto"/>
        </w:rPr>
        <w:t xml:space="preserve"> </w:t>
      </w:r>
      <w:r>
        <w:rPr>
          <w:rFonts w:ascii="Arial" w:cs="Arial" w:eastAsia="Arial" w:hAnsi="Arial"/>
          <w:sz w:val="15"/>
          <w:szCs w:val="15"/>
          <w:color w:val="auto"/>
        </w:rPr>
        <w:t>certificates, manufacturer’s affidavits, applicable free trade agreement (“FTA”) certificates, and any other documents or information that are available to Supplier in the ordinary course as Gogo may require to comply with international trade regulations or to lawfully minimize duties, taxes, and fees, and (ii) FTA certificates for all Product(s) that qualify under one (1) or more FTAs. To the extent available to Supplier in the ordinary course and as reasonably requested by Gogo, Supplier shall provide Gogo all documents, records, and other supporting information reasonably necessary to substantiate the Product(s)’ qualification under such FTA. Upon request, Supplier shall exert reasonable efforts to help Gogo to qualify the Product(s) under FTAs.</w:t>
      </w:r>
    </w:p>
    <w:p>
      <w:pPr>
        <w:spacing w:after="0" w:line="179" w:lineRule="exact"/>
        <w:rPr>
          <w:sz w:val="20"/>
          <w:szCs w:val="20"/>
          <w:color w:val="auto"/>
        </w:rPr>
      </w:pPr>
    </w:p>
    <w:p>
      <w:pPr>
        <w:jc w:val="both"/>
        <w:ind w:left="840" w:hanging="448"/>
        <w:spacing w:after="0" w:line="278" w:lineRule="auto"/>
        <w:tabs>
          <w:tab w:leader="none" w:pos="820" w:val="left"/>
        </w:tabs>
        <w:rPr>
          <w:sz w:val="20"/>
          <w:szCs w:val="20"/>
          <w:color w:val="auto"/>
        </w:rPr>
      </w:pPr>
      <w:r>
        <w:rPr>
          <w:rFonts w:ascii="Arial" w:cs="Arial" w:eastAsia="Arial" w:hAnsi="Arial"/>
          <w:sz w:val="16"/>
          <w:szCs w:val="16"/>
          <w:color w:val="auto"/>
        </w:rPr>
        <w:t>7.11.</w:t>
      </w:r>
      <w:r>
        <w:rPr>
          <w:sz w:val="20"/>
          <w:szCs w:val="20"/>
          <w:color w:val="auto"/>
        </w:rPr>
        <w:tab/>
      </w:r>
      <w:r>
        <w:rPr>
          <w:rFonts w:ascii="Arial" w:cs="Arial" w:eastAsia="Arial" w:hAnsi="Arial"/>
          <w:sz w:val="16"/>
          <w:szCs w:val="16"/>
          <w:u w:val="single" w:color="auto"/>
          <w:color w:val="auto"/>
        </w:rPr>
        <w:t>Shipping Documents</w:t>
      </w:r>
      <w:r>
        <w:rPr>
          <w:rFonts w:ascii="Arial" w:cs="Arial" w:eastAsia="Arial" w:hAnsi="Arial"/>
          <w:sz w:val="16"/>
          <w:szCs w:val="16"/>
          <w:color w:val="auto"/>
        </w:rPr>
        <w:t>. Upon Delivery of the Product(s) to Gogo, Supplier shall send Gogo a complete set of shipping documents including the commercial</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invoice, certificate of compliance, packing list, and air waybill or three original parts of the combined through bill of lading, clean without notation, necessary to release the Product(s) to Gogo’s custody.</w:t>
      </w:r>
    </w:p>
    <w:p>
      <w:pPr>
        <w:spacing w:after="0" w:line="183"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7.12.</w:t>
      </w:r>
      <w:r>
        <w:rPr>
          <w:sz w:val="20"/>
          <w:szCs w:val="20"/>
          <w:color w:val="auto"/>
        </w:rPr>
        <w:tab/>
      </w:r>
      <w:r>
        <w:rPr>
          <w:rFonts w:ascii="Arial" w:cs="Arial" w:eastAsia="Arial" w:hAnsi="Arial"/>
          <w:sz w:val="15"/>
          <w:szCs w:val="15"/>
          <w:u w:val="single" w:color="auto"/>
          <w:color w:val="auto"/>
        </w:rPr>
        <w:t>On Time Delivery (“OTD”)</w:t>
      </w:r>
      <w:r>
        <w:rPr>
          <w:rFonts w:ascii="Arial" w:cs="Arial" w:eastAsia="Arial" w:hAnsi="Arial"/>
          <w:sz w:val="15"/>
          <w:szCs w:val="15"/>
          <w:color w:val="auto"/>
        </w:rPr>
        <w:t>.</w:t>
      </w:r>
    </w:p>
    <w:p>
      <w:pPr>
        <w:spacing w:after="0" w:line="234" w:lineRule="exact"/>
        <w:rPr>
          <w:sz w:val="20"/>
          <w:szCs w:val="20"/>
          <w:color w:val="auto"/>
        </w:rPr>
      </w:pPr>
    </w:p>
    <w:p>
      <w:pPr>
        <w:ind w:left="1360" w:hanging="379"/>
        <w:spacing w:after="0" w:line="292" w:lineRule="auto"/>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Supplier shall achieve an OTD of at least ninety-eight percent (98%). In addition, Supplier shall provide an OTD of one-hundred percent (100%) within ten (10) days of the acknowledged Order delivery date, unless otherwise agreed by the Parties.</w:t>
      </w:r>
    </w:p>
    <w:p>
      <w:pPr>
        <w:spacing w:after="0" w:line="172" w:lineRule="exact"/>
        <w:rPr>
          <w:rFonts w:ascii="Arial" w:cs="Arial" w:eastAsia="Arial" w:hAnsi="Arial"/>
          <w:sz w:val="16"/>
          <w:szCs w:val="16"/>
          <w:color w:val="auto"/>
        </w:rPr>
      </w:pPr>
    </w:p>
    <w:p>
      <w:pPr>
        <w:ind w:left="1360" w:hanging="379"/>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jc w:val="both"/>
        <w:ind w:left="1360" w:hanging="379"/>
        <w:spacing w:after="0" w:line="273" w:lineRule="auto"/>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addition to the foregoing, should Supplier fail to meet the OTD, Supplier agrees to take the following corrective actions: Supplier will prepare a corrective action analysis and recovery plan for any Product that fails to meet the OTD. Supplier shall be responsible for funding and absorbing its own costs and expenditures for doing so throughout the period of this Agreement. Supplier’s senior management will present the corrective action and recovery plan to Gogo at Gogo’s location.</w:t>
      </w:r>
    </w:p>
    <w:p>
      <w:pPr>
        <w:spacing w:after="0" w:line="188"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7.13.</w:t>
      </w:r>
      <w:r>
        <w:rPr>
          <w:sz w:val="20"/>
          <w:szCs w:val="20"/>
          <w:color w:val="auto"/>
        </w:rPr>
        <w:tab/>
      </w:r>
      <w:r>
        <w:rPr>
          <w:rFonts w:ascii="Arial" w:cs="Arial" w:eastAsia="Arial" w:hAnsi="Arial"/>
          <w:sz w:val="14"/>
          <w:szCs w:val="14"/>
          <w:u w:val="single" w:color="auto"/>
          <w:color w:val="auto"/>
        </w:rPr>
        <w:t>Acceptance</w:t>
      </w:r>
      <w:r>
        <w:rPr>
          <w:rFonts w:ascii="Arial" w:cs="Arial" w:eastAsia="Arial" w:hAnsi="Arial"/>
          <w:sz w:val="14"/>
          <w:szCs w:val="14"/>
          <w:color w:val="auto"/>
        </w:rPr>
        <w:t>.</w:t>
      </w:r>
    </w:p>
    <w:p>
      <w:pPr>
        <w:spacing w:after="0" w:line="234" w:lineRule="exact"/>
        <w:rPr>
          <w:sz w:val="20"/>
          <w:szCs w:val="20"/>
          <w:color w:val="auto"/>
        </w:rPr>
      </w:pPr>
    </w:p>
    <w:p>
      <w:pPr>
        <w:ind w:left="1360" w:right="80" w:hanging="379"/>
        <w:spacing w:after="0" w:line="271"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Following the delivery of each Product by the Supplier, Gogo may conduct acceptance testing to determine whether the Product was delivered in conformance with the requirements of this Agreement. Gogo may reject (i) any Product that does not conform to any of the Specifications; (ii) any Product that is damaged during shipment to Gogo if Supplier is responsible for shipment; or (iii) any delivery of Products which does not conform with each and every requirement identified in the applicable Order. Nothing herein shall, however, be construed to limit the warranty provisions of this Agreement.</w:t>
      </w:r>
    </w:p>
    <w:p>
      <w:pPr>
        <w:spacing w:after="0" w:line="188" w:lineRule="exact"/>
        <w:rPr>
          <w:rFonts w:ascii="Arial" w:cs="Arial" w:eastAsia="Arial" w:hAnsi="Arial"/>
          <w:sz w:val="16"/>
          <w:szCs w:val="16"/>
          <w:color w:val="auto"/>
        </w:rPr>
      </w:pPr>
    </w:p>
    <w:p>
      <w:pPr>
        <w:ind w:left="1360" w:right="140" w:hanging="379"/>
        <w:spacing w:after="0" w:line="29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Products rejected by Gogo, in accordance with Section 7.13(a), within [***] after Delivery by Supplier may be returned to Supplier, and Supplier shall send a conforming Product as a replacement for each rejected Product.</w:t>
      </w:r>
    </w:p>
    <w:p>
      <w:pPr>
        <w:spacing w:after="0" w:line="168" w:lineRule="exact"/>
        <w:rPr>
          <w:rFonts w:ascii="Arial" w:cs="Arial" w:eastAsia="Arial" w:hAnsi="Arial"/>
          <w:sz w:val="16"/>
          <w:szCs w:val="16"/>
          <w:color w:val="auto"/>
        </w:rPr>
      </w:pPr>
    </w:p>
    <w:p>
      <w:pPr>
        <w:ind w:left="380" w:hanging="372"/>
        <w:spacing w:after="0"/>
        <w:tabs>
          <w:tab w:leader="none" w:pos="3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p>
    <w:p>
      <w:pPr>
        <w:spacing w:after="0" w:line="238"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Obligations</w:t>
      </w:r>
      <w:r>
        <w:rPr>
          <w:rFonts w:ascii="Arial" w:cs="Arial" w:eastAsia="Arial" w:hAnsi="Arial"/>
          <w:sz w:val="16"/>
          <w:szCs w:val="16"/>
          <w:color w:val="auto"/>
        </w:rPr>
        <w:t>. Subject to Section 8.2, Recipient agrees that it will only use Discloser’s Confidential Information only in the performance of its obligations under this Agreement (the “permitted purpose”) and only during the term of this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7" w:name="page48"/>
    <w:bookmarkEnd w:id="47"/>
    <w:p>
      <w:pPr>
        <w:jc w:val="both"/>
        <w:ind w:left="840"/>
        <w:spacing w:after="0" w:line="286" w:lineRule="auto"/>
        <w:rPr>
          <w:sz w:val="20"/>
          <w:szCs w:val="20"/>
          <w:color w:val="auto"/>
        </w:rPr>
      </w:pPr>
      <w:r>
        <w:rPr>
          <w:rFonts w:ascii="Arial" w:cs="Arial" w:eastAsia="Arial" w:hAnsi="Arial"/>
          <w:sz w:val="15"/>
          <w:szCs w:val="15"/>
          <w:color w:val="auto"/>
        </w:rPr>
        <w:t>Agreement, and it will hold Discloser’s Confidential Information in strict confidence and not disclose it to any third party except as approved in writing by Discloser. Recipient will protect Discloser’s Confidential Information using the same degree of care that Recipient uses to protect its confidential materials of a similar nature, but in no case will Recipient employ less than a commercially reasonable degree of care. Recipient will not reverse engineer or attempt to derive the composition or underlying information, structure or ideas of Discloser’s Confidential Information. Recipient will only permit access to Discloser’s Confidential Information to those of its and its Affiliates’ employees, officers, directors, contractors, subcontractors, authorized representatives, or airline partners (collectively, the “Representatives”) who have a need to know for the permitted purpose, have been informed of the confidential nature of the Confidential Information, and are bound by written confidentiality obligations no less restrictive than those contained herein. All of Recipient’s Representatives shall only use the Confidential Information for the permitted purpose and will be responsible for the disclosure and use of Confidential Information as though they were Recipient, and Recipient will be responsible for all violations of this Agreement resulting from the actions of its Representatives. Recipient will immediately notify Discloser upon discovery of any loss or unauthorized disclosure of Discloser’s Confidential Information.</w:t>
      </w:r>
    </w:p>
    <w:p>
      <w:pPr>
        <w:spacing w:after="0" w:line="183" w:lineRule="exact"/>
        <w:rPr>
          <w:sz w:val="20"/>
          <w:szCs w:val="20"/>
          <w:color w:val="auto"/>
        </w:rPr>
      </w:pPr>
    </w:p>
    <w:p>
      <w:pPr>
        <w:jc w:val="both"/>
        <w:ind w:left="840" w:hanging="448"/>
        <w:spacing w:after="0" w:line="286" w:lineRule="auto"/>
        <w:tabs>
          <w:tab w:leader="none" w:pos="82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u w:val="single" w:color="auto"/>
          <w:color w:val="auto"/>
        </w:rPr>
        <w:t>Exclusions</w:t>
      </w:r>
      <w:r>
        <w:rPr>
          <w:rFonts w:ascii="Arial" w:cs="Arial" w:eastAsia="Arial" w:hAnsi="Arial"/>
          <w:sz w:val="15"/>
          <w:szCs w:val="15"/>
          <w:color w:val="auto"/>
        </w:rPr>
        <w:t>. Recipient has no obligations under this Agreement with respect to any portion of Discloser’s Confidential Information if Recipient can establish</w:t>
      </w:r>
      <w:r>
        <w:rPr>
          <w:rFonts w:ascii="Arial" w:cs="Arial" w:eastAsia="Arial" w:hAnsi="Arial"/>
          <w:sz w:val="15"/>
          <w:szCs w:val="15"/>
          <w:u w:val="single" w:color="auto"/>
          <w:color w:val="auto"/>
        </w:rPr>
        <w:t xml:space="preserve"> </w:t>
      </w:r>
      <w:r>
        <w:rPr>
          <w:rFonts w:ascii="Arial" w:cs="Arial" w:eastAsia="Arial" w:hAnsi="Arial"/>
          <w:sz w:val="15"/>
          <w:szCs w:val="15"/>
          <w:color w:val="auto"/>
        </w:rPr>
        <w:t>that: (a) it was publicly available at the time it was communicated to Recipient by Discloser; (b) it became publicly available subsequent to the time it was communicated to Recipient by Discloser through no fault of Recipient, or Recipient’s Representatives; (c) it was in Recipient’s possession free of any obligation of confidence at the time it was communicated to Recipient by Discloser; (d) it was rightfully communicated to Recipient free of any obligation of confidence subsequent to the time it was communicated to Recipient by Discloser; or (e) it was developed by employees or agents of Recipient independently of and without reference to Discloser’s Confidential Information. In any dispute with respect to these exclusions, Recipient shall have the burden of proof, and such proof shall be by clear and convincing evidence. Recipient will not be in violation of this Agreement with regard to a disclosure that is in response to a requirement of applicable law, an order by a court or other governmental body, or to the extent required by the Securities and Exchange Commission in a securities filing, provided that, if feasible, Recipient provides Discloser with reasonable prior written notice of such disclosure to permit Discloser to seek confidential treatment of such information or otherwise contest or limit the disclosure thereof.</w:t>
      </w:r>
    </w:p>
    <w:p>
      <w:pPr>
        <w:spacing w:after="0" w:line="183" w:lineRule="exact"/>
        <w:rPr>
          <w:sz w:val="20"/>
          <w:szCs w:val="20"/>
          <w:color w:val="auto"/>
        </w:rPr>
      </w:pPr>
    </w:p>
    <w:p>
      <w:pPr>
        <w:jc w:val="both"/>
        <w:ind w:left="840" w:hanging="448"/>
        <w:spacing w:after="0" w:line="304" w:lineRule="auto"/>
        <w:tabs>
          <w:tab w:leader="none" w:pos="82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5"/>
          <w:szCs w:val="15"/>
          <w:u w:val="single" w:color="auto"/>
          <w:color w:val="auto"/>
        </w:rPr>
        <w:t>Restrictions</w:t>
      </w:r>
      <w:r>
        <w:rPr>
          <w:rFonts w:ascii="Arial" w:cs="Arial" w:eastAsia="Arial" w:hAnsi="Arial"/>
          <w:sz w:val="15"/>
          <w:szCs w:val="15"/>
          <w:color w:val="auto"/>
        </w:rPr>
        <w:t>. Recipient will not reproduce Discloser’s Confidential Information in any form except as required to accomplish the permitted purpose. Any</w:t>
      </w:r>
      <w:r>
        <w:rPr>
          <w:rFonts w:ascii="Arial" w:cs="Arial" w:eastAsia="Arial" w:hAnsi="Arial"/>
          <w:sz w:val="15"/>
          <w:szCs w:val="15"/>
          <w:u w:val="single" w:color="auto"/>
          <w:color w:val="auto"/>
        </w:rPr>
        <w:t xml:space="preserve"> </w:t>
      </w:r>
      <w:r>
        <w:rPr>
          <w:rFonts w:ascii="Arial" w:cs="Arial" w:eastAsia="Arial" w:hAnsi="Arial"/>
          <w:sz w:val="15"/>
          <w:szCs w:val="15"/>
          <w:color w:val="auto"/>
        </w:rPr>
        <w:t>reproduction of any Confidential Information will remain Discloser’s property and will contain any and all confidential or proprietary notices or legends that appear on the original. Neither Party will communicate any information to the other in violation of its confidentiality obligations to any third party.</w:t>
      </w:r>
    </w:p>
    <w:p>
      <w:pPr>
        <w:spacing w:after="0" w:line="167" w:lineRule="exact"/>
        <w:rPr>
          <w:sz w:val="20"/>
          <w:szCs w:val="20"/>
          <w:color w:val="auto"/>
        </w:rPr>
      </w:pPr>
    </w:p>
    <w:p>
      <w:pPr>
        <w:jc w:val="both"/>
        <w:ind w:left="840" w:hanging="448"/>
        <w:spacing w:after="0" w:line="290" w:lineRule="auto"/>
        <w:tabs>
          <w:tab w:leader="none" w:pos="82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5"/>
          <w:szCs w:val="15"/>
          <w:color w:val="auto"/>
        </w:rPr>
        <w:t>Recipient’s obligations of confidentiality hereunder will continue in full force and effect for [***] years from the initial date of disclosure of such Confidential Information, or in the case of any trade secret, for as long as such Confidential Information remains a trade secret. Upon written request of Discloser, Recipient will promptly destroy or return to Discloser all of Discloser’s Confidential Information in any form (including electronic media and including Recipient’s notes or materials that incorporate any of Discloser’s Confidential Information), except as described in the following sentence. Recipient shall not, in connection with the foregoing obligations, be required to delete Confidential Information held electronically in archive or backup systems in accordance with general systems archiving or backup policies, and Recipient’s obligations under this Agreement will continue to apply to such Confidential Information.</w:t>
      </w:r>
    </w:p>
    <w:p>
      <w:pPr>
        <w:spacing w:after="0" w:line="179"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TERMINATION.</w:t>
      </w:r>
    </w:p>
    <w:p>
      <w:pPr>
        <w:spacing w:after="0" w:line="234"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360" w:hanging="379"/>
        <w:spacing w:after="0"/>
        <w:tabs>
          <w:tab w:leader="none" w:pos="13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360" w:hanging="379"/>
        <w:spacing w:after="0"/>
        <w:tabs>
          <w:tab w:leader="none" w:pos="13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360" w:hanging="379"/>
        <w:spacing w:after="0"/>
        <w:tabs>
          <w:tab w:leader="none" w:pos="13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360" w:hanging="379"/>
        <w:spacing w:after="0"/>
        <w:tabs>
          <w:tab w:leader="none" w:pos="13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u w:val="single" w:color="auto"/>
          <w:color w:val="auto"/>
        </w:rPr>
        <w:t>Consequences of Termination</w:t>
      </w:r>
      <w:r>
        <w:rPr>
          <w:rFonts w:ascii="Arial" w:cs="Arial" w:eastAsia="Arial" w:hAnsi="Arial"/>
          <w:sz w:val="14"/>
          <w:szCs w:val="14"/>
          <w:color w:val="auto"/>
        </w:rPr>
        <w:t>. Upon the termination of this Agreement:</w:t>
      </w:r>
    </w:p>
    <w:p>
      <w:pPr>
        <w:spacing w:after="0" w:line="234" w:lineRule="exact"/>
        <w:rPr>
          <w:sz w:val="20"/>
          <w:szCs w:val="20"/>
          <w:color w:val="auto"/>
        </w:rPr>
      </w:pPr>
    </w:p>
    <w:p>
      <w:pPr>
        <w:ind w:left="1360" w:right="120" w:hanging="379"/>
        <w:spacing w:after="0" w:line="273" w:lineRule="auto"/>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Within 30 days after the effective date of such termination (and if applicable, without prejudice to Section 9.2(c)), a final invoice including all fees and charges for Products and Services performed and expenses incurred prior to and including the effective date of termination shall be generated by Supplier as set forth in each applicable Exhibit, provided that the prices to be paid for Ordered Products shall be those set forth in Exhibit B, and Gogo shall pay such invoice in accordance with Section 4.1.</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8" w:name="page49"/>
    <w:bookmarkEnd w:id="48"/>
    <w:p>
      <w:pPr>
        <w:ind w:left="1360" w:right="220" w:hanging="379"/>
        <w:spacing w:after="0" w:line="292" w:lineRule="auto"/>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Supplier shall deliver all Ordered Products to Gogo. Upon Gogo’s compliance with its obligations pursuant to Sections 4.1 and 9.2(a), Gogo shall be deemed to have paid Supplier for the applicable Products.</w:t>
      </w:r>
    </w:p>
    <w:p>
      <w:pPr>
        <w:spacing w:after="0" w:line="172" w:lineRule="exact"/>
        <w:rPr>
          <w:rFonts w:ascii="Arial" w:cs="Arial" w:eastAsia="Arial" w:hAnsi="Arial"/>
          <w:sz w:val="16"/>
          <w:szCs w:val="16"/>
          <w:color w:val="auto"/>
        </w:rPr>
      </w:pPr>
    </w:p>
    <w:p>
      <w:pPr>
        <w:ind w:left="1360" w:right="20" w:hanging="379"/>
        <w:spacing w:after="0" w:line="292" w:lineRule="auto"/>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Subject to Gogo’s compliance with its obligations pursuant to Sections 4.1 and 9.2(a), Supplier’s warranty and Product Support obligations shall survive the termination of this Agreement.</w:t>
      </w:r>
    </w:p>
    <w:p>
      <w:pPr>
        <w:spacing w:after="0" w:line="172" w:lineRule="exact"/>
        <w:rPr>
          <w:rFonts w:ascii="Arial" w:cs="Arial" w:eastAsia="Arial" w:hAnsi="Arial"/>
          <w:sz w:val="16"/>
          <w:szCs w:val="16"/>
          <w:color w:val="auto"/>
        </w:rPr>
      </w:pPr>
    </w:p>
    <w:p>
      <w:pPr>
        <w:ind w:left="1360" w:hanging="379"/>
        <w:spacing w:after="0"/>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360" w:right="40" w:hanging="379"/>
        <w:spacing w:after="0" w:line="323" w:lineRule="auto"/>
        <w:tabs>
          <w:tab w:leader="none" w:pos="13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 xml:space="preserve">Each Party shall return to the other Party all Confidential Information of the other Party (including all copies thereof) and all other papers, materials and other property of the other Party in such Party’s possession, and certify that it has deleted such Confidential Information from all of its electronic media,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both Parties may retain whatever Confidential Information of the other Party that is necessary to exercise any of such Party’s surviving rights or obligations hereunder. Supplier may retain one copy of such Confidential Information, as required, for archival purposes only.</w:t>
      </w:r>
    </w:p>
    <w:p>
      <w:pPr>
        <w:spacing w:after="0" w:line="154" w:lineRule="exact"/>
        <w:rPr>
          <w:rFonts w:ascii="Arial" w:cs="Arial" w:eastAsia="Arial" w:hAnsi="Arial"/>
          <w:sz w:val="14"/>
          <w:szCs w:val="14"/>
          <w:color w:val="auto"/>
        </w:rPr>
      </w:pPr>
    </w:p>
    <w:p>
      <w:pPr>
        <w:ind w:left="380" w:hanging="372"/>
        <w:spacing w:after="0"/>
        <w:tabs>
          <w:tab w:leader="none" w:pos="3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p>
    <w:p>
      <w:pPr>
        <w:spacing w:after="0" w:line="238" w:lineRule="exact"/>
        <w:rPr>
          <w:rFonts w:ascii="Arial" w:cs="Arial" w:eastAsia="Arial" w:hAnsi="Arial"/>
          <w:sz w:val="16"/>
          <w:szCs w:val="16"/>
          <w:b w:val="1"/>
          <w:bCs w:val="1"/>
          <w:color w:val="auto"/>
        </w:rPr>
      </w:pPr>
    </w:p>
    <w:p>
      <w:pPr>
        <w:ind w:left="840" w:hanging="449"/>
        <w:spacing w:after="0" w:line="305" w:lineRule="auto"/>
        <w:rPr>
          <w:rFonts w:ascii="Arial" w:cs="Arial" w:eastAsia="Arial" w:hAnsi="Arial"/>
          <w:sz w:val="16"/>
          <w:szCs w:val="16"/>
          <w:b w:val="1"/>
          <w:bCs w:val="1"/>
          <w:color w:val="auto"/>
        </w:rPr>
      </w:pPr>
      <w:r>
        <w:rPr>
          <w:rFonts w:ascii="Arial" w:cs="Arial" w:eastAsia="Arial" w:hAnsi="Arial"/>
          <w:sz w:val="14"/>
          <w:szCs w:val="14"/>
          <w:color w:val="auto"/>
        </w:rPr>
        <w:t>10.1. Supplier shall maintain during the term of this Agreement, at its own expense, with insurance companies rated A- VIII or better by A.M. Best, the following insurance coverage: (a) Workers’ Compensation including Occupational Disease insurance, in compliance with the statutory requirements of the state, province or other jurisdiction in which the work is performed, and Employers’ Liability insurance with an insured limit of at least [***] per occurrence; (b) Commercial General Liability insurance on an occurrence basis with a minimum amount of [***] per occurrence and [***] in the aggregate for bodily injury including death, personal injury, and property damage including loss of use and also covering products/completed operations liability, broad form property damage, independent contractor coverage, and contractual liability. Cross-liability coverage as would be achieved under the standard ISO separation of insured’s clause shall be included; (c) Umbrella or Excess Liability insurance on an occurrence basis of at least [***] per occurrence; (d) Auto liability insurance covering all vehicles owned by or registered in the name of Supplier or its Affiliates and including liability for hired, rented or other non-owned vehicles with a minimum insured limit of [***] per occurrence; (e) Professional Liability or Errors and Omissions insurance with a limit not less than [***]. Coverage shall include claims for infringement of any Intellectual Property right of any third party including, without limitation, copyright and trademark infringement, claims arising from wrongful acts from technology products or professional services including coverage for claims resulting from viruses, negligent design and unauthorized access to private or Confidential Information. Such insurance shall be maintained during the term of this Agreement and for at least two years after the expiration or termination of this Agreement; (g) Privacy/Network Security (Cyber) Liability Insurance providing protection against liability for (i) privacy breaches (including protection against liability from the loss of Confidential Information (whether sensitive personal or corporate information)) in any format no matter how it occurs, (ii) system breach, (iii) denial or loss of service, (iv) introduction, implantation, or spread of malicious software code, and (v) unauthorized access to or use of computer systems in an amount not less than [***]. The policy shall include coverage for vicarious liability and cover Intellectual Property infringement, Networks Operations Security, Privacy Liability, Cyber Security, Cyber Extortion, Identification Theft and Regulatory Actions.</w:t>
      </w:r>
    </w:p>
    <w:p>
      <w:pPr>
        <w:spacing w:after="0" w:line="380" w:lineRule="exact"/>
        <w:rPr>
          <w:rFonts w:ascii="Arial" w:cs="Arial" w:eastAsia="Arial" w:hAnsi="Arial"/>
          <w:sz w:val="16"/>
          <w:szCs w:val="16"/>
          <w:b w:val="1"/>
          <w:bCs w:val="1"/>
          <w:color w:val="auto"/>
        </w:rPr>
      </w:pPr>
    </w:p>
    <w:p>
      <w:pPr>
        <w:ind w:left="840" w:hanging="449"/>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10.2. The Workers’ Compensation and Occupational Disease insurance coverage in Section 10.1(a) above shall include a waiver of subrogation against Customer. Insurance coverage in Section 10.1(b) above shall (i) name Customer, its parent, subsidiaries and Affiliates as additional insured; (ii) designate Customer as primary with respect to, and not contributing to or in excess of, any other similar insurance maintained by Customer; and (iii) include a waiver of subrogation against Customer. Insurance coverage in Section 10.1(c) and Section 10.1(d) above shall (i) name Customer, its parent, subsidiaries and Affiliates as an additional insured; and (ii) include a waiver of subrogation against Customer.</w:t>
      </w:r>
    </w:p>
    <w:p>
      <w:pPr>
        <w:spacing w:after="0" w:line="188"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10.3. For all above mentioned policies such endorsements shall be evidenced on a certificate of insurance furnished to Customer and must provide at least 30 days’ written notice in the event of cancellation of any such policy.</w:t>
      </w:r>
    </w:p>
    <w:p>
      <w:pPr>
        <w:spacing w:after="0" w:line="172" w:lineRule="exact"/>
        <w:rPr>
          <w:rFonts w:ascii="Arial" w:cs="Arial" w:eastAsia="Arial" w:hAnsi="Arial"/>
          <w:sz w:val="16"/>
          <w:szCs w:val="16"/>
          <w:b w:val="1"/>
          <w:bCs w:val="1"/>
          <w:color w:val="auto"/>
        </w:rPr>
      </w:pPr>
    </w:p>
    <w:p>
      <w:pPr>
        <w:ind w:left="840" w:hanging="449"/>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10.4. Supplier will use commercially reasonable efforts to cause any company, vendor or subcontractor being engaged for work under this Agreement, including without limitation under any Order, is bound to substantially similar terms under this Section, as appropriate or applicable, and that appropriate Certificates of Insurance or other evidence of such insurance coverage shall be provided to Supplier.</w:t>
      </w:r>
    </w:p>
    <w:p>
      <w:pPr>
        <w:spacing w:after="0" w:line="179" w:lineRule="exact"/>
        <w:rPr>
          <w:rFonts w:ascii="Arial" w:cs="Arial" w:eastAsia="Arial" w:hAnsi="Arial"/>
          <w:sz w:val="16"/>
          <w:szCs w:val="16"/>
          <w:b w:val="1"/>
          <w:bCs w:val="1"/>
          <w:color w:val="auto"/>
        </w:rPr>
      </w:pPr>
    </w:p>
    <w:p>
      <w:pPr>
        <w:ind w:left="380" w:hanging="372"/>
        <w:spacing w:after="0"/>
        <w:tabs>
          <w:tab w:leader="none" w:pos="3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w:t>
      </w:r>
    </w:p>
    <w:p>
      <w:pPr>
        <w:spacing w:after="0" w:line="238"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Supplier</w:t>
      </w:r>
      <w:r>
        <w:rPr>
          <w:rFonts w:ascii="Arial" w:cs="Arial" w:eastAsia="Arial" w:hAnsi="Arial"/>
          <w:sz w:val="16"/>
          <w:szCs w:val="16"/>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9" w:name="page50"/>
    <w:bookmarkEnd w:id="49"/>
    <w:p>
      <w:pPr>
        <w:jc w:val="both"/>
        <w:ind w:left="1380" w:hanging="523"/>
        <w:spacing w:after="0" w:line="278" w:lineRule="auto"/>
        <w:rPr>
          <w:sz w:val="20"/>
          <w:szCs w:val="20"/>
          <w:color w:val="auto"/>
        </w:rPr>
      </w:pPr>
      <w:r>
        <w:rPr>
          <w:rFonts w:ascii="Arial" w:cs="Arial" w:eastAsia="Arial" w:hAnsi="Arial"/>
          <w:sz w:val="16"/>
          <w:szCs w:val="16"/>
          <w:color w:val="auto"/>
        </w:rPr>
        <w:t>11.1.1. Supplier shall indemnify, defend (at Supplier’s expense) and hold Gogo, its Affiliates and their respective officers, directors, agents and employees harmless from and against any court costs, reasonable attorneys’ fees and expenses, settlement expenses, court-awarded damages and reasonable costs of investigation arising out of or resulting from: [***].</w:t>
      </w:r>
    </w:p>
    <w:p>
      <w:pPr>
        <w:spacing w:after="0" w:line="183" w:lineRule="exact"/>
        <w:rPr>
          <w:sz w:val="20"/>
          <w:szCs w:val="20"/>
          <w:color w:val="auto"/>
        </w:rPr>
      </w:pPr>
    </w:p>
    <w:p>
      <w:pPr>
        <w:jc w:val="both"/>
        <w:ind w:left="1380" w:hanging="523"/>
        <w:spacing w:after="0" w:line="306" w:lineRule="auto"/>
        <w:rPr>
          <w:sz w:val="20"/>
          <w:szCs w:val="20"/>
          <w:color w:val="auto"/>
        </w:rPr>
      </w:pPr>
      <w:r>
        <w:rPr>
          <w:rFonts w:ascii="Arial" w:cs="Arial" w:eastAsia="Arial" w:hAnsi="Arial"/>
          <w:sz w:val="14"/>
          <w:szCs w:val="14"/>
          <w:color w:val="auto"/>
        </w:rPr>
        <w:t xml:space="preserve">11.1.2. If any of the Products or any portion thereof is held, or in Supplier’s reasonable opinion is likely to be held, in any such suit to constitute an infringement, misappropriation or violation of the rights of a third party, Supplier shall promptly, at its expense and option, either: (i) secure for Gogo the right to continue the use of such Product; or (ii) replace such Product with a substantially equivalent item that is not subject to any such claim, or modify such Product so that it becomes no longer subject to any such claim;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after any such replacement or modification, the Product must continue to substantially conform to the Specifications, and </w:t>
      </w:r>
      <w:r>
        <w:rPr>
          <w:rFonts w:ascii="Arial" w:cs="Arial" w:eastAsia="Arial" w:hAnsi="Arial"/>
          <w:sz w:val="14"/>
          <w:szCs w:val="14"/>
          <w:u w:val="single" w:color="auto"/>
          <w:color w:val="auto"/>
        </w:rPr>
        <w:t>further provided</w:t>
      </w:r>
      <w:r>
        <w:rPr>
          <w:rFonts w:ascii="Arial" w:cs="Arial" w:eastAsia="Arial" w:hAnsi="Arial"/>
          <w:sz w:val="14"/>
          <w:szCs w:val="14"/>
          <w:color w:val="auto"/>
        </w:rPr>
        <w:t>, that any such modified or replaced Product shall be subject to all Supplier warranties contained herein. If Supplier is unable to procure the right to continued use of such Product, or to modify or replace such Product, as provided in clauses (i) and (ii) of the immediately preceding sentence, then Gogo shall return such Product to Supplier, and Supplier shall refund to Gogo the amount paid to Supplier for such Products. In addition, if SOWs are specifically identified as phases of the same project in each of the applicable SOW, and Supplier fails to correct an infringement, misappropriation or violation in one of the phases, Supplier shall refund to Gogo (A) all amounts paid to Supplier for the applicable Product, and (B) all amounts paid to Supplier for other Products that are part of the same project but are rendered to be of no reasonable utility to Gogo without the applicable Product. Supplier shall have no liability under this Section 11.1 to the extent arising from: (i) use of any item provided by Supplier hereunder in combination with other items not provided or approved by Supplier or with which such items were not designed to be used; (ii) Gogo’s modification of any item provided by Supplier hereunder; or (iii) Supplier’s compliance with Gogo’s designs or specifications (where such designs or specifications form the basis for the claim, and not Supplier’s chosen implementation), or (iv) Supplier’s incorporation of technology supplied or dictated by Gogo (where such technology forms the basis for the claim).</w:t>
      </w:r>
    </w:p>
    <w:p>
      <w:pPr>
        <w:spacing w:after="0" w:line="171" w:lineRule="exact"/>
        <w:rPr>
          <w:sz w:val="20"/>
          <w:szCs w:val="20"/>
          <w:color w:val="auto"/>
        </w:rPr>
      </w:pPr>
    </w:p>
    <w:p>
      <w:pPr>
        <w:jc w:val="both"/>
        <w:ind w:left="840" w:hanging="448"/>
        <w:spacing w:after="0" w:line="271" w:lineRule="auto"/>
        <w:tabs>
          <w:tab w:leader="none" w:pos="82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u w:val="single" w:color="auto"/>
          <w:color w:val="auto"/>
        </w:rPr>
        <w:t>Indemnification by Gogo</w:t>
      </w:r>
      <w:r>
        <w:rPr>
          <w:rFonts w:ascii="Arial" w:cs="Arial" w:eastAsia="Arial" w:hAnsi="Arial"/>
          <w:sz w:val="16"/>
          <w:szCs w:val="16"/>
          <w:color w:val="auto"/>
        </w:rPr>
        <w:t>. Gogo shall indemnify, defend (at Gogo’s expense) and hold Supplier, its Affiliates and their respective officers, directors, agents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employees harmless from and against any court costs, reasonable attorneys’ fees and expenses, settlement expenses, court-awarded damages and reasonable costs of investigation arising out of or resulting from (i) any bodily injury or real or tangible personal property damage arising out of Gogo’s negligence or willful misconduct or defective Gogo Items; and (ii) any third-party claim that such third party’s patent, trademark, trade secret, copyright or trade dress right is infringed, misappropriated or violated by any Gogo Materials.</w:t>
      </w:r>
    </w:p>
    <w:p>
      <w:pPr>
        <w:spacing w:after="0" w:line="188" w:lineRule="exact"/>
        <w:rPr>
          <w:sz w:val="20"/>
          <w:szCs w:val="20"/>
          <w:color w:val="auto"/>
        </w:rPr>
      </w:pPr>
    </w:p>
    <w:p>
      <w:pPr>
        <w:jc w:val="both"/>
        <w:ind w:left="840" w:hanging="448"/>
        <w:spacing w:after="0" w:line="287" w:lineRule="auto"/>
        <w:tabs>
          <w:tab w:leader="none" w:pos="82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5"/>
          <w:szCs w:val="15"/>
          <w:u w:val="single" w:color="auto"/>
          <w:color w:val="auto"/>
        </w:rPr>
        <w:t>Indemnification Procedures</w:t>
      </w:r>
      <w:r>
        <w:rPr>
          <w:rFonts w:ascii="Arial" w:cs="Arial" w:eastAsia="Arial" w:hAnsi="Arial"/>
          <w:sz w:val="15"/>
          <w:szCs w:val="15"/>
          <w:color w:val="auto"/>
        </w:rPr>
        <w:t>. Promptly after receipt by an indemnified party of a notice of any claim or the commencement of any action, such indemnified</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party shall: (a) notify the indemnifying party in writing of any such claim; (b) provide the indemnifying party with reasonable assistance to settle or defend such claim, at the indemnifying party’s own expense; and (c) grant to the indemnifying party the right to control the defense and/or settlement of such claim, at the indemnifying party’s own expense;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failure to so notify, provide assistance and grant authority and control shall only relieve the indemnifying party of its obligation to the indemnified party to the extent that the indemnifying party is prejudiced thereby; (ii) the indemnifying party shall not, without the indemnified party’s consent (such consent not to be unreasonably withheld or delayed), agree to any settlement that: (A) makes any admission on behalf of the indemnified party; or (B) consents to any injunction against the indemnified party (except an injunction relating solely to the indemnified party’s continued use of any infringing Product or Gogo Materials); and (iii) the indemnified party shall have the right, at its expense, to monitor any legal proceeding through legal counsel of its choosing, but shall have no right to settle a claim without the indemnifying party’s written consent.</w:t>
      </w:r>
    </w:p>
    <w:p>
      <w:pPr>
        <w:spacing w:after="0" w:line="176"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 OF LIABILITY.</w:t>
      </w:r>
    </w:p>
    <w:p>
      <w:pPr>
        <w:spacing w:after="0" w:line="238" w:lineRule="exact"/>
        <w:rPr>
          <w:rFonts w:ascii="Arial" w:cs="Arial" w:eastAsia="Arial" w:hAnsi="Arial"/>
          <w:sz w:val="16"/>
          <w:szCs w:val="16"/>
          <w:b w:val="1"/>
          <w:bCs w:val="1"/>
          <w:color w:val="auto"/>
        </w:rPr>
      </w:pPr>
    </w:p>
    <w:p>
      <w:pPr>
        <w:ind w:left="840" w:hanging="449"/>
        <w:spacing w:after="0" w:line="267" w:lineRule="auto"/>
        <w:rPr>
          <w:rFonts w:ascii="Arial" w:cs="Arial" w:eastAsia="Arial" w:hAnsi="Arial"/>
          <w:sz w:val="16"/>
          <w:szCs w:val="16"/>
          <w:b w:val="1"/>
          <w:bCs w:val="1"/>
          <w:color w:val="auto"/>
        </w:rPr>
      </w:pPr>
      <w:r>
        <w:rPr>
          <w:rFonts w:ascii="Arial" w:cs="Arial" w:eastAsia="Arial" w:hAnsi="Arial"/>
          <w:sz w:val="16"/>
          <w:szCs w:val="16"/>
          <w:color w:val="auto"/>
        </w:rPr>
        <w:t>12.1. EXCEPT IN CONNECTION WITH (a) SECTION 8, (b) SECTION [***], AND (c) EITHER PARTY’S INFRINGEMENT OR VIOLATION OF THE OTHER PARTY’S INTELLECTUAL PROPERTY RIGHTS, IN NO EVENT SHALL EITHER PARTY, ITS AFFILIATES, OR THEIR RESPECTIVE DIRECTORS, OFFICERS, AGENTS, SUBCONTRACTORS OR EMPLOYEES, BE LIABLE TO THE OTHER PARTY FOR ANY REASON, WHETHER IN CONTRACT OR IN TORT, FOR ANY DIRECT DAMAGES ARISING OUT OF OR BASED UPON THIS AGREEMENT (INCLUDING ALL ORDERS) EXCEEDING THE GREATER OF [***] PAYABLE BY GOGO TO SUPPLIER UNDER THIS AGREEMENT FOR THE PRODUCT TO WHICH THE CLAIM RELATES REGARDLESS OF THE FORM IN WHICH ANY LEGAL OR EQUITABLE ACTION MAY BE BROUGHT; PROVIDED, HOWEVER, THAT IF THE DAMAGES DESCRIBED ABOVE RELATE TO MORE THAN ONE PRODUCT, THE FORGOING LIMITATIONS WILL BE COMBINED WITHOUT ALLOCATION OF DAMAGES BETWEEN THE APPLICABLE PRODUCTS.</w:t>
      </w:r>
    </w:p>
    <w:p>
      <w:pPr>
        <w:spacing w:after="0" w:line="196" w:lineRule="exact"/>
        <w:rPr>
          <w:rFonts w:ascii="Arial" w:cs="Arial" w:eastAsia="Arial" w:hAnsi="Arial"/>
          <w:sz w:val="16"/>
          <w:szCs w:val="16"/>
          <w:b w:val="1"/>
          <w:bCs w:val="1"/>
          <w:color w:val="auto"/>
        </w:rPr>
      </w:pPr>
    </w:p>
    <w:p>
      <w:pPr>
        <w:ind w:left="840" w:hanging="449"/>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 Consequential Damages</w:t>
      </w:r>
      <w:r>
        <w:rPr>
          <w:rFonts w:ascii="Arial" w:cs="Arial" w:eastAsia="Arial" w:hAnsi="Arial"/>
          <w:sz w:val="16"/>
          <w:szCs w:val="16"/>
          <w:color w:val="auto"/>
        </w:rPr>
        <w:t>. EXCEPT IN CONNECTION WITH (a) SECTION 8, (b) SECTION [***], AND (c) EITHER PARTY’S INFRINGEMENT OR VIOLATION OF THE OTHER PARTY’S INTELLECTUAL PROPERTY RIGHTS, IN NO EVENT SHALL EITHER PARTY, ITS AFFILIATES, OR THEIR RESPECTIVE DIRECTORS,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0" w:name="page51"/>
    <w:bookmarkEnd w:id="50"/>
    <w:p>
      <w:pPr>
        <w:jc w:val="both"/>
        <w:ind w:left="840"/>
        <w:spacing w:after="0" w:line="271" w:lineRule="auto"/>
        <w:rPr>
          <w:sz w:val="20"/>
          <w:szCs w:val="20"/>
          <w:color w:val="auto"/>
        </w:rPr>
      </w:pPr>
      <w:r>
        <w:rPr>
          <w:rFonts w:ascii="Arial" w:cs="Arial" w:eastAsia="Arial" w:hAnsi="Arial"/>
          <w:sz w:val="16"/>
          <w:szCs w:val="16"/>
          <w:color w:val="auto"/>
        </w:rPr>
        <w:t>OFFICERS, AGENTS, SUBCONTRACTORS OR EMPLOYEES, BE LIABLE TO THE OTHER PARTY UNDER ANY THEORY OF TORT, CONTRACT, STRICT LIABILITY OR OTHER LEGAL OR EQUITABLE THEORY FOR EXEMPLARY, PUNITIVE, INDIRECT, SPECIAL, LOST PROFITS, ECONOMIC, CONSEQUENTIAL, LOSS OR DAMAGE TO DATA OR SIMILAR DAMAGES, EACH OF WHICH IS HEREBY EXCLUDED BY AGREEMENT OF THE PARTIES REGARDLESS OF WHETHER OR NOT SUCH PARTY HAS BEEN ADVISED OF THE POSSIBILITY OF SUCH DAMAGES.</w:t>
      </w:r>
    </w:p>
    <w:p>
      <w:pPr>
        <w:spacing w:after="0" w:line="188"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PRODUCT MANAGEMENT.</w:t>
      </w:r>
    </w:p>
    <w:p>
      <w:pPr>
        <w:spacing w:after="0" w:line="234" w:lineRule="exact"/>
        <w:rPr>
          <w:rFonts w:ascii="Arial" w:cs="Arial" w:eastAsia="Arial" w:hAnsi="Arial"/>
          <w:sz w:val="16"/>
          <w:szCs w:val="16"/>
          <w:color w:val="auto"/>
        </w:rPr>
      </w:pPr>
    </w:p>
    <w:p>
      <w:pPr>
        <w:ind w:left="840" w:hanging="449"/>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Obsolescence</w:t>
      </w:r>
      <w:r>
        <w:rPr>
          <w:rFonts w:ascii="Arial" w:cs="Arial" w:eastAsia="Arial" w:hAnsi="Arial"/>
          <w:sz w:val="16"/>
          <w:szCs w:val="16"/>
          <w:color w:val="auto"/>
        </w:rPr>
        <w:t>. Supplier shall maintain an obsolescence management program throughout the life cycle of a Product whereby Supplier shall undertake an obligation to [***].</w:t>
      </w:r>
    </w:p>
    <w:p>
      <w:pPr>
        <w:spacing w:after="0" w:line="17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13.2.  [***]</w:t>
      </w:r>
    </w:p>
    <w:p>
      <w:pPr>
        <w:spacing w:after="0" w:line="234"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13.3.  [***]</w:t>
      </w:r>
    </w:p>
    <w:p>
      <w:pPr>
        <w:spacing w:after="0" w:line="234" w:lineRule="exact"/>
        <w:rPr>
          <w:rFonts w:ascii="Arial" w:cs="Arial" w:eastAsia="Arial" w:hAnsi="Arial"/>
          <w:sz w:val="16"/>
          <w:szCs w:val="16"/>
          <w:color w:val="auto"/>
        </w:rPr>
      </w:pPr>
    </w:p>
    <w:p>
      <w:pPr>
        <w:ind w:left="840" w:hanging="449"/>
        <w:spacing w:after="0" w:line="278" w:lineRule="auto"/>
        <w:rPr>
          <w:rFonts w:ascii="Arial" w:cs="Arial" w:eastAsia="Arial" w:hAnsi="Arial"/>
          <w:sz w:val="16"/>
          <w:szCs w:val="16"/>
          <w:color w:val="auto"/>
        </w:rPr>
      </w:pPr>
      <w:r>
        <w:rPr>
          <w:rFonts w:ascii="Arial" w:cs="Arial" w:eastAsia="Arial" w:hAnsi="Arial"/>
          <w:sz w:val="16"/>
          <w:szCs w:val="16"/>
          <w:color w:val="auto"/>
        </w:rPr>
        <w:t>13.4. Gogo commits to review any proposals for Change issued by the Supplier. Gogo shall reserve the discretionary right to refuse a request for Change submitted by the Supplier, with such rejection being reasonably justified in writing by Gogo. In the event that Gogo rejects the proposed Change, which cannot be circumvented by the Supplier, then Gogo shall have the option to make a last time buy of the Product.</w:t>
      </w:r>
    </w:p>
    <w:p>
      <w:pPr>
        <w:spacing w:after="0" w:line="183" w:lineRule="exact"/>
        <w:rPr>
          <w:rFonts w:ascii="Arial" w:cs="Arial" w:eastAsia="Arial" w:hAnsi="Arial"/>
          <w:sz w:val="16"/>
          <w:szCs w:val="16"/>
          <w:color w:val="auto"/>
        </w:rPr>
      </w:pPr>
    </w:p>
    <w:p>
      <w:pPr>
        <w:ind w:left="840" w:hanging="449"/>
        <w:spacing w:after="0" w:line="278" w:lineRule="auto"/>
        <w:rPr>
          <w:rFonts w:ascii="Arial" w:cs="Arial" w:eastAsia="Arial" w:hAnsi="Arial"/>
          <w:sz w:val="16"/>
          <w:szCs w:val="16"/>
          <w:color w:val="auto"/>
        </w:rPr>
      </w:pPr>
      <w:r>
        <w:rPr>
          <w:rFonts w:ascii="Arial" w:cs="Arial" w:eastAsia="Arial" w:hAnsi="Arial"/>
          <w:sz w:val="16"/>
          <w:szCs w:val="16"/>
          <w:color w:val="auto"/>
        </w:rPr>
        <w:t>13.5. For all Costs of Change associated with all reasons other than a change in Regulation: (a) the Supplier shall bear the Costs of Change deriving from all minor Changes implemented by the Supplier at any time during the Agreement, and (b) Cost of Change related to Commercial Off The Shelf (“COTS”) based equipment which are requested by Gogo in the specification shall be mutually agreed by the Parties.</w:t>
      </w:r>
    </w:p>
    <w:p>
      <w:pPr>
        <w:spacing w:after="0" w:line="179" w:lineRule="exact"/>
        <w:rPr>
          <w:rFonts w:ascii="Arial" w:cs="Arial" w:eastAsia="Arial" w:hAnsi="Arial"/>
          <w:sz w:val="16"/>
          <w:szCs w:val="16"/>
          <w:color w:val="auto"/>
        </w:rPr>
      </w:pPr>
    </w:p>
    <w:p>
      <w:pPr>
        <w:ind w:left="380" w:hanging="372"/>
        <w:spacing w:after="0"/>
        <w:tabs>
          <w:tab w:leader="none" w:pos="3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REQUIREMENTS.</w:t>
      </w:r>
    </w:p>
    <w:p>
      <w:pPr>
        <w:spacing w:after="0" w:line="238" w:lineRule="exact"/>
        <w:rPr>
          <w:rFonts w:ascii="Arial" w:cs="Arial" w:eastAsia="Arial" w:hAnsi="Arial"/>
          <w:sz w:val="16"/>
          <w:szCs w:val="16"/>
          <w:b w:val="1"/>
          <w:bCs w:val="1"/>
          <w:color w:val="auto"/>
        </w:rPr>
      </w:pPr>
    </w:p>
    <w:p>
      <w:pPr>
        <w:ind w:left="840" w:hanging="449"/>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Change in Supplier’s Manufacturing Locations</w:t>
      </w:r>
      <w:r>
        <w:rPr>
          <w:rFonts w:ascii="Arial" w:cs="Arial" w:eastAsia="Arial" w:hAnsi="Arial"/>
          <w:sz w:val="16"/>
          <w:szCs w:val="16"/>
          <w:color w:val="auto"/>
        </w:rPr>
        <w:t>. In the event that Supplier intends to close or change the manufacturing locations of any Product delivered under this Agreement, Supplier shall, at a minimum, give Gogo [***] months advance notice in writing of its intent to close or change the current manufacturing locations. [***]</w:t>
      </w:r>
    </w:p>
    <w:p>
      <w:pPr>
        <w:spacing w:after="0" w:line="183" w:lineRule="exact"/>
        <w:rPr>
          <w:rFonts w:ascii="Arial" w:cs="Arial" w:eastAsia="Arial" w:hAnsi="Arial"/>
          <w:sz w:val="16"/>
          <w:szCs w:val="16"/>
          <w:b w:val="1"/>
          <w:bCs w:val="1"/>
          <w:color w:val="auto"/>
        </w:rPr>
      </w:pPr>
    </w:p>
    <w:p>
      <w:pPr>
        <w:ind w:left="840" w:hanging="449"/>
        <w:spacing w:after="0" w:line="297" w:lineRule="auto"/>
        <w:rPr>
          <w:rFonts w:ascii="Arial" w:cs="Arial" w:eastAsia="Arial" w:hAnsi="Arial"/>
          <w:sz w:val="16"/>
          <w:szCs w:val="16"/>
          <w:b w:val="1"/>
          <w:bCs w:val="1"/>
          <w:color w:val="auto"/>
        </w:rPr>
      </w:pPr>
      <w:r>
        <w:rPr>
          <w:rFonts w:ascii="Arial" w:cs="Arial" w:eastAsia="Arial" w:hAnsi="Arial"/>
          <w:sz w:val="15"/>
          <w:szCs w:val="15"/>
          <w:color w:val="auto"/>
        </w:rPr>
        <w:t xml:space="preserve">14.2. </w:t>
      </w:r>
      <w:r>
        <w:rPr>
          <w:rFonts w:ascii="Arial" w:cs="Arial" w:eastAsia="Arial" w:hAnsi="Arial"/>
          <w:sz w:val="15"/>
          <w:szCs w:val="15"/>
          <w:u w:val="single" w:color="auto"/>
          <w:color w:val="auto"/>
        </w:rPr>
        <w:t>Personnel</w:t>
      </w:r>
      <w:r>
        <w:rPr>
          <w:rFonts w:ascii="Arial" w:cs="Arial" w:eastAsia="Arial" w:hAnsi="Arial"/>
          <w:sz w:val="15"/>
          <w:szCs w:val="15"/>
          <w:color w:val="auto"/>
        </w:rPr>
        <w:t>. While at a Gogo facility, Supplier’s personnel and subcontractors shall comply with reasonable requests and standard procedures and policies of Gogo. Supplier’s personnel and subcontractors will conduct themselves in a businesslike manner. If Gogo determines in good faith that a particular Supplier employee or agent is not conducting him or herself in accordance with this Agreement, then Gogo may provide Supplier with notice thereof and Supplier shall remove and replace such individual. Gogo reserves the right to deny access to its premises to any such individual.</w:t>
      </w:r>
    </w:p>
    <w:p>
      <w:pPr>
        <w:spacing w:after="0" w:line="17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4"/>
          <w:szCs w:val="14"/>
          <w:u w:val="single" w:color="auto"/>
          <w:color w:val="auto"/>
        </w:rPr>
        <w:t>Proprietary Rights</w:t>
      </w:r>
      <w:r>
        <w:rPr>
          <w:rFonts w:ascii="Arial" w:cs="Arial" w:eastAsia="Arial" w:hAnsi="Arial"/>
          <w:sz w:val="14"/>
          <w:szCs w:val="14"/>
          <w:color w:val="auto"/>
        </w:rPr>
        <w:t>.</w:t>
      </w:r>
    </w:p>
    <w:p>
      <w:pPr>
        <w:spacing w:after="0" w:line="234" w:lineRule="exact"/>
        <w:rPr>
          <w:sz w:val="20"/>
          <w:szCs w:val="20"/>
          <w:color w:val="auto"/>
        </w:rPr>
      </w:pPr>
    </w:p>
    <w:p>
      <w:pPr>
        <w:ind w:left="1380" w:hanging="613"/>
        <w:spacing w:after="0" w:line="292" w:lineRule="auto"/>
        <w:tabs>
          <w:tab w:leader="none" w:pos="1360" w:val="left"/>
        </w:tabs>
        <w:rPr>
          <w:sz w:val="20"/>
          <w:szCs w:val="20"/>
          <w:color w:val="auto"/>
        </w:rPr>
      </w:pPr>
      <w:r>
        <w:rPr>
          <w:rFonts w:ascii="Arial" w:cs="Arial" w:eastAsia="Arial" w:hAnsi="Arial"/>
          <w:sz w:val="16"/>
          <w:szCs w:val="16"/>
          <w:color w:val="auto"/>
        </w:rPr>
        <w:t>14.3.1.</w:t>
        <w:tab/>
        <w:t xml:space="preserve">With respect to any Intellectual Property developed in connection with this Agreement, the provisions of Section 2.9 of the MSA will be apply,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and are incorporated herein by this reference.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14.3.2. </w:t>
      </w:r>
      <w:r>
        <w:rPr>
          <w:rFonts w:ascii="Arial" w:cs="Arial" w:eastAsia="Arial" w:hAnsi="Arial"/>
          <w:sz w:val="16"/>
          <w:szCs w:val="16"/>
          <w:u w:val="single" w:color="auto"/>
          <w:color w:val="auto"/>
        </w:rPr>
        <w:t>Prohibited Acts</w:t>
      </w:r>
      <w:r>
        <w:rPr>
          <w:rFonts w:ascii="Arial" w:cs="Arial" w:eastAsia="Arial" w:hAnsi="Arial"/>
          <w:sz w:val="16"/>
          <w:szCs w:val="16"/>
          <w:color w:val="auto"/>
        </w:rPr>
        <w:t>. Each Party shall not:</w:t>
      </w:r>
    </w:p>
    <w:p>
      <w:pPr>
        <w:spacing w:after="0" w:line="234" w:lineRule="exact"/>
        <w:rPr>
          <w:sz w:val="20"/>
          <w:szCs w:val="20"/>
          <w:color w:val="auto"/>
        </w:rPr>
      </w:pPr>
    </w:p>
    <w:p>
      <w:pPr>
        <w:ind w:left="1500" w:hanging="369"/>
        <w:spacing w:after="0"/>
        <w:tabs>
          <w:tab w:leader="none" w:pos="15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take any action that may interfere with the other Party’s Intellectual Property rights, including such other Party’s ownership or exercise thereof;</w:t>
      </w:r>
    </w:p>
    <w:p>
      <w:pPr>
        <w:spacing w:after="0" w:line="137" w:lineRule="exact"/>
        <w:rPr>
          <w:rFonts w:ascii="Arial" w:cs="Arial" w:eastAsia="Arial" w:hAnsi="Arial"/>
          <w:sz w:val="15"/>
          <w:szCs w:val="15"/>
          <w:color w:val="auto"/>
        </w:rPr>
      </w:pPr>
    </w:p>
    <w:p>
      <w:pPr>
        <w:ind w:left="1500" w:hanging="369"/>
        <w:spacing w:after="0"/>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challenge any right, title or interest of the other Party in such other Party’s Intellectual Property rights;</w:t>
      </w:r>
    </w:p>
    <w:p>
      <w:pPr>
        <w:spacing w:after="0" w:line="126" w:lineRule="exact"/>
        <w:rPr>
          <w:rFonts w:ascii="Arial" w:cs="Arial" w:eastAsia="Arial" w:hAnsi="Arial"/>
          <w:sz w:val="16"/>
          <w:szCs w:val="16"/>
          <w:color w:val="auto"/>
        </w:rPr>
      </w:pPr>
    </w:p>
    <w:p>
      <w:pPr>
        <w:ind w:left="1500" w:hanging="369"/>
        <w:spacing w:after="0"/>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make any claim or take any action adverse to such other Party’s ownership of its Intellectual Property rights;</w:t>
      </w:r>
    </w:p>
    <w:p>
      <w:pPr>
        <w:spacing w:after="0" w:line="126" w:lineRule="exact"/>
        <w:rPr>
          <w:rFonts w:ascii="Arial" w:cs="Arial" w:eastAsia="Arial" w:hAnsi="Arial"/>
          <w:sz w:val="16"/>
          <w:szCs w:val="16"/>
          <w:color w:val="auto"/>
        </w:rPr>
      </w:pPr>
    </w:p>
    <w:p>
      <w:pPr>
        <w:ind w:left="1500" w:hanging="369"/>
        <w:spacing w:after="0" w:line="292" w:lineRule="auto"/>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register or apply for registrations, anywhere in the world, the other Party’s Trademarks or any other Trademark that is similar to such other Party’s Trademark[s] or that incorporates such Trademarks in whole or in confusingly similar part;</w:t>
      </w:r>
    </w:p>
    <w:p>
      <w:pPr>
        <w:spacing w:after="0" w:line="64" w:lineRule="exact"/>
        <w:rPr>
          <w:rFonts w:ascii="Arial" w:cs="Arial" w:eastAsia="Arial" w:hAnsi="Arial"/>
          <w:sz w:val="16"/>
          <w:szCs w:val="16"/>
          <w:color w:val="auto"/>
        </w:rPr>
      </w:pPr>
    </w:p>
    <w:p>
      <w:pPr>
        <w:ind w:left="1500" w:hanging="369"/>
        <w:spacing w:after="0"/>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use any mark, anywhere, that is confusingly similar to the other Party’s Trademarks;</w:t>
      </w:r>
    </w:p>
    <w:p>
      <w:pPr>
        <w:spacing w:after="0" w:line="126" w:lineRule="exact"/>
        <w:rPr>
          <w:rFonts w:ascii="Arial" w:cs="Arial" w:eastAsia="Arial" w:hAnsi="Arial"/>
          <w:sz w:val="16"/>
          <w:szCs w:val="16"/>
          <w:color w:val="auto"/>
        </w:rPr>
      </w:pPr>
    </w:p>
    <w:p>
      <w:pPr>
        <w:ind w:left="1500" w:hanging="369"/>
        <w:spacing w:after="0"/>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misappropriate any of the other Party’s Trademarks for use as a domain name without such other Party’s prior written consent; or</w:t>
      </w:r>
    </w:p>
    <w:p>
      <w:pPr>
        <w:spacing w:after="0" w:line="126" w:lineRule="exact"/>
        <w:rPr>
          <w:rFonts w:ascii="Arial" w:cs="Arial" w:eastAsia="Arial" w:hAnsi="Arial"/>
          <w:sz w:val="16"/>
          <w:szCs w:val="16"/>
          <w:color w:val="auto"/>
        </w:rPr>
      </w:pPr>
    </w:p>
    <w:p>
      <w:pPr>
        <w:ind w:left="1500" w:right="20" w:hanging="369"/>
        <w:spacing w:after="0" w:line="292" w:lineRule="auto"/>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alter, obscure or remove any of the other Party’s Trademarks or trademark or copyright notices or any other proprietary rights notices placed on the products purchased under this Agreement (including Products), marketing materials or other materials.</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1" w:name="page52"/>
    <w:bookmarkEnd w:id="51"/>
    <w:p>
      <w:pPr>
        <w:jc w:val="both"/>
        <w:ind w:left="840" w:hanging="448"/>
        <w:spacing w:after="0" w:line="278" w:lineRule="auto"/>
        <w:tabs>
          <w:tab w:leader="none" w:pos="82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u w:val="single" w:color="auto"/>
          <w:color w:val="auto"/>
        </w:rPr>
        <w:t>Quality Assurance</w:t>
      </w:r>
      <w:r>
        <w:rPr>
          <w:rFonts w:ascii="Arial" w:cs="Arial" w:eastAsia="Arial" w:hAnsi="Arial"/>
          <w:sz w:val="16"/>
          <w:szCs w:val="16"/>
          <w:color w:val="auto"/>
        </w:rPr>
        <w:t>. Supplier will comply with Rev. P of Gogo’s Quality Management Document Number D15692, which is herein incorporated into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by reference and which the Supplier acknowledges having received and understood. Exhibit E hereto sets forth exceptions and responses to Rev. P of Gogo’s Quality Management Document Number D15692 as agreed to by the Parties.</w:t>
      </w:r>
    </w:p>
    <w:p>
      <w:pPr>
        <w:spacing w:after="0" w:line="183" w:lineRule="exact"/>
        <w:rPr>
          <w:sz w:val="20"/>
          <w:szCs w:val="20"/>
          <w:color w:val="auto"/>
        </w:rPr>
      </w:pPr>
    </w:p>
    <w:p>
      <w:pPr>
        <w:jc w:val="both"/>
        <w:ind w:left="840" w:hanging="448"/>
        <w:spacing w:after="0" w:line="273" w:lineRule="auto"/>
        <w:tabs>
          <w:tab w:leader="none" w:pos="82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u w:val="single" w:color="auto"/>
          <w:color w:val="auto"/>
        </w:rPr>
        <w:t>Export Control Compliance</w:t>
      </w:r>
      <w:r>
        <w:rPr>
          <w:rFonts w:ascii="Arial" w:cs="Arial" w:eastAsia="Arial" w:hAnsi="Arial"/>
          <w:sz w:val="16"/>
          <w:szCs w:val="16"/>
          <w:color w:val="auto"/>
        </w:rPr>
        <w:t>. Prior to the first shipment to Gogo of each unique part number of any of the Products, and prior to the first shipment following a</w:t>
      </w:r>
      <w:r>
        <w:rPr>
          <w:rFonts w:ascii="Arial" w:cs="Arial" w:eastAsia="Arial" w:hAnsi="Arial"/>
          <w:sz w:val="16"/>
          <w:szCs w:val="16"/>
          <w:u w:val="single" w:color="auto"/>
          <w:color w:val="auto"/>
        </w:rPr>
        <w:t xml:space="preserve"> </w:t>
      </w:r>
      <w:r>
        <w:rPr>
          <w:rFonts w:ascii="Arial" w:cs="Arial" w:eastAsia="Arial" w:hAnsi="Arial"/>
          <w:sz w:val="16"/>
          <w:szCs w:val="16"/>
          <w:color w:val="auto"/>
        </w:rPr>
        <w:t>change to the export classification of any Products, Supplier shall provide to Gogo written certification for each such part number of the following: for each Product supplied from the United States, its EAR Export Control Classification Number (“ECCN”); and (b) for each Product supplied outside of the United States, its Harmonized Tariff Schedule (“HTS”) number.</w:t>
      </w:r>
    </w:p>
    <w:p>
      <w:pPr>
        <w:spacing w:after="0" w:line="188"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4"/>
          <w:szCs w:val="14"/>
          <w:u w:val="single" w:color="auto"/>
          <w:color w:val="auto"/>
        </w:rPr>
        <w:t>Documentation</w:t>
      </w:r>
      <w:r>
        <w:rPr>
          <w:rFonts w:ascii="Arial" w:cs="Arial" w:eastAsia="Arial" w:hAnsi="Arial"/>
          <w:sz w:val="14"/>
          <w:szCs w:val="14"/>
          <w:color w:val="auto"/>
        </w:rPr>
        <w:t>. Supplier shall provide to Gogo all technical manuals applicable to the Products as outlined in Exhibit A and Exhibit C.</w:t>
      </w:r>
    </w:p>
    <w:p>
      <w:pPr>
        <w:spacing w:after="0" w:line="234"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14.7.</w:t>
      </w:r>
      <w:r>
        <w:rPr>
          <w:sz w:val="20"/>
          <w:szCs w:val="20"/>
          <w:color w:val="auto"/>
        </w:rPr>
        <w:tab/>
      </w:r>
      <w:r>
        <w:rPr>
          <w:rFonts w:ascii="Arial" w:cs="Arial" w:eastAsia="Arial" w:hAnsi="Arial"/>
          <w:sz w:val="15"/>
          <w:szCs w:val="15"/>
          <w:u w:val="single" w:color="auto"/>
          <w:color w:val="auto"/>
        </w:rPr>
        <w:t>Configuration Management</w:t>
      </w:r>
      <w:r>
        <w:rPr>
          <w:rFonts w:ascii="Arial" w:cs="Arial" w:eastAsia="Arial" w:hAnsi="Arial"/>
          <w:sz w:val="15"/>
          <w:szCs w:val="15"/>
          <w:color w:val="auto"/>
        </w:rPr>
        <w:t>. Supplier shall:</w:t>
      </w:r>
    </w:p>
    <w:p>
      <w:pPr>
        <w:spacing w:after="0" w:line="234" w:lineRule="exact"/>
        <w:rPr>
          <w:sz w:val="20"/>
          <w:szCs w:val="20"/>
          <w:color w:val="auto"/>
        </w:rPr>
      </w:pPr>
    </w:p>
    <w:p>
      <w:pPr>
        <w:ind w:left="1360" w:hanging="379"/>
        <w:spacing w:after="0" w:line="292" w:lineRule="auto"/>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make provisions for the identification, control, monitoring and reporting of the Configuration Management (“CM”) activities using the configuration management system referenced in each applicable SOW;</w:t>
      </w:r>
    </w:p>
    <w:p>
      <w:pPr>
        <w:spacing w:after="0" w:line="172" w:lineRule="exact"/>
        <w:rPr>
          <w:rFonts w:ascii="Arial" w:cs="Arial" w:eastAsia="Arial" w:hAnsi="Arial"/>
          <w:sz w:val="16"/>
          <w:szCs w:val="16"/>
          <w:color w:val="auto"/>
        </w:rPr>
      </w:pPr>
    </w:p>
    <w:p>
      <w:pPr>
        <w:ind w:left="1360" w:hanging="379"/>
        <w:spacing w:after="0" w:line="292" w:lineRule="auto"/>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ensure that the Design Data under Supplier’s Design Authority is created, submitted and can be readily integrated or incorporated into the Gogo Configuration Management Database (“CMDB”);</w:t>
      </w:r>
    </w:p>
    <w:p>
      <w:pPr>
        <w:spacing w:after="0" w:line="172" w:lineRule="exact"/>
        <w:rPr>
          <w:rFonts w:ascii="Arial" w:cs="Arial" w:eastAsia="Arial" w:hAnsi="Arial"/>
          <w:sz w:val="16"/>
          <w:szCs w:val="16"/>
          <w:color w:val="auto"/>
        </w:rPr>
      </w:pPr>
    </w:p>
    <w:p>
      <w:pPr>
        <w:ind w:left="1360" w:hanging="379"/>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 given restricted access, when required or where applicable, to the Gogo CMDB;</w:t>
      </w:r>
    </w:p>
    <w:p>
      <w:pPr>
        <w:spacing w:after="0" w:line="234" w:lineRule="exact"/>
        <w:rPr>
          <w:rFonts w:ascii="Arial" w:cs="Arial" w:eastAsia="Arial" w:hAnsi="Arial"/>
          <w:sz w:val="16"/>
          <w:szCs w:val="16"/>
          <w:color w:val="auto"/>
        </w:rPr>
      </w:pPr>
    </w:p>
    <w:p>
      <w:pPr>
        <w:ind w:left="1360" w:right="20" w:hanging="379"/>
        <w:spacing w:after="0" w:line="292" w:lineRule="auto"/>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assure that any Supplier employees receiving access to the CMDB shall be notified of the confidentiality obligations of Section 8 of this Agreement; and</w:t>
      </w:r>
    </w:p>
    <w:p>
      <w:pPr>
        <w:spacing w:after="0" w:line="172" w:lineRule="exact"/>
        <w:rPr>
          <w:rFonts w:ascii="Arial" w:cs="Arial" w:eastAsia="Arial" w:hAnsi="Arial"/>
          <w:sz w:val="16"/>
          <w:szCs w:val="16"/>
          <w:color w:val="auto"/>
        </w:rPr>
      </w:pPr>
    </w:p>
    <w:p>
      <w:pPr>
        <w:ind w:left="1360" w:hanging="379"/>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notify Gogo within 24 hours following employment termination of employees who have access to the Gogo CMDB.</w:t>
      </w:r>
    </w:p>
    <w:p>
      <w:pPr>
        <w:spacing w:after="0" w:line="234" w:lineRule="exact"/>
        <w:rPr>
          <w:sz w:val="20"/>
          <w:szCs w:val="20"/>
          <w:color w:val="auto"/>
        </w:rPr>
      </w:pPr>
    </w:p>
    <w:p>
      <w:pPr>
        <w:jc w:val="both"/>
        <w:ind w:left="840" w:hanging="448"/>
        <w:spacing w:after="0" w:line="278" w:lineRule="auto"/>
        <w:tabs>
          <w:tab w:leader="none" w:pos="82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6"/>
          <w:szCs w:val="16"/>
          <w:u w:val="single" w:color="auto"/>
          <w:color w:val="auto"/>
        </w:rPr>
        <w:t>Hazardous and Conflict Minerals</w:t>
      </w:r>
      <w:r>
        <w:rPr>
          <w:rFonts w:ascii="Arial" w:cs="Arial" w:eastAsia="Arial" w:hAnsi="Arial"/>
          <w:sz w:val="16"/>
          <w:szCs w:val="16"/>
          <w:color w:val="auto"/>
        </w:rPr>
        <w:t>. Upon Gogo’s request, Supplier shall provide to Gogo written certifications of Supplier’s compliance with Section 1502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Dodd-Frank Wall Street Reform and Consumer Protection Act (the “Dodd-Frank Act</w:t>
      </w:r>
      <w:r>
        <w:rPr>
          <w:rFonts w:ascii="Arial" w:cs="Arial" w:eastAsia="Arial" w:hAnsi="Arial"/>
          <w:sz w:val="16"/>
          <w:szCs w:val="16"/>
          <w:b w:val="1"/>
          <w:bCs w:val="1"/>
          <w:color w:val="auto"/>
        </w:rPr>
        <w:t>”</w:t>
      </w:r>
      <w:r>
        <w:rPr>
          <w:rFonts w:ascii="Arial" w:cs="Arial" w:eastAsia="Arial" w:hAnsi="Arial"/>
          <w:sz w:val="16"/>
          <w:szCs w:val="16"/>
          <w:color w:val="auto"/>
        </w:rPr>
        <w:t>) and Rule 13p-1 and Form SD under the Securities Exchange Act of 1934 with respect to the Products.</w:t>
      </w:r>
    </w:p>
    <w:p>
      <w:pPr>
        <w:spacing w:after="0" w:line="183" w:lineRule="exact"/>
        <w:rPr>
          <w:sz w:val="20"/>
          <w:szCs w:val="20"/>
          <w:color w:val="auto"/>
        </w:rPr>
      </w:pPr>
    </w:p>
    <w:p>
      <w:pPr>
        <w:jc w:val="both"/>
        <w:ind w:left="840"/>
        <w:spacing w:after="0" w:line="271" w:lineRule="auto"/>
        <w:rPr>
          <w:sz w:val="20"/>
          <w:szCs w:val="20"/>
          <w:color w:val="auto"/>
        </w:rPr>
      </w:pPr>
      <w:r>
        <w:rPr>
          <w:rFonts w:ascii="Arial" w:cs="Arial" w:eastAsia="Arial" w:hAnsi="Arial"/>
          <w:sz w:val="16"/>
          <w:szCs w:val="16"/>
          <w:color w:val="auto"/>
        </w:rPr>
        <w:t>For each shipment of Products, Supplier shall provide Gogo, in writing, sufficient advance warning and notice (in addition to including appropriate labels on Products, containers and packing) of any hazardous or restricted material that is an ingredient or a part of the shipment, together with such special handling instructions as may be necessary to advise logistics providers, handlers of the Products and personnel of how to exercise that measure of care and precaution that will comply with any applicable Laws and prevent bodily injury or property damage in the handling, transportation, processing, use or disposal of the Products, containers and packing.</w:t>
      </w:r>
    </w:p>
    <w:p>
      <w:pPr>
        <w:spacing w:after="0" w:line="188" w:lineRule="exact"/>
        <w:rPr>
          <w:sz w:val="20"/>
          <w:szCs w:val="20"/>
          <w:color w:val="auto"/>
        </w:rPr>
      </w:pPr>
    </w:p>
    <w:p>
      <w:pPr>
        <w:ind w:left="840" w:hanging="448"/>
        <w:spacing w:after="0" w:line="292" w:lineRule="auto"/>
        <w:tabs>
          <w:tab w:leader="none" w:pos="82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6"/>
          <w:szCs w:val="16"/>
          <w:u w:val="single" w:color="auto"/>
          <w:color w:val="auto"/>
        </w:rPr>
        <w:t xml:space="preserve">Mean Time Between Failures (“MTBF”) Guarantee. </w:t>
      </w:r>
      <w:r>
        <w:rPr>
          <w:rFonts w:ascii="Arial" w:cs="Arial" w:eastAsia="Arial" w:hAnsi="Arial"/>
          <w:sz w:val="16"/>
          <w:szCs w:val="16"/>
          <w:color w:val="auto"/>
        </w:rPr>
        <w:t>In addition to the warranties and obligations contained herein, Supplier warrants that the Products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meet the MTBF guarantees as specified in the Agreement.</w:t>
      </w:r>
    </w:p>
    <w:p>
      <w:pPr>
        <w:spacing w:after="0" w:line="65" w:lineRule="exact"/>
        <w:rPr>
          <w:sz w:val="20"/>
          <w:szCs w:val="20"/>
          <w:color w:val="auto"/>
        </w:rPr>
      </w:pPr>
    </w:p>
    <w:p>
      <w:pPr>
        <w:jc w:val="both"/>
        <w:ind w:left="1360" w:hanging="379"/>
        <w:spacing w:after="0" w:line="278" w:lineRule="auto"/>
        <w:tabs>
          <w:tab w:leader="none" w:pos="13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MTBF Analysis &amp; Reporting.</w:t>
      </w:r>
      <w:r>
        <w:rPr>
          <w:rFonts w:ascii="Arial" w:cs="Arial" w:eastAsia="Arial" w:hAnsi="Arial"/>
          <w:sz w:val="16"/>
          <w:szCs w:val="16"/>
          <w:color w:val="auto"/>
        </w:rPr>
        <w:t xml:space="preserve"> The Parties agree as follows: (i) Gogo may, at its discretion, provide periodic reports of Supplier’s MTBF performance with respect to the Products; and (ii) Supplier’s shall provide Gogo with access and available data required to analyze MTBF of Products for the returned/repaired Products including but not limited to:</w:t>
      </w:r>
    </w:p>
    <w:p>
      <w:pPr>
        <w:spacing w:after="0" w:line="75" w:lineRule="exact"/>
        <w:rPr>
          <w:rFonts w:ascii="Arial" w:cs="Arial" w:eastAsia="Arial" w:hAnsi="Arial"/>
          <w:sz w:val="16"/>
          <w:szCs w:val="16"/>
          <w:color w:val="auto"/>
        </w:rPr>
      </w:pPr>
    </w:p>
    <w:p>
      <w:pPr>
        <w:ind w:left="1880" w:hanging="375"/>
        <w:spacing w:after="0"/>
        <w:tabs>
          <w:tab w:leader="none" w:pos="1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Analysis of MTBF; and</w:t>
      </w:r>
    </w:p>
    <w:p>
      <w:pPr>
        <w:spacing w:after="0" w:line="126" w:lineRule="exact"/>
        <w:rPr>
          <w:rFonts w:ascii="Arial" w:cs="Arial" w:eastAsia="Arial" w:hAnsi="Arial"/>
          <w:sz w:val="16"/>
          <w:szCs w:val="16"/>
          <w:color w:val="auto"/>
        </w:rPr>
      </w:pPr>
    </w:p>
    <w:p>
      <w:pPr>
        <w:ind w:left="1880" w:hanging="375"/>
        <w:spacing w:after="0" w:line="292" w:lineRule="auto"/>
        <w:tabs>
          <w:tab w:leader="none" w:pos="1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Analysis reports including but not limited to summary of warranty returns, confirmation of fault or no fault found, root cause analysis and corrective actions.</w:t>
      </w:r>
    </w:p>
    <w:p>
      <w:pPr>
        <w:spacing w:after="0" w:line="64" w:lineRule="exact"/>
        <w:rPr>
          <w:sz w:val="20"/>
          <w:szCs w:val="20"/>
          <w:color w:val="auto"/>
        </w:rPr>
      </w:pPr>
    </w:p>
    <w:p>
      <w:pPr>
        <w:ind w:left="1360" w:right="20"/>
        <w:spacing w:after="0" w:line="238" w:lineRule="auto"/>
        <w:rPr>
          <w:sz w:val="20"/>
          <w:szCs w:val="20"/>
          <w:color w:val="auto"/>
        </w:rPr>
      </w:pPr>
      <w:r>
        <w:rPr>
          <w:rFonts w:ascii="Arial" w:cs="Arial" w:eastAsia="Arial" w:hAnsi="Arial"/>
          <w:sz w:val="16"/>
          <w:szCs w:val="16"/>
          <w:color w:val="auto"/>
        </w:rPr>
        <w:t>Supplier shall, on the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end of each quarter, provide Gogo with an electronic copy report detailing the required information as specified above, throughout the applicable Warranty Period.</w:t>
      </w:r>
    </w:p>
    <w:p>
      <w:pPr>
        <w:spacing w:after="0" w:line="104" w:lineRule="exact"/>
        <w:rPr>
          <w:sz w:val="20"/>
          <w:szCs w:val="20"/>
          <w:color w:val="auto"/>
        </w:rPr>
      </w:pPr>
    </w:p>
    <w:p>
      <w:pPr>
        <w:ind w:left="1360" w:hanging="379"/>
        <w:spacing w:after="0"/>
        <w:tabs>
          <w:tab w:leader="none" w:pos="1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360" w:hanging="379"/>
        <w:spacing w:after="0"/>
        <w:tabs>
          <w:tab w:leader="none" w:pos="13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Measured MTBF</w:t>
      </w:r>
      <w:r>
        <w:rPr>
          <w:rFonts w:ascii="Arial" w:cs="Arial" w:eastAsia="Arial" w:hAnsi="Arial"/>
          <w:sz w:val="16"/>
          <w:szCs w:val="16"/>
          <w:color w:val="auto"/>
        </w:rPr>
        <w:t xml:space="preserve"> = Cumulative Flight Hours x Product Quantity / Number of Verified Failures. [***]</w:t>
      </w:r>
    </w:p>
    <w:p>
      <w:pPr>
        <w:spacing w:after="0" w:line="126" w:lineRule="exact"/>
        <w:rPr>
          <w:sz w:val="20"/>
          <w:szCs w:val="20"/>
          <w:color w:val="auto"/>
        </w:rPr>
      </w:pPr>
    </w:p>
    <w:p>
      <w:pPr>
        <w:jc w:val="both"/>
        <w:ind w:left="960" w:right="20" w:hanging="568"/>
        <w:spacing w:after="0" w:line="278" w:lineRule="auto"/>
        <w:tabs>
          <w:tab w:leader="none" w:pos="940" w:val="left"/>
        </w:tabs>
        <w:rPr>
          <w:sz w:val="20"/>
          <w:szCs w:val="20"/>
          <w:color w:val="auto"/>
        </w:rPr>
      </w:pPr>
      <w:r>
        <w:rPr>
          <w:rFonts w:ascii="Arial" w:cs="Arial" w:eastAsia="Arial" w:hAnsi="Arial"/>
          <w:sz w:val="16"/>
          <w:szCs w:val="16"/>
          <w:color w:val="auto"/>
        </w:rPr>
        <w:t>14.10.</w:t>
      </w:r>
      <w:r>
        <w:rPr>
          <w:sz w:val="20"/>
          <w:szCs w:val="20"/>
          <w:color w:val="auto"/>
        </w:rPr>
        <w:tab/>
      </w:r>
      <w:r>
        <w:rPr>
          <w:rFonts w:ascii="Arial" w:cs="Arial" w:eastAsia="Arial" w:hAnsi="Arial"/>
          <w:sz w:val="16"/>
          <w:szCs w:val="16"/>
          <w:u w:val="single" w:color="auto"/>
          <w:color w:val="auto"/>
        </w:rPr>
        <w:t>Gogo Responsibilities</w:t>
      </w:r>
      <w:r>
        <w:rPr>
          <w:rFonts w:ascii="Arial" w:cs="Arial" w:eastAsia="Arial" w:hAnsi="Arial"/>
          <w:sz w:val="16"/>
          <w:szCs w:val="16"/>
          <w:color w:val="auto"/>
        </w:rPr>
        <w:t>. Gogo, at its cost and expense, shall be responsible for providing the items listed in Exhibit B (“Gogo Items”) in the quantities and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schedule requirements set forth in Exhibit B, as required for Supplier’s manufacture and supply of the Products. Supplier will be excused from failures or delays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-296545</wp:posOffset>
            </wp:positionV>
            <wp:extent cx="254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2" w:name="page53"/>
    <w:bookmarkEnd w:id="52"/>
    <w:p>
      <w:pPr>
        <w:jc w:val="both"/>
        <w:ind w:left="960"/>
        <w:spacing w:after="0" w:line="297" w:lineRule="auto"/>
        <w:rPr>
          <w:sz w:val="20"/>
          <w:szCs w:val="20"/>
          <w:color w:val="auto"/>
        </w:rPr>
      </w:pPr>
      <w:r>
        <w:rPr>
          <w:rFonts w:ascii="Arial" w:cs="Arial" w:eastAsia="Arial" w:hAnsi="Arial"/>
          <w:sz w:val="15"/>
          <w:szCs w:val="15"/>
          <w:color w:val="auto"/>
        </w:rPr>
        <w:t>performance, and milestones will be adjusted if appropriate, to the extent that any such failure or delay is attributable to Gogo’s failure or delay the performance of its obligations under this Agreement, including Gogo’s obligations to provide the Gogo Items. In each instance, Gogo will give prompt notice of its failure or delay. The Parties will mutually agree on the processes for supply and delivery of Gogo Items to Supplier (including appropriate provisions for Supplier’s inventory management of Gogo Items) and for incorporation of the Gogo Items in connection with manufacturing the Products.</w:t>
      </w:r>
    </w:p>
    <w:p>
      <w:pPr>
        <w:spacing w:after="0" w:line="59"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w:t>
      </w:r>
    </w:p>
    <w:p>
      <w:pPr>
        <w:spacing w:after="0" w:line="238"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Supplier represents and warrants to Gogo that as of the date of this Agreement and at all times after the Effective Date of this Agreement that:</w:t>
      </w:r>
    </w:p>
    <w:p>
      <w:pPr>
        <w:spacing w:after="0" w:line="234"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5"/>
          <w:szCs w:val="15"/>
          <w:color w:val="auto"/>
        </w:rPr>
        <w:t>15.1.  Supplier is duly organized and validly existing and has the power and authority to execute and deliver, and to perform its obligations under, this Agreement;</w:t>
      </w:r>
    </w:p>
    <w:p>
      <w:pPr>
        <w:spacing w:after="0" w:line="245"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15.2.  Supplier’s performance under this Agreement does not and shall not violate any law, rule, or regulation;</w:t>
      </w:r>
    </w:p>
    <w:p>
      <w:pPr>
        <w:spacing w:after="0" w:line="234"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15.3. All Services will be performed in a good and workmanlike manner in accordance with applicable industry standards and practices and the Products will comply with the Specifications for such Services and Products set forth in Exhibit A;</w:t>
      </w:r>
    </w:p>
    <w:p>
      <w:pPr>
        <w:spacing w:after="0" w:line="172"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5"/>
          <w:szCs w:val="15"/>
          <w:color w:val="auto"/>
        </w:rPr>
        <w:t>15.4.  Supplier possesses the necessary equipment, personnel, and other expertise necessary to provide the Services and Products as set forth herein; and</w:t>
      </w:r>
    </w:p>
    <w:p>
      <w:pPr>
        <w:spacing w:after="0" w:line="245"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15.5. The Products delivered to Gogo under this Agreement will be free from any viruses, disabling programming codes, instructions, or other such items that may interfere with or adversely affect Gogo’s permitted use of the Products.</w:t>
      </w:r>
    </w:p>
    <w:p>
      <w:pPr>
        <w:spacing w:after="0" w:line="168" w:lineRule="exact"/>
        <w:rPr>
          <w:rFonts w:ascii="Arial" w:cs="Arial" w:eastAsia="Arial" w:hAnsi="Arial"/>
          <w:sz w:val="16"/>
          <w:szCs w:val="16"/>
          <w:b w:val="1"/>
          <w:bCs w:val="1"/>
          <w:color w:val="auto"/>
        </w:rPr>
      </w:pPr>
    </w:p>
    <w:p>
      <w:pPr>
        <w:ind w:left="380" w:hanging="372"/>
        <w:spacing w:after="0"/>
        <w:tabs>
          <w:tab w:leader="none" w:pos="3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w:t>
      </w:r>
    </w:p>
    <w:p>
      <w:pPr>
        <w:spacing w:after="0" w:line="238" w:lineRule="exact"/>
        <w:rPr>
          <w:rFonts w:ascii="Arial" w:cs="Arial" w:eastAsia="Arial" w:hAnsi="Arial"/>
          <w:sz w:val="16"/>
          <w:szCs w:val="16"/>
          <w:b w:val="1"/>
          <w:bCs w:val="1"/>
          <w:color w:val="auto"/>
        </w:rPr>
      </w:pPr>
    </w:p>
    <w:p>
      <w:pPr>
        <w:ind w:left="840" w:hanging="449"/>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Language and Measurements</w:t>
      </w:r>
      <w:r>
        <w:rPr>
          <w:rFonts w:ascii="Arial" w:cs="Arial" w:eastAsia="Arial" w:hAnsi="Arial"/>
          <w:sz w:val="16"/>
          <w:szCs w:val="16"/>
          <w:color w:val="auto"/>
        </w:rPr>
        <w:t>. The Parties hereto have agreed that this Agreement be drafted in English only. All contractual documents and all correspondence, invoices, notices and other documents shall be submitted in English. Any necessary conversations shall be held in English. Gogo shall determine whether measurements will be in the English or Metric system or a combination of the two systems. Supplier shall not convert measurements, which Gogo has stated in an English measurement system into the Metric system in documents furnished to Gogo.</w:t>
      </w:r>
    </w:p>
    <w:p>
      <w:pPr>
        <w:spacing w:after="0" w:line="187" w:lineRule="exact"/>
        <w:rPr>
          <w:rFonts w:ascii="Arial" w:cs="Arial" w:eastAsia="Arial" w:hAnsi="Arial"/>
          <w:sz w:val="16"/>
          <w:szCs w:val="16"/>
          <w:b w:val="1"/>
          <w:bCs w:val="1"/>
          <w:color w:val="auto"/>
        </w:rPr>
      </w:pPr>
    </w:p>
    <w:p>
      <w:pPr>
        <w:ind w:left="840" w:hanging="449"/>
        <w:spacing w:after="0" w:line="290" w:lineRule="auto"/>
        <w:rPr>
          <w:rFonts w:ascii="Arial" w:cs="Arial" w:eastAsia="Arial" w:hAnsi="Arial"/>
          <w:sz w:val="16"/>
          <w:szCs w:val="16"/>
          <w:b w:val="1"/>
          <w:bCs w:val="1"/>
          <w:color w:val="auto"/>
        </w:rPr>
      </w:pPr>
      <w:r>
        <w:rPr>
          <w:rFonts w:ascii="Arial" w:cs="Arial" w:eastAsia="Arial" w:hAnsi="Arial"/>
          <w:sz w:val="15"/>
          <w:szCs w:val="15"/>
          <w:color w:val="auto"/>
        </w:rPr>
        <w:t xml:space="preserve">16.2. </w:t>
      </w:r>
      <w:r>
        <w:rPr>
          <w:rFonts w:ascii="Arial" w:cs="Arial" w:eastAsia="Arial" w:hAnsi="Arial"/>
          <w:sz w:val="15"/>
          <w:szCs w:val="15"/>
          <w:u w:val="single" w:color="auto"/>
          <w:color w:val="auto"/>
        </w:rPr>
        <w:t>Assignment</w:t>
      </w:r>
      <w:r>
        <w:rPr>
          <w:rFonts w:ascii="Arial" w:cs="Arial" w:eastAsia="Arial" w:hAnsi="Arial"/>
          <w:sz w:val="15"/>
          <w:szCs w:val="15"/>
          <w:color w:val="auto"/>
        </w:rPr>
        <w:t>. Neither Party may assign or transfer its rights or obligations in this agreement (by operation of law or otherwise), in whole or in part, to any person or entity without the prior written consent of the other Party, which consent shall not be unreasonably withheld; provided, however, that a Party may assign such rights or obligations upon written notice to the non-assigning Party to (a) a successor or surviving corporation resulting from a merger, consolidation, sale of assets or stock or other corporate reorganization, or (b) its parent or Affiliate, in each of (a) and (b) upon conditions that the assignee will assume all of the Party’s obligations hereunder, is fully capable of fulfilling the assignor’s obligations under this Agreement, and does not engage in a business that is competitive with the business of the non-assigning Party. Any attempt to assign or delegate in violation of this clause will be void.</w:t>
      </w:r>
    </w:p>
    <w:p>
      <w:pPr>
        <w:spacing w:after="0" w:line="178" w:lineRule="exact"/>
        <w:rPr>
          <w:rFonts w:ascii="Arial" w:cs="Arial" w:eastAsia="Arial" w:hAnsi="Arial"/>
          <w:sz w:val="16"/>
          <w:szCs w:val="16"/>
          <w:b w:val="1"/>
          <w:bCs w:val="1"/>
          <w:color w:val="auto"/>
        </w:rPr>
      </w:pPr>
    </w:p>
    <w:p>
      <w:pPr>
        <w:ind w:left="840" w:hanging="449"/>
        <w:spacing w:after="0" w:line="288" w:lineRule="auto"/>
        <w:rPr>
          <w:rFonts w:ascii="Arial" w:cs="Arial" w:eastAsia="Arial" w:hAnsi="Arial"/>
          <w:sz w:val="16"/>
          <w:szCs w:val="16"/>
          <w:b w:val="1"/>
          <w:bCs w:val="1"/>
          <w:color w:val="auto"/>
        </w:rPr>
      </w:pPr>
      <w:r>
        <w:rPr>
          <w:rFonts w:ascii="Arial" w:cs="Arial" w:eastAsia="Arial" w:hAnsi="Arial"/>
          <w:sz w:val="15"/>
          <w:szCs w:val="15"/>
          <w:color w:val="auto"/>
        </w:rPr>
        <w:t xml:space="preserve">16.3. </w:t>
      </w:r>
      <w:r>
        <w:rPr>
          <w:rFonts w:ascii="Arial" w:cs="Arial" w:eastAsia="Arial" w:hAnsi="Arial"/>
          <w:sz w:val="15"/>
          <w:szCs w:val="15"/>
          <w:u w:val="single" w:color="auto"/>
          <w:color w:val="auto"/>
        </w:rPr>
        <w:t>Force Majeure</w:t>
      </w:r>
      <w:r>
        <w:rPr>
          <w:rFonts w:ascii="Arial" w:cs="Arial" w:eastAsia="Arial" w:hAnsi="Arial"/>
          <w:sz w:val="15"/>
          <w:szCs w:val="15"/>
          <w:color w:val="auto"/>
        </w:rPr>
        <w:t>. Either Party hereto shall be excused for delays or interruptions in the performance of its obligations under this Agreement or applicable SOW to the extent such delays or interruptions are otherwise not foreseeable and beyond the reasonable control of such Party, including but not limited to delays or interruptions due to war (whether or not actually declared), sabotage, insurrection, rebellion, riot or other act of civil disobedience, act of a public enemy, failure of or delay in transportation, any governmental act, judicial action, priorities given U.S. Government procurements, labor dispute, shortage of labor, fuel, raw material or machinery, fire, accident, explosion, epidemic, pandemic, quarantine, storm, flood, earthquake, or other Acts of God (“Force Majeure”). The Parties specifically agree that rain, snow or other ordinary weather conditions (excluding tornadoes, hurricanes, and other major storms) do not constitute Force Majeure conditions. If any such Force Majeure occurs, the Party affected by such Force Majeure shall promptly notify the other Party in writing and use its best efforts to abate the effect of such Force Majeure and restore compliance with the terms of an Agreement as soon as possible.</w:t>
      </w:r>
    </w:p>
    <w:p>
      <w:pPr>
        <w:spacing w:after="0" w:line="177" w:lineRule="exact"/>
        <w:rPr>
          <w:rFonts w:ascii="Arial" w:cs="Arial" w:eastAsia="Arial" w:hAnsi="Arial"/>
          <w:sz w:val="16"/>
          <w:szCs w:val="16"/>
          <w:b w:val="1"/>
          <w:bCs w:val="1"/>
          <w:color w:val="auto"/>
        </w:rPr>
      </w:pPr>
    </w:p>
    <w:p>
      <w:pPr>
        <w:ind w:left="840" w:hanging="449"/>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one or more of the provisions contained in this Agreement shall for any reason be held to be invalid, illegal, or unenforceable in any respect, the remaining provisions of this Agreement shall be enforceable to the maximum extent possible.</w:t>
      </w:r>
    </w:p>
    <w:p>
      <w:pPr>
        <w:spacing w:after="0" w:line="172" w:lineRule="exact"/>
        <w:rPr>
          <w:rFonts w:ascii="Arial" w:cs="Arial" w:eastAsia="Arial" w:hAnsi="Arial"/>
          <w:sz w:val="16"/>
          <w:szCs w:val="16"/>
          <w:b w:val="1"/>
          <w:bCs w:val="1"/>
          <w:color w:val="auto"/>
        </w:rPr>
      </w:pPr>
    </w:p>
    <w:p>
      <w:pPr>
        <w:ind w:left="840" w:hanging="449"/>
        <w:spacing w:after="0" w:line="304" w:lineRule="auto"/>
        <w:rPr>
          <w:rFonts w:ascii="Arial" w:cs="Arial" w:eastAsia="Arial" w:hAnsi="Arial"/>
          <w:sz w:val="16"/>
          <w:szCs w:val="16"/>
          <w:b w:val="1"/>
          <w:bCs w:val="1"/>
          <w:color w:val="auto"/>
        </w:rPr>
      </w:pPr>
      <w:r>
        <w:rPr>
          <w:rFonts w:ascii="Arial" w:cs="Arial" w:eastAsia="Arial" w:hAnsi="Arial"/>
          <w:sz w:val="15"/>
          <w:szCs w:val="15"/>
          <w:color w:val="auto"/>
        </w:rPr>
        <w:t xml:space="preserve">16.5. </w:t>
      </w:r>
      <w:r>
        <w:rPr>
          <w:rFonts w:ascii="Arial" w:cs="Arial" w:eastAsia="Arial" w:hAnsi="Arial"/>
          <w:sz w:val="15"/>
          <w:szCs w:val="15"/>
          <w:u w:val="single" w:color="auto"/>
          <w:color w:val="auto"/>
        </w:rPr>
        <w:t>Notices</w:t>
      </w:r>
      <w:r>
        <w:rPr>
          <w:rFonts w:ascii="Arial" w:cs="Arial" w:eastAsia="Arial" w:hAnsi="Arial"/>
          <w:sz w:val="15"/>
          <w:szCs w:val="15"/>
          <w:color w:val="auto"/>
        </w:rPr>
        <w:t>. Each Party must provide notices or other communications to the other Party in writing by: (a) certified mail, hand delivery or delivery by a courier service to the address below set forth (or such other address as may have been furnished by or on behalf of such Party by like notice), (b) facsimile with receipt of a “transmission ok” acknowledgement, or (c) e-mail. Communications sent by facsimile or e-mail shall be deemed effectively served upon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3" w:name="page54"/>
    <w:bookmarkEnd w:id="53"/>
    <w:p>
      <w:pPr>
        <w:ind w:left="840"/>
        <w:spacing w:after="0" w:line="292" w:lineRule="auto"/>
        <w:rPr>
          <w:sz w:val="20"/>
          <w:szCs w:val="20"/>
          <w:color w:val="auto"/>
        </w:rPr>
      </w:pPr>
      <w:r>
        <w:rPr>
          <w:rFonts w:ascii="Arial" w:cs="Arial" w:eastAsia="Arial" w:hAnsi="Arial"/>
          <w:sz w:val="16"/>
          <w:szCs w:val="16"/>
          <w:color w:val="auto"/>
        </w:rPr>
        <w:t>dispatch, if receipt is confirmed electronically. Communications sent by certified mail or courier service shall be deemed effectively served three (3) calendar days after deposit. All other general correspondence may be communicated by electronic means (e-mail).</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380" w:type="dxa"/>
            <w:vAlign w:val="bottom"/>
          </w:tcPr>
          <w:p>
            <w:pPr>
              <w:spacing w:after="0"/>
              <w:rPr>
                <w:sz w:val="20"/>
                <w:szCs w:val="20"/>
                <w:color w:val="auto"/>
              </w:rPr>
            </w:pPr>
            <w:r>
              <w:rPr>
                <w:rFonts w:ascii="Arial" w:cs="Arial" w:eastAsia="Arial" w:hAnsi="Arial"/>
                <w:sz w:val="16"/>
                <w:szCs w:val="16"/>
                <w:b w:val="1"/>
                <w:bCs w:val="1"/>
                <w:color w:val="auto"/>
                <w:w w:val="86"/>
              </w:rPr>
              <w:t>Gogo</w:t>
            </w:r>
          </w:p>
        </w:tc>
        <w:tc>
          <w:tcPr>
            <w:tcW w:w="3900" w:type="dxa"/>
            <w:vAlign w:val="bottom"/>
          </w:tcPr>
          <w:p>
            <w:pPr>
              <w:spacing w:after="0"/>
              <w:rPr>
                <w:sz w:val="16"/>
                <w:szCs w:val="16"/>
                <w:color w:val="auto"/>
              </w:rPr>
            </w:pPr>
          </w:p>
        </w:tc>
        <w:tc>
          <w:tcPr>
            <w:tcW w:w="4240" w:type="dxa"/>
            <w:vAlign w:val="bottom"/>
            <w:gridSpan w:val="3"/>
          </w:tcPr>
          <w:p>
            <w:pPr>
              <w:ind w:left="1020"/>
              <w:spacing w:after="0"/>
              <w:rPr>
                <w:sz w:val="20"/>
                <w:szCs w:val="20"/>
                <w:color w:val="auto"/>
              </w:rPr>
            </w:pPr>
            <w:r>
              <w:rPr>
                <w:rFonts w:ascii="Arial" w:cs="Arial" w:eastAsia="Arial" w:hAnsi="Arial"/>
                <w:sz w:val="16"/>
                <w:szCs w:val="16"/>
                <w:b w:val="1"/>
                <w:bCs w:val="1"/>
                <w:color w:val="auto"/>
              </w:rPr>
              <w:t>Supplier</w:t>
            </w:r>
          </w:p>
        </w:tc>
      </w:tr>
      <w:tr>
        <w:trPr>
          <w:trHeight w:val="20"/>
        </w:trPr>
        <w:tc>
          <w:tcPr>
            <w:tcW w:w="3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59"/>
        </w:trPr>
        <w:tc>
          <w:tcPr>
            <w:tcW w:w="4280" w:type="dxa"/>
            <w:vAlign w:val="bottom"/>
            <w:gridSpan w:val="2"/>
          </w:tcPr>
          <w:p>
            <w:pPr>
              <w:spacing w:after="0"/>
              <w:rPr>
                <w:sz w:val="20"/>
                <w:szCs w:val="20"/>
                <w:color w:val="auto"/>
              </w:rPr>
            </w:pPr>
            <w:r>
              <w:rPr>
                <w:rFonts w:ascii="Arial" w:cs="Arial" w:eastAsia="Arial" w:hAnsi="Arial"/>
                <w:sz w:val="16"/>
                <w:szCs w:val="16"/>
                <w:color w:val="auto"/>
              </w:rPr>
              <w:t>Gogo Business Aviation LLC</w:t>
            </w:r>
          </w:p>
        </w:tc>
        <w:tc>
          <w:tcPr>
            <w:tcW w:w="4240" w:type="dxa"/>
            <w:vAlign w:val="bottom"/>
            <w:gridSpan w:val="3"/>
          </w:tcPr>
          <w:p>
            <w:pPr>
              <w:ind w:left="1020"/>
              <w:spacing w:after="0"/>
              <w:rPr>
                <w:sz w:val="20"/>
                <w:szCs w:val="20"/>
                <w:color w:val="auto"/>
              </w:rPr>
            </w:pPr>
            <w:r>
              <w:rPr>
                <w:rFonts w:ascii="Arial" w:cs="Arial" w:eastAsia="Arial" w:hAnsi="Arial"/>
                <w:sz w:val="16"/>
                <w:szCs w:val="16"/>
                <w:color w:val="auto"/>
              </w:rPr>
              <w:t>Hughes Network Systems, LLC</w:t>
            </w:r>
          </w:p>
        </w:tc>
      </w:tr>
      <w:tr>
        <w:trPr>
          <w:trHeight w:val="270"/>
        </w:trPr>
        <w:tc>
          <w:tcPr>
            <w:tcW w:w="4280" w:type="dxa"/>
            <w:vAlign w:val="bottom"/>
            <w:gridSpan w:val="2"/>
          </w:tcPr>
          <w:p>
            <w:pPr>
              <w:spacing w:after="0"/>
              <w:rPr>
                <w:sz w:val="20"/>
                <w:szCs w:val="20"/>
                <w:color w:val="auto"/>
              </w:rPr>
            </w:pPr>
            <w:r>
              <w:rPr>
                <w:rFonts w:ascii="Arial" w:cs="Arial" w:eastAsia="Arial" w:hAnsi="Arial"/>
                <w:sz w:val="16"/>
                <w:szCs w:val="16"/>
                <w:color w:val="auto"/>
              </w:rPr>
              <w:t>105 Edgeview Drive, Suite 300</w:t>
            </w:r>
          </w:p>
        </w:tc>
        <w:tc>
          <w:tcPr>
            <w:tcW w:w="4240" w:type="dxa"/>
            <w:vAlign w:val="bottom"/>
            <w:gridSpan w:val="3"/>
          </w:tcPr>
          <w:p>
            <w:pPr>
              <w:ind w:left="1020"/>
              <w:spacing w:after="0"/>
              <w:rPr>
                <w:sz w:val="20"/>
                <w:szCs w:val="20"/>
                <w:color w:val="auto"/>
              </w:rPr>
            </w:pPr>
            <w:r>
              <w:rPr>
                <w:rFonts w:ascii="Arial" w:cs="Arial" w:eastAsia="Arial" w:hAnsi="Arial"/>
                <w:sz w:val="16"/>
                <w:szCs w:val="16"/>
                <w:color w:val="auto"/>
              </w:rPr>
              <w:t>11717 Exploration Lane</w:t>
            </w:r>
          </w:p>
        </w:tc>
      </w:tr>
      <w:tr>
        <w:trPr>
          <w:trHeight w:val="243"/>
        </w:trPr>
        <w:tc>
          <w:tcPr>
            <w:tcW w:w="4280" w:type="dxa"/>
            <w:vAlign w:val="bottom"/>
            <w:gridSpan w:val="2"/>
          </w:tcPr>
          <w:p>
            <w:pPr>
              <w:spacing w:after="0"/>
              <w:rPr>
                <w:sz w:val="20"/>
                <w:szCs w:val="20"/>
                <w:color w:val="auto"/>
              </w:rPr>
            </w:pPr>
            <w:r>
              <w:rPr>
                <w:rFonts w:ascii="Arial" w:cs="Arial" w:eastAsia="Arial" w:hAnsi="Arial"/>
                <w:sz w:val="16"/>
                <w:szCs w:val="16"/>
                <w:color w:val="auto"/>
              </w:rPr>
              <w:t>Broomfield, CO 80021</w:t>
            </w:r>
          </w:p>
        </w:tc>
        <w:tc>
          <w:tcPr>
            <w:tcW w:w="4240" w:type="dxa"/>
            <w:vAlign w:val="bottom"/>
            <w:gridSpan w:val="3"/>
          </w:tcPr>
          <w:p>
            <w:pPr>
              <w:ind w:left="1020"/>
              <w:spacing w:after="0"/>
              <w:rPr>
                <w:sz w:val="20"/>
                <w:szCs w:val="20"/>
                <w:color w:val="auto"/>
              </w:rPr>
            </w:pPr>
            <w:r>
              <w:rPr>
                <w:rFonts w:ascii="Arial" w:cs="Arial" w:eastAsia="Arial" w:hAnsi="Arial"/>
                <w:sz w:val="16"/>
                <w:szCs w:val="16"/>
                <w:color w:val="auto"/>
              </w:rPr>
              <w:t>Germantown, MD 20876</w:t>
            </w:r>
          </w:p>
        </w:tc>
      </w:tr>
      <w:tr>
        <w:trPr>
          <w:trHeight w:val="229"/>
        </w:trPr>
        <w:tc>
          <w:tcPr>
            <w:tcW w:w="4280" w:type="dxa"/>
            <w:vAlign w:val="bottom"/>
            <w:gridSpan w:val="2"/>
          </w:tcPr>
          <w:p>
            <w:pPr>
              <w:spacing w:after="0"/>
              <w:rPr>
                <w:sz w:val="20"/>
                <w:szCs w:val="20"/>
                <w:color w:val="auto"/>
              </w:rPr>
            </w:pPr>
            <w:r>
              <w:rPr>
                <w:rFonts w:ascii="Arial" w:cs="Arial" w:eastAsia="Arial" w:hAnsi="Arial"/>
                <w:sz w:val="16"/>
                <w:szCs w:val="16"/>
                <w:color w:val="auto"/>
              </w:rPr>
              <w:t>Attn: General Counsel, legalnotices@gogoair.com</w:t>
            </w:r>
          </w:p>
        </w:tc>
        <w:tc>
          <w:tcPr>
            <w:tcW w:w="4240" w:type="dxa"/>
            <w:vAlign w:val="bottom"/>
            <w:gridSpan w:val="3"/>
          </w:tcPr>
          <w:p>
            <w:pPr>
              <w:ind w:left="1020"/>
              <w:spacing w:after="0"/>
              <w:rPr>
                <w:sz w:val="20"/>
                <w:szCs w:val="20"/>
                <w:color w:val="auto"/>
              </w:rPr>
            </w:pPr>
            <w:r>
              <w:rPr>
                <w:rFonts w:ascii="Arial" w:cs="Arial" w:eastAsia="Arial" w:hAnsi="Arial"/>
                <w:sz w:val="16"/>
                <w:szCs w:val="16"/>
                <w:color w:val="auto"/>
                <w:w w:val="90"/>
              </w:rPr>
              <w:t>Attn: General Counsel, legalnotices@hughes.com</w:t>
            </w:r>
          </w:p>
        </w:tc>
      </w:tr>
    </w:tbl>
    <w:p>
      <w:pPr>
        <w:spacing w:after="0" w:line="200" w:lineRule="exact"/>
        <w:rPr>
          <w:sz w:val="20"/>
          <w:szCs w:val="20"/>
          <w:color w:val="auto"/>
        </w:rPr>
      </w:pPr>
    </w:p>
    <w:p>
      <w:pPr>
        <w:spacing w:after="0" w:line="201" w:lineRule="exact"/>
        <w:rPr>
          <w:sz w:val="20"/>
          <w:szCs w:val="20"/>
          <w:color w:val="auto"/>
        </w:rPr>
      </w:pPr>
    </w:p>
    <w:p>
      <w:pPr>
        <w:jc w:val="both"/>
        <w:ind w:left="840" w:hanging="448"/>
        <w:spacing w:after="0" w:line="328" w:lineRule="auto"/>
        <w:tabs>
          <w:tab w:leader="none" w:pos="820" w:val="left"/>
        </w:tabs>
        <w:rPr>
          <w:sz w:val="20"/>
          <w:szCs w:val="20"/>
          <w:color w:val="auto"/>
        </w:rPr>
      </w:pPr>
      <w:r>
        <w:rPr>
          <w:rFonts w:ascii="Arial" w:cs="Arial" w:eastAsia="Arial" w:hAnsi="Arial"/>
          <w:sz w:val="16"/>
          <w:szCs w:val="16"/>
          <w:color w:val="auto"/>
        </w:rPr>
        <w:t>16.6.</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No waiver by either Party of a breach of any term, provision or condition of this Agreement by the other Party shall constitute a waiver of any</w:t>
      </w:r>
      <w:r>
        <w:rPr>
          <w:rFonts w:ascii="Arial" w:cs="Arial" w:eastAsia="Arial" w:hAnsi="Arial"/>
          <w:sz w:val="15"/>
          <w:szCs w:val="15"/>
          <w:u w:val="single" w:color="auto"/>
          <w:color w:val="auto"/>
        </w:rPr>
        <w:t xml:space="preserve"> </w:t>
      </w:r>
      <w:r>
        <w:rPr>
          <w:rFonts w:ascii="Arial" w:cs="Arial" w:eastAsia="Arial" w:hAnsi="Arial"/>
          <w:sz w:val="15"/>
          <w:szCs w:val="15"/>
          <w:color w:val="auto"/>
        </w:rPr>
        <w:t>succeeding breach of the same or any other provision hereof. No such waiver shall be valid unless executed in writing by the Party making the waiver.</w:t>
      </w:r>
    </w:p>
    <w:p>
      <w:pPr>
        <w:spacing w:after="0" w:line="149" w:lineRule="exact"/>
        <w:rPr>
          <w:sz w:val="20"/>
          <w:szCs w:val="20"/>
          <w:color w:val="auto"/>
        </w:rPr>
      </w:pPr>
    </w:p>
    <w:p>
      <w:pPr>
        <w:jc w:val="both"/>
        <w:ind w:left="840" w:hanging="448"/>
        <w:spacing w:after="0" w:line="292" w:lineRule="auto"/>
        <w:tabs>
          <w:tab w:leader="none" w:pos="820" w:val="left"/>
        </w:tabs>
        <w:rPr>
          <w:sz w:val="20"/>
          <w:szCs w:val="20"/>
          <w:color w:val="auto"/>
        </w:rPr>
      </w:pPr>
      <w:r>
        <w:rPr>
          <w:rFonts w:ascii="Arial" w:cs="Arial" w:eastAsia="Arial" w:hAnsi="Arial"/>
          <w:sz w:val="16"/>
          <w:szCs w:val="16"/>
          <w:color w:val="auto"/>
        </w:rPr>
        <w:t>16.7.</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and all of which together shall constitute one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instrument.</w:t>
      </w:r>
    </w:p>
    <w:p>
      <w:pPr>
        <w:spacing w:after="0" w:line="173" w:lineRule="exact"/>
        <w:rPr>
          <w:sz w:val="20"/>
          <w:szCs w:val="20"/>
          <w:color w:val="auto"/>
        </w:rPr>
      </w:pPr>
    </w:p>
    <w:p>
      <w:pPr>
        <w:jc w:val="both"/>
        <w:ind w:left="840" w:hanging="448"/>
        <w:spacing w:after="0" w:line="292" w:lineRule="auto"/>
        <w:tabs>
          <w:tab w:leader="none" w:pos="820" w:val="left"/>
        </w:tabs>
        <w:rPr>
          <w:sz w:val="20"/>
          <w:szCs w:val="20"/>
          <w:color w:val="auto"/>
        </w:rPr>
      </w:pPr>
      <w:r>
        <w:rPr>
          <w:rFonts w:ascii="Arial" w:cs="Arial" w:eastAsia="Arial" w:hAnsi="Arial"/>
          <w:sz w:val="16"/>
          <w:szCs w:val="16"/>
          <w:color w:val="auto"/>
        </w:rPr>
        <w:t>16.8.</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section and subsection headings used in this Agreement are intended for reference purposes only and shall not affect the interpretation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construction of any provision of this Agreement.</w:t>
      </w:r>
    </w:p>
    <w:p>
      <w:pPr>
        <w:spacing w:after="0" w:line="173" w:lineRule="exact"/>
        <w:rPr>
          <w:sz w:val="20"/>
          <w:szCs w:val="20"/>
          <w:color w:val="auto"/>
        </w:rPr>
      </w:pPr>
    </w:p>
    <w:p>
      <w:pPr>
        <w:jc w:val="both"/>
        <w:ind w:left="840" w:right="20" w:hanging="448"/>
        <w:spacing w:after="0" w:line="292" w:lineRule="auto"/>
        <w:tabs>
          <w:tab w:leader="none" w:pos="820" w:val="left"/>
        </w:tabs>
        <w:rPr>
          <w:sz w:val="20"/>
          <w:szCs w:val="20"/>
          <w:color w:val="auto"/>
        </w:rPr>
      </w:pPr>
      <w:r>
        <w:rPr>
          <w:rFonts w:ascii="Arial" w:cs="Arial" w:eastAsia="Arial" w:hAnsi="Arial"/>
          <w:sz w:val="16"/>
          <w:szCs w:val="16"/>
          <w:color w:val="auto"/>
        </w:rPr>
        <w:t>16.9.</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Each Party acknowledges that this Agreement was drafted jointly by the Parties, and it shall be construed neither against nor in favor of either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Party. The term “including” or “include”, as used in this Agreement, shall mean “including, but not limited to”.</w:t>
      </w:r>
    </w:p>
    <w:p>
      <w:pPr>
        <w:spacing w:after="0" w:line="173" w:lineRule="exact"/>
        <w:rPr>
          <w:sz w:val="20"/>
          <w:szCs w:val="20"/>
          <w:color w:val="auto"/>
        </w:rPr>
      </w:pPr>
    </w:p>
    <w:p>
      <w:pPr>
        <w:jc w:val="both"/>
        <w:ind w:left="960" w:hanging="568"/>
        <w:spacing w:after="0" w:line="278" w:lineRule="auto"/>
        <w:tabs>
          <w:tab w:leader="none" w:pos="940" w:val="left"/>
        </w:tabs>
        <w:rPr>
          <w:sz w:val="20"/>
          <w:szCs w:val="20"/>
          <w:color w:val="auto"/>
        </w:rPr>
      </w:pPr>
      <w:r>
        <w:rPr>
          <w:rFonts w:ascii="Arial" w:cs="Arial" w:eastAsia="Arial" w:hAnsi="Arial"/>
          <w:sz w:val="16"/>
          <w:szCs w:val="16"/>
          <w:color w:val="auto"/>
        </w:rPr>
        <w:t>16.10.</w:t>
      </w:r>
      <w:r>
        <w:rPr>
          <w:sz w:val="20"/>
          <w:szCs w:val="20"/>
          <w:color w:val="auto"/>
        </w:rPr>
        <w:tab/>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Nothing contained in this Agreement is intended to confer nor shall confer upon any person (other than the Parties hereto and their</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permitted assigns) any rights, benefits or remedies of any kind or character whatsoever, and no such person shall be deemed a third party beneficiary under or by reason of this Agreement.</w:t>
      </w:r>
    </w:p>
    <w:p>
      <w:pPr>
        <w:spacing w:after="0" w:line="18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6"/>
          <w:szCs w:val="16"/>
          <w:color w:val="auto"/>
        </w:rPr>
        <w:t>16.11.</w:t>
      </w:r>
      <w:r>
        <w:rPr>
          <w:sz w:val="20"/>
          <w:szCs w:val="20"/>
          <w:color w:val="auto"/>
        </w:rPr>
        <w:tab/>
      </w:r>
      <w:r>
        <w:rPr>
          <w:rFonts w:ascii="Arial" w:cs="Arial" w:eastAsia="Arial" w:hAnsi="Arial"/>
          <w:sz w:val="14"/>
          <w:szCs w:val="14"/>
          <w:u w:val="single" w:color="auto"/>
          <w:color w:val="auto"/>
        </w:rPr>
        <w:t>Accrued Rights</w:t>
      </w:r>
      <w:r>
        <w:rPr>
          <w:rFonts w:ascii="Arial" w:cs="Arial" w:eastAsia="Arial" w:hAnsi="Arial"/>
          <w:sz w:val="14"/>
          <w:szCs w:val="14"/>
          <w:color w:val="auto"/>
        </w:rPr>
        <w:t>. The termination or expiration of this Agreement shall not affect or prejudice either Party’s accrued rights hereunder.</w:t>
      </w:r>
    </w:p>
    <w:p>
      <w:pPr>
        <w:spacing w:after="0" w:line="234" w:lineRule="exact"/>
        <w:rPr>
          <w:sz w:val="20"/>
          <w:szCs w:val="20"/>
          <w:color w:val="auto"/>
        </w:rPr>
      </w:pPr>
    </w:p>
    <w:p>
      <w:pPr>
        <w:jc w:val="both"/>
        <w:ind w:left="960" w:hanging="568"/>
        <w:spacing w:after="0" w:line="268" w:lineRule="auto"/>
        <w:tabs>
          <w:tab w:leader="none" w:pos="940" w:val="left"/>
        </w:tabs>
        <w:rPr>
          <w:sz w:val="20"/>
          <w:szCs w:val="20"/>
          <w:color w:val="auto"/>
        </w:rPr>
      </w:pPr>
      <w:r>
        <w:rPr>
          <w:rFonts w:ascii="Arial" w:cs="Arial" w:eastAsia="Arial" w:hAnsi="Arial"/>
          <w:sz w:val="16"/>
          <w:szCs w:val="16"/>
          <w:color w:val="auto"/>
        </w:rPr>
        <w:t>16.12.</w:t>
      </w:r>
      <w:r>
        <w:rPr>
          <w:sz w:val="20"/>
          <w:szCs w:val="20"/>
          <w:color w:val="auto"/>
        </w:rPr>
        <w:tab/>
      </w:r>
      <w:r>
        <w:rPr>
          <w:rFonts w:ascii="Arial" w:cs="Arial" w:eastAsia="Arial" w:hAnsi="Arial"/>
          <w:sz w:val="16"/>
          <w:szCs w:val="16"/>
          <w:u w:val="single" w:color="auto"/>
          <w:color w:val="auto"/>
        </w:rPr>
        <w:t>Governing Law, Venue and Language</w:t>
      </w:r>
      <w:r>
        <w:rPr>
          <w:rFonts w:ascii="Arial" w:cs="Arial" w:eastAsia="Arial" w:hAnsi="Arial"/>
          <w:sz w:val="16"/>
          <w:szCs w:val="16"/>
          <w:color w:val="auto"/>
        </w:rPr>
        <w:t>. THIS AGREEMENT SHALL BE GOVERNED BY AND CONSTRUED IN ACCORDANCE WITH THE LAWS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STATE OF COLORADO, WITHOUT REGARD TO PRINCIPLES OF CONFLICTS OF LAW. THE UNITED NATIONS CONVENTION ON CONTRACTS FOR THE INTERNATIONAL SALE OF GOODS SHALL NOT APPLY TO THIS AGREEMENT. VENUE FOR ANY LEGAL ACTION ARISING OUT OF OR RELATING TO THIS AGREEMENT SHALL BE EXCLUSIVELY THE STATE OR FEDERAL COURTS LOCATED IN DENVER, COLORADO. THE PARTIES HEREBY CONSENT TO THE JURISDICTION OF SUCH COURTS. NOTHING IN THIS AGREEMENT AFFECTS ANY STATUTORY RIGHTS OF CONSUMERS THAT CANNOT BE WAIVED OR LIMITED BY CONTRACT. THE PARTIES WAIVE JURY TRIAL WITH RESPECT TO ANY DISPUTE UNDER THIS AGREEMENT.</w:t>
      </w:r>
    </w:p>
    <w:p>
      <w:pPr>
        <w:spacing w:after="0" w:line="193" w:lineRule="exact"/>
        <w:rPr>
          <w:sz w:val="20"/>
          <w:szCs w:val="20"/>
          <w:color w:val="auto"/>
        </w:rPr>
      </w:pPr>
    </w:p>
    <w:p>
      <w:pPr>
        <w:jc w:val="both"/>
        <w:ind w:left="960" w:hanging="568"/>
        <w:spacing w:after="0" w:line="286" w:lineRule="auto"/>
        <w:tabs>
          <w:tab w:leader="none" w:pos="940" w:val="left"/>
        </w:tabs>
        <w:rPr>
          <w:sz w:val="20"/>
          <w:szCs w:val="20"/>
          <w:color w:val="auto"/>
        </w:rPr>
      </w:pPr>
      <w:r>
        <w:rPr>
          <w:rFonts w:ascii="Arial" w:cs="Arial" w:eastAsia="Arial" w:hAnsi="Arial"/>
          <w:sz w:val="16"/>
          <w:szCs w:val="16"/>
          <w:color w:val="auto"/>
        </w:rPr>
        <w:t>16.13.</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 Prior to either Party initiating a formal dispute resolution procedure with respect to any dispute, that Party shall attempt to resolve such</w:t>
      </w:r>
      <w:r>
        <w:rPr>
          <w:rFonts w:ascii="Arial" w:cs="Arial" w:eastAsia="Arial" w:hAnsi="Arial"/>
          <w:sz w:val="15"/>
          <w:szCs w:val="15"/>
          <w:u w:val="single" w:color="auto"/>
          <w:color w:val="auto"/>
        </w:rPr>
        <w:t xml:space="preserve"> </w:t>
      </w:r>
      <w:r>
        <w:rPr>
          <w:rFonts w:ascii="Arial" w:cs="Arial" w:eastAsia="Arial" w:hAnsi="Arial"/>
          <w:sz w:val="15"/>
          <w:szCs w:val="15"/>
          <w:color w:val="auto"/>
        </w:rPr>
        <w:t>dispute informally, as follows: (a) the Parties’ respective project managers for the applicable Exhibits shall attempt in good faith to resolve all disputes. If the Project Managers are unable to resolve a dispute in an amount of time that both Parties deem reasonable under the circumstances, then upon written notice to the other Party, either Party may refer the dispute to the applicable senior corporate executives for resolution pursuant to Section 16.13(b); (b) within five (5) business days after receipt of a written notice under Section 16.13(a), the designated senior corporate executives shall discuss the problem and negotiate in good faith in an effort to resolve the dispute without the necessity of any formal dispute resolution proceeding. All negotiations shall be strictly confidential and used solely for the purposes of settlement. Any materials prepared by one Party for these proceedings shall not be used as evidence by the other Party in any subsequent litigation, provided, however, the underlying facts supporting such materials may be subject to discovery. Notwithstanding the foregoing, each Party shall be entitled to injunctive relief from a court of competent jurisdiction without the need to post any bond or demonstrate actual damages in the event of a breach or anticipatory breach by the other Party that would cause irreparable injury and damage.</w:t>
      </w:r>
    </w:p>
    <w:p>
      <w:pPr>
        <w:spacing w:after="0" w:line="18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6"/>
          <w:szCs w:val="16"/>
          <w:color w:val="auto"/>
        </w:rPr>
        <w:t>16.14.</w:t>
      </w:r>
      <w:r>
        <w:rPr>
          <w:sz w:val="20"/>
          <w:szCs w:val="20"/>
          <w:color w:val="auto"/>
        </w:rPr>
        <w:tab/>
      </w:r>
      <w:r>
        <w:rPr>
          <w:rFonts w:ascii="Arial" w:cs="Arial" w:eastAsia="Arial" w:hAnsi="Arial"/>
          <w:sz w:val="14"/>
          <w:szCs w:val="14"/>
          <w:u w:val="single" w:color="auto"/>
          <w:color w:val="auto"/>
        </w:rPr>
        <w:t>Jury Trial Wavier</w:t>
      </w:r>
      <w:r>
        <w:rPr>
          <w:rFonts w:ascii="Arial" w:cs="Arial" w:eastAsia="Arial" w:hAnsi="Arial"/>
          <w:sz w:val="14"/>
          <w:szCs w:val="14"/>
          <w:color w:val="auto"/>
        </w:rPr>
        <w:t>. Each Party waives any right to a jury trial in any proceeding arising out of or related to this Agreement.</w:t>
      </w:r>
    </w:p>
    <w:p>
      <w:pPr>
        <w:spacing w:after="0" w:line="234" w:lineRule="exact"/>
        <w:rPr>
          <w:sz w:val="20"/>
          <w:szCs w:val="20"/>
          <w:color w:val="auto"/>
        </w:rPr>
      </w:pPr>
    </w:p>
    <w:p>
      <w:pPr>
        <w:jc w:val="both"/>
        <w:ind w:left="960" w:hanging="568"/>
        <w:spacing w:after="0" w:line="292" w:lineRule="auto"/>
        <w:tabs>
          <w:tab w:leader="none" w:pos="940" w:val="left"/>
        </w:tabs>
        <w:rPr>
          <w:sz w:val="20"/>
          <w:szCs w:val="20"/>
          <w:color w:val="auto"/>
        </w:rPr>
      </w:pPr>
      <w:r>
        <w:rPr>
          <w:rFonts w:ascii="Arial" w:cs="Arial" w:eastAsia="Arial" w:hAnsi="Arial"/>
          <w:sz w:val="16"/>
          <w:szCs w:val="16"/>
          <w:color w:val="auto"/>
        </w:rPr>
        <w:t>16.15.</w:t>
      </w:r>
      <w:r>
        <w:rPr>
          <w:sz w:val="20"/>
          <w:szCs w:val="20"/>
          <w:color w:val="auto"/>
        </w:rPr>
        <w:tab/>
      </w:r>
      <w:r>
        <w:rPr>
          <w:rFonts w:ascii="Arial" w:cs="Arial" w:eastAsia="Arial" w:hAnsi="Arial"/>
          <w:sz w:val="16"/>
          <w:szCs w:val="16"/>
          <w:u w:val="single" w:color="auto"/>
          <w:color w:val="auto"/>
        </w:rPr>
        <w:t>Retention of Records</w:t>
      </w:r>
      <w:r>
        <w:rPr>
          <w:rFonts w:ascii="Arial" w:cs="Arial" w:eastAsia="Arial" w:hAnsi="Arial"/>
          <w:sz w:val="16"/>
          <w:szCs w:val="16"/>
          <w:color w:val="auto"/>
        </w:rPr>
        <w:t>. For purchases supporting Gogo, Supplier’s quality assurance, development and production records shall be maintained on file at</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Supplier’s facility and available to the relevant Aviation Authority (or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-174625</wp:posOffset>
            </wp:positionV>
            <wp:extent cx="42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54" w:name="page55"/>
    <w:bookmarkEnd w:id="54"/>
    <w:p>
      <w:pPr>
        <w:jc w:val="both"/>
        <w:ind w:left="960"/>
        <w:spacing w:after="0" w:line="278" w:lineRule="auto"/>
        <w:rPr>
          <w:sz w:val="20"/>
          <w:szCs w:val="20"/>
          <w:color w:val="auto"/>
        </w:rPr>
      </w:pPr>
      <w:r>
        <w:rPr>
          <w:rFonts w:ascii="Arial" w:cs="Arial" w:eastAsia="Arial" w:hAnsi="Arial"/>
          <w:sz w:val="16"/>
          <w:szCs w:val="16"/>
          <w:color w:val="auto"/>
        </w:rPr>
        <w:t>governmental agency in Supplier’s country that has been granted jurisdiction by the FAA) and Gogo’s Authorized Representatives. Supplier shall retain such records for a period of not less than the required retention of the Aviation Authority or ten (10) years from the date of final payment under the· applicable Order for all Products unless otherwise specified on the Order.</w:t>
      </w:r>
    </w:p>
    <w:p>
      <w:pPr>
        <w:spacing w:after="0" w:line="183" w:lineRule="exact"/>
        <w:rPr>
          <w:sz w:val="20"/>
          <w:szCs w:val="20"/>
          <w:color w:val="auto"/>
        </w:rPr>
      </w:pPr>
    </w:p>
    <w:p>
      <w:pPr>
        <w:jc w:val="both"/>
        <w:ind w:left="960" w:hanging="568"/>
        <w:spacing w:after="0" w:line="290" w:lineRule="auto"/>
        <w:tabs>
          <w:tab w:leader="none" w:pos="940" w:val="left"/>
        </w:tabs>
        <w:rPr>
          <w:sz w:val="20"/>
          <w:szCs w:val="20"/>
          <w:color w:val="auto"/>
        </w:rPr>
      </w:pPr>
      <w:r>
        <w:rPr>
          <w:rFonts w:ascii="Arial" w:cs="Arial" w:eastAsia="Arial" w:hAnsi="Arial"/>
          <w:sz w:val="16"/>
          <w:szCs w:val="16"/>
          <w:color w:val="auto"/>
        </w:rPr>
        <w:t>16.16.</w:t>
      </w:r>
      <w:r>
        <w:rPr>
          <w:sz w:val="20"/>
          <w:szCs w:val="20"/>
          <w:color w:val="auto"/>
        </w:rPr>
        <w:tab/>
      </w:r>
      <w:r>
        <w:rPr>
          <w:rFonts w:ascii="Arial" w:cs="Arial" w:eastAsia="Arial" w:hAnsi="Arial"/>
          <w:sz w:val="15"/>
          <w:szCs w:val="15"/>
          <w:u w:val="single" w:color="auto"/>
          <w:color w:val="auto"/>
        </w:rPr>
        <w:t>Relationship of the Parties</w:t>
      </w:r>
      <w:r>
        <w:rPr>
          <w:rFonts w:ascii="Arial" w:cs="Arial" w:eastAsia="Arial" w:hAnsi="Arial"/>
          <w:sz w:val="15"/>
          <w:szCs w:val="15"/>
          <w:color w:val="auto"/>
        </w:rPr>
        <w:t>. The relationship between the Parties to this Agreement is and shall be that of independent contractors. It is expressly agreed that</w:t>
      </w:r>
      <w:r>
        <w:rPr>
          <w:rFonts w:ascii="Arial" w:cs="Arial" w:eastAsia="Arial" w:hAnsi="Arial"/>
          <w:sz w:val="15"/>
          <w:szCs w:val="15"/>
          <w:u w:val="single" w:color="auto"/>
          <w:color w:val="auto"/>
        </w:rPr>
        <w:t xml:space="preserve"> </w:t>
      </w:r>
      <w:r>
        <w:rPr>
          <w:rFonts w:ascii="Arial" w:cs="Arial" w:eastAsia="Arial" w:hAnsi="Arial"/>
          <w:sz w:val="15"/>
          <w:szCs w:val="15"/>
          <w:color w:val="auto"/>
        </w:rPr>
        <w:t>nothing in this Agreement shall be construed to create or imply a partnership, joint venture, agency relationship or contract of employment. Neither Party shall have the authority to make any statement, representation nor commitment of any kind, or to take any action that shall be binding on the other Party except as authorized in writing by the Party to be bound. Personnel supplied by each Party hereunder are not the other Party’s employees or agents, and each Party assumes full responsibility for: (a) its own acts, (b) compensation of its personnel, and (c) the payment of worker’s compensation, disability benefits, or unemployment insurance or for withholding or paying employment related taxes for any its personnel.</w:t>
      </w:r>
    </w:p>
    <w:p>
      <w:pPr>
        <w:spacing w:after="0" w:line="179" w:lineRule="exact"/>
        <w:rPr>
          <w:sz w:val="20"/>
          <w:szCs w:val="20"/>
          <w:color w:val="auto"/>
        </w:rPr>
      </w:pPr>
    </w:p>
    <w:p>
      <w:pPr>
        <w:jc w:val="both"/>
        <w:ind w:left="960" w:hanging="568"/>
        <w:spacing w:after="0" w:line="278" w:lineRule="auto"/>
        <w:tabs>
          <w:tab w:leader="none" w:pos="940" w:val="left"/>
        </w:tabs>
        <w:rPr>
          <w:sz w:val="20"/>
          <w:szCs w:val="20"/>
          <w:color w:val="auto"/>
        </w:rPr>
      </w:pPr>
      <w:r>
        <w:rPr>
          <w:rFonts w:ascii="Arial" w:cs="Arial" w:eastAsia="Arial" w:hAnsi="Arial"/>
          <w:sz w:val="16"/>
          <w:szCs w:val="16"/>
          <w:color w:val="auto"/>
        </w:rPr>
        <w:t>16.17.</w:t>
      </w:r>
      <w:r>
        <w:rPr>
          <w:sz w:val="20"/>
          <w:szCs w:val="20"/>
          <w:color w:val="auto"/>
        </w:rPr>
        <w:tab/>
      </w:r>
      <w:r>
        <w:rPr>
          <w:rFonts w:ascii="Arial" w:cs="Arial" w:eastAsia="Arial" w:hAnsi="Arial"/>
          <w:sz w:val="16"/>
          <w:szCs w:val="16"/>
          <w:u w:val="single" w:color="auto"/>
          <w:color w:val="auto"/>
        </w:rPr>
        <w:t>Press Releases</w:t>
      </w:r>
      <w:r>
        <w:rPr>
          <w:rFonts w:ascii="Arial" w:cs="Arial" w:eastAsia="Arial" w:hAnsi="Arial"/>
          <w:sz w:val="16"/>
          <w:szCs w:val="16"/>
          <w:color w:val="auto"/>
        </w:rPr>
        <w:t>. Neither Party shall issue any press release concerning this Agreement without the other Party’s consent. Neither Party may use the name,</w:t>
      </w:r>
      <w:r>
        <w:rPr>
          <w:rFonts w:ascii="Arial" w:cs="Arial" w:eastAsia="Arial" w:hAnsi="Arial"/>
          <w:sz w:val="16"/>
          <w:szCs w:val="16"/>
          <w:u w:val="single" w:color="auto"/>
          <w:color w:val="auto"/>
        </w:rPr>
        <w:t xml:space="preserve"> </w:t>
      </w:r>
      <w:r>
        <w:rPr>
          <w:rFonts w:ascii="Arial" w:cs="Arial" w:eastAsia="Arial" w:hAnsi="Arial"/>
          <w:sz w:val="16"/>
          <w:szCs w:val="16"/>
          <w:color w:val="auto"/>
        </w:rPr>
        <w:t>trade name, trademark, logo, acronym or other designation of the other in connection with any press release, advertising, publicity materials or otherwise without the prior written consent of the other Party, which shall not be unreasonably withheld, conditioned or delayed.</w:t>
      </w:r>
    </w:p>
    <w:p>
      <w:pPr>
        <w:spacing w:after="0" w:line="183" w:lineRule="exact"/>
        <w:rPr>
          <w:sz w:val="20"/>
          <w:szCs w:val="20"/>
          <w:color w:val="auto"/>
        </w:rPr>
      </w:pPr>
    </w:p>
    <w:p>
      <w:pPr>
        <w:jc w:val="both"/>
        <w:ind w:left="960" w:hanging="568"/>
        <w:spacing w:after="0" w:line="292" w:lineRule="auto"/>
        <w:tabs>
          <w:tab w:leader="none" w:pos="940" w:val="left"/>
        </w:tabs>
        <w:rPr>
          <w:sz w:val="20"/>
          <w:szCs w:val="20"/>
          <w:color w:val="auto"/>
        </w:rPr>
      </w:pPr>
      <w:r>
        <w:rPr>
          <w:rFonts w:ascii="Arial" w:cs="Arial" w:eastAsia="Arial" w:hAnsi="Arial"/>
          <w:sz w:val="16"/>
          <w:szCs w:val="16"/>
          <w:color w:val="auto"/>
        </w:rPr>
        <w:t>16.18.</w:t>
      </w:r>
      <w:r>
        <w:rPr>
          <w:sz w:val="20"/>
          <w:szCs w:val="20"/>
          <w:color w:val="auto"/>
        </w:rPr>
        <w:tab/>
      </w:r>
      <w:r>
        <w:rPr>
          <w:rFonts w:ascii="Arial" w:cs="Arial" w:eastAsia="Arial" w:hAnsi="Arial"/>
          <w:sz w:val="16"/>
          <w:szCs w:val="16"/>
          <w:u w:val="single" w:color="auto"/>
          <w:color w:val="auto"/>
        </w:rPr>
        <w:t>Third Party Code of Conduct</w:t>
      </w:r>
      <w:r>
        <w:rPr>
          <w:rFonts w:ascii="Arial" w:cs="Arial" w:eastAsia="Arial" w:hAnsi="Arial"/>
          <w:sz w:val="16"/>
          <w:szCs w:val="16"/>
          <w:color w:val="auto"/>
        </w:rPr>
        <w:t>. Supplier shall comply with Gogo’s Third Party Code of Conduct in the performance of the Services hereunder. The Third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Party Code of Conduct is located at http://www.gogoair.com/policies.</w:t>
      </w:r>
    </w:p>
    <w:p>
      <w:pPr>
        <w:spacing w:after="0" w:line="173" w:lineRule="exact"/>
        <w:rPr>
          <w:sz w:val="20"/>
          <w:szCs w:val="20"/>
          <w:color w:val="auto"/>
        </w:rPr>
      </w:pPr>
    </w:p>
    <w:p>
      <w:pPr>
        <w:jc w:val="both"/>
        <w:ind w:left="960" w:hanging="568"/>
        <w:spacing w:after="0" w:line="292" w:lineRule="auto"/>
        <w:tabs>
          <w:tab w:leader="none" w:pos="940" w:val="left"/>
        </w:tabs>
        <w:rPr>
          <w:sz w:val="20"/>
          <w:szCs w:val="20"/>
          <w:color w:val="auto"/>
        </w:rPr>
      </w:pPr>
      <w:r>
        <w:rPr>
          <w:rFonts w:ascii="Arial" w:cs="Arial" w:eastAsia="Arial" w:hAnsi="Arial"/>
          <w:sz w:val="16"/>
          <w:szCs w:val="16"/>
          <w:color w:val="auto"/>
        </w:rPr>
        <w:t>16.19.</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following Sections of this Agreement shall survive termination or expiration of this Agreement: 1, 4.3, 4.4, 8, 9.2, 11, 12, 14.3 and 16; Exhibit</w:t>
      </w:r>
      <w:r>
        <w:rPr>
          <w:rFonts w:ascii="Arial" w:cs="Arial" w:eastAsia="Arial" w:hAnsi="Arial"/>
          <w:sz w:val="16"/>
          <w:szCs w:val="16"/>
          <w:u w:val="single" w:color="auto"/>
          <w:color w:val="auto"/>
        </w:rPr>
        <w:t xml:space="preserve"> </w:t>
      </w:r>
      <w:r>
        <w:rPr>
          <w:rFonts w:ascii="Arial" w:cs="Arial" w:eastAsia="Arial" w:hAnsi="Arial"/>
          <w:sz w:val="16"/>
          <w:szCs w:val="16"/>
          <w:color w:val="auto"/>
        </w:rPr>
        <w:t>C with respect to any Products sold prior to termination or expiration; and Exhibit D.</w:t>
      </w:r>
    </w:p>
    <w:p>
      <w:pPr>
        <w:spacing w:after="0" w:line="173" w:lineRule="exact"/>
        <w:rPr>
          <w:sz w:val="20"/>
          <w:szCs w:val="20"/>
          <w:color w:val="auto"/>
        </w:rPr>
      </w:pPr>
    </w:p>
    <w:p>
      <w:pPr>
        <w:jc w:val="both"/>
        <w:ind w:left="960" w:hanging="568"/>
        <w:spacing w:after="0" w:line="304" w:lineRule="auto"/>
        <w:tabs>
          <w:tab w:leader="none" w:pos="940" w:val="left"/>
        </w:tabs>
        <w:rPr>
          <w:sz w:val="20"/>
          <w:szCs w:val="20"/>
          <w:color w:val="auto"/>
        </w:rPr>
      </w:pPr>
      <w:r>
        <w:rPr>
          <w:rFonts w:ascii="Arial" w:cs="Arial" w:eastAsia="Arial" w:hAnsi="Arial"/>
          <w:sz w:val="16"/>
          <w:szCs w:val="16"/>
          <w:color w:val="auto"/>
        </w:rPr>
        <w:t>16.20.</w:t>
      </w:r>
      <w:r>
        <w:rPr>
          <w:sz w:val="20"/>
          <w:szCs w:val="20"/>
          <w:color w:val="auto"/>
        </w:rPr>
        <w:tab/>
      </w:r>
      <w:r>
        <w:rPr>
          <w:rFonts w:ascii="Arial" w:cs="Arial" w:eastAsia="Arial" w:hAnsi="Arial"/>
          <w:sz w:val="15"/>
          <w:szCs w:val="15"/>
          <w:u w:val="single" w:color="auto"/>
          <w:color w:val="auto"/>
        </w:rPr>
        <w:t>Order of Precedence</w:t>
      </w:r>
      <w:r>
        <w:rPr>
          <w:rFonts w:ascii="Arial" w:cs="Arial" w:eastAsia="Arial" w:hAnsi="Arial"/>
          <w:sz w:val="15"/>
          <w:szCs w:val="15"/>
          <w:color w:val="auto"/>
        </w:rPr>
        <w:t>. Any inconsistency in the provisions of this Agreement will be resolved by giving precedence in the following order: (1) The applicable</w:t>
      </w:r>
      <w:r>
        <w:rPr>
          <w:rFonts w:ascii="Arial" w:cs="Arial" w:eastAsia="Arial" w:hAnsi="Arial"/>
          <w:sz w:val="15"/>
          <w:szCs w:val="15"/>
          <w:u w:val="single" w:color="auto"/>
          <w:color w:val="auto"/>
        </w:rPr>
        <w:t xml:space="preserve"> </w:t>
      </w:r>
      <w:r>
        <w:rPr>
          <w:rFonts w:ascii="Arial" w:cs="Arial" w:eastAsia="Arial" w:hAnsi="Arial"/>
          <w:sz w:val="15"/>
          <w:szCs w:val="15"/>
          <w:color w:val="auto"/>
        </w:rPr>
        <w:t>Amendment that gives rise to the inconsistency in provisions, (2) the Agreement, (3) Exhibits, and (4) any other document incorporated by express reference as part of the Agreement; such that the provision in the higher ranked document, to the extent of the inconsistency, will prevail.</w:t>
      </w:r>
    </w:p>
    <w:p>
      <w:pPr>
        <w:spacing w:after="0" w:line="167" w:lineRule="exact"/>
        <w:rPr>
          <w:sz w:val="20"/>
          <w:szCs w:val="20"/>
          <w:color w:val="auto"/>
        </w:rPr>
      </w:pPr>
    </w:p>
    <w:p>
      <w:pPr>
        <w:jc w:val="both"/>
        <w:ind w:left="960" w:hanging="568"/>
        <w:spacing w:after="0" w:line="271" w:lineRule="auto"/>
        <w:tabs>
          <w:tab w:leader="none" w:pos="940" w:val="left"/>
        </w:tabs>
        <w:rPr>
          <w:sz w:val="20"/>
          <w:szCs w:val="20"/>
          <w:color w:val="auto"/>
        </w:rPr>
      </w:pPr>
      <w:r>
        <w:rPr>
          <w:rFonts w:ascii="Arial" w:cs="Arial" w:eastAsia="Arial" w:hAnsi="Arial"/>
          <w:sz w:val="16"/>
          <w:szCs w:val="16"/>
          <w:color w:val="auto"/>
        </w:rPr>
        <w:t>16.21.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between the Parties with respect the supply of Products to Gogo and Product Support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supersedes any prior representations or agreements, oral or written, and all other communications between the Parties relating to the supply of Products to Gogo and Product Support. Notwithstanding the foregoing, this Agreement shall not void or modify any transfers, warranties, or indemnities of Supplier to Gogo contained in any prior agreements that relate to the Products. This Agreement will not be varied except in writing signed by an Authorized Representative of each Party.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by their duly Authorized Representatives, have executed this Agreement as of the date first set forth above.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440" w:type="dxa"/>
            <w:vAlign w:val="bottom"/>
            <w:gridSpan w:val="3"/>
          </w:tcPr>
          <w:p>
            <w:pPr>
              <w:spacing w:after="0"/>
              <w:rPr>
                <w:sz w:val="20"/>
                <w:szCs w:val="20"/>
                <w:color w:val="auto"/>
              </w:rPr>
            </w:pPr>
            <w:r>
              <w:rPr>
                <w:rFonts w:ascii="Arial" w:cs="Arial" w:eastAsia="Arial" w:hAnsi="Arial"/>
                <w:sz w:val="16"/>
                <w:szCs w:val="16"/>
                <w:b w:val="1"/>
                <w:bCs w:val="1"/>
                <w:color w:val="auto"/>
              </w:rPr>
              <w:t>GOGO BUSINESS AVIATION LLC</w:t>
            </w:r>
          </w:p>
        </w:tc>
        <w:tc>
          <w:tcPr>
            <w:tcW w:w="4240" w:type="dxa"/>
            <w:vAlign w:val="bottom"/>
            <w:gridSpan w:val="3"/>
          </w:tcPr>
          <w:p>
            <w:pPr>
              <w:ind w:left="1180"/>
              <w:spacing w:after="0"/>
              <w:rPr>
                <w:sz w:val="20"/>
                <w:szCs w:val="20"/>
                <w:color w:val="auto"/>
              </w:rPr>
            </w:pPr>
            <w:r>
              <w:rPr>
                <w:rFonts w:ascii="Arial" w:cs="Arial" w:eastAsia="Arial" w:hAnsi="Arial"/>
                <w:sz w:val="16"/>
                <w:szCs w:val="16"/>
                <w:b w:val="1"/>
                <w:bCs w:val="1"/>
                <w:color w:val="auto"/>
              </w:rPr>
              <w:t>HUGHES NETWORK SYSTEMS, LLC</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6"/>
                <w:szCs w:val="16"/>
                <w:color w:val="auto"/>
              </w:rPr>
              <w:t>By:</w:t>
            </w:r>
          </w:p>
        </w:tc>
        <w:tc>
          <w:tcPr>
            <w:tcW w:w="1360" w:type="dxa"/>
            <w:vAlign w:val="bottom"/>
          </w:tcPr>
          <w:p>
            <w:pPr>
              <w:spacing w:after="0" w:line="181" w:lineRule="exact"/>
              <w:rPr>
                <w:sz w:val="20"/>
                <w:szCs w:val="20"/>
                <w:color w:val="auto"/>
              </w:rPr>
            </w:pPr>
            <w:r>
              <w:rPr>
                <w:rFonts w:ascii="Arial" w:cs="Arial" w:eastAsia="Arial" w:hAnsi="Arial"/>
                <w:sz w:val="16"/>
                <w:szCs w:val="16"/>
                <w:color w:val="auto"/>
                <w:w w:val="93"/>
              </w:rPr>
              <w:t>/s/ Sergio A. Aguirre</w:t>
            </w:r>
          </w:p>
        </w:tc>
        <w:tc>
          <w:tcPr>
            <w:tcW w:w="2280" w:type="dxa"/>
            <w:vAlign w:val="bottom"/>
          </w:tcPr>
          <w:p>
            <w:pPr>
              <w:spacing w:after="0"/>
              <w:rPr>
                <w:sz w:val="15"/>
                <w:szCs w:val="15"/>
                <w:color w:val="auto"/>
              </w:rPr>
            </w:pPr>
          </w:p>
        </w:tc>
        <w:tc>
          <w:tcPr>
            <w:tcW w:w="1960" w:type="dxa"/>
            <w:vAlign w:val="bottom"/>
          </w:tcPr>
          <w:p>
            <w:pPr>
              <w:ind w:left="1180"/>
              <w:spacing w:after="0" w:line="181" w:lineRule="exact"/>
              <w:rPr>
                <w:sz w:val="20"/>
                <w:szCs w:val="20"/>
                <w:color w:val="auto"/>
              </w:rPr>
            </w:pPr>
            <w:r>
              <w:rPr>
                <w:rFonts w:ascii="Arial" w:cs="Arial" w:eastAsia="Arial" w:hAnsi="Arial"/>
                <w:sz w:val="16"/>
                <w:szCs w:val="16"/>
                <w:color w:val="auto"/>
              </w:rPr>
              <w:t>By:</w:t>
            </w:r>
          </w:p>
        </w:tc>
        <w:tc>
          <w:tcPr>
            <w:tcW w:w="2280" w:type="dxa"/>
            <w:vAlign w:val="bottom"/>
            <w:gridSpan w:val="2"/>
          </w:tcPr>
          <w:p>
            <w:pPr>
              <w:spacing w:after="0" w:line="181" w:lineRule="exact"/>
              <w:rPr>
                <w:sz w:val="20"/>
                <w:szCs w:val="20"/>
                <w:color w:val="auto"/>
              </w:rPr>
            </w:pPr>
            <w:r>
              <w:rPr>
                <w:rFonts w:ascii="Arial" w:cs="Arial" w:eastAsia="Arial" w:hAnsi="Arial"/>
                <w:sz w:val="16"/>
                <w:szCs w:val="16"/>
                <w:color w:val="auto"/>
              </w:rPr>
              <w:t>/s/ Sean P. Fleming</w:t>
            </w:r>
          </w:p>
        </w:tc>
      </w:tr>
      <w:tr>
        <w:trPr>
          <w:trHeight w:val="230"/>
        </w:trPr>
        <w:tc>
          <w:tcPr>
            <w:tcW w:w="800" w:type="dxa"/>
            <w:vAlign w:val="bottom"/>
          </w:tcPr>
          <w:p>
            <w:pPr>
              <w:spacing w:after="0"/>
              <w:rPr>
                <w:sz w:val="20"/>
                <w:szCs w:val="20"/>
                <w:color w:val="auto"/>
              </w:rPr>
            </w:pPr>
            <w:r>
              <w:rPr>
                <w:rFonts w:ascii="Arial" w:cs="Arial" w:eastAsia="Arial" w:hAnsi="Arial"/>
                <w:sz w:val="16"/>
                <w:szCs w:val="16"/>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Sergio A. Aguirre</w:t>
            </w:r>
          </w:p>
        </w:tc>
        <w:tc>
          <w:tcPr>
            <w:tcW w:w="2280" w:type="dxa"/>
            <w:vAlign w:val="bottom"/>
          </w:tcPr>
          <w:p>
            <w:pPr>
              <w:spacing w:after="0"/>
              <w:rPr>
                <w:sz w:val="20"/>
                <w:szCs w:val="20"/>
                <w:color w:val="auto"/>
              </w:rPr>
            </w:pPr>
          </w:p>
        </w:tc>
        <w:tc>
          <w:tcPr>
            <w:tcW w:w="1960" w:type="dxa"/>
            <w:vAlign w:val="bottom"/>
          </w:tcPr>
          <w:p>
            <w:pPr>
              <w:ind w:left="1180"/>
              <w:spacing w:after="0"/>
              <w:rPr>
                <w:sz w:val="20"/>
                <w:szCs w:val="20"/>
                <w:color w:val="auto"/>
              </w:rPr>
            </w:pPr>
            <w:r>
              <w:rPr>
                <w:rFonts w:ascii="Arial" w:cs="Arial" w:eastAsia="Arial" w:hAnsi="Arial"/>
                <w:sz w:val="16"/>
                <w:szCs w:val="16"/>
                <w:color w:val="auto"/>
              </w:rPr>
              <w:t>Name:</w:t>
            </w: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Sean P. Fleming</w:t>
            </w:r>
          </w:p>
        </w:tc>
        <w:tc>
          <w:tcPr>
            <w:tcW w:w="1040" w:type="dxa"/>
            <w:vAlign w:val="bottom"/>
          </w:tcPr>
          <w:p>
            <w:pPr>
              <w:spacing w:after="0"/>
              <w:rPr>
                <w:sz w:val="20"/>
                <w:szCs w:val="20"/>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6"/>
                <w:szCs w:val="16"/>
                <w:color w:val="auto"/>
              </w:rPr>
              <w:t>Title:</w:t>
            </w:r>
          </w:p>
        </w:tc>
        <w:tc>
          <w:tcPr>
            <w:tcW w:w="3640" w:type="dxa"/>
            <w:vAlign w:val="bottom"/>
            <w:gridSpan w:val="2"/>
          </w:tcPr>
          <w:p>
            <w:pPr>
              <w:spacing w:after="0"/>
              <w:rPr>
                <w:sz w:val="20"/>
                <w:szCs w:val="20"/>
                <w:color w:val="auto"/>
              </w:rPr>
            </w:pPr>
            <w:r>
              <w:rPr>
                <w:rFonts w:ascii="Arial" w:cs="Arial" w:eastAsia="Arial" w:hAnsi="Arial"/>
                <w:sz w:val="16"/>
                <w:szCs w:val="16"/>
                <w:color w:val="auto"/>
              </w:rPr>
              <w:t>President and Chief Operating Officer</w:t>
            </w:r>
          </w:p>
        </w:tc>
        <w:tc>
          <w:tcPr>
            <w:tcW w:w="1960" w:type="dxa"/>
            <w:vAlign w:val="bottom"/>
          </w:tcPr>
          <w:p>
            <w:pPr>
              <w:ind w:left="1180"/>
              <w:spacing w:after="0"/>
              <w:rPr>
                <w:sz w:val="20"/>
                <w:szCs w:val="20"/>
                <w:color w:val="auto"/>
              </w:rPr>
            </w:pPr>
            <w:r>
              <w:rPr>
                <w:rFonts w:ascii="Arial" w:cs="Arial" w:eastAsia="Arial" w:hAnsi="Arial"/>
                <w:sz w:val="16"/>
                <w:szCs w:val="16"/>
                <w:color w:val="auto"/>
              </w:rPr>
              <w:t>Title:</w:t>
            </w:r>
          </w:p>
        </w:tc>
        <w:tc>
          <w:tcPr>
            <w:tcW w:w="2280" w:type="dxa"/>
            <w:vAlign w:val="bottom"/>
            <w:gridSpan w:val="2"/>
          </w:tcPr>
          <w:p>
            <w:pPr>
              <w:spacing w:after="0"/>
              <w:rPr>
                <w:sz w:val="20"/>
                <w:szCs w:val="20"/>
                <w:color w:val="auto"/>
              </w:rPr>
            </w:pPr>
            <w:r>
              <w:rPr>
                <w:rFonts w:ascii="Arial" w:cs="Arial" w:eastAsia="Arial" w:hAnsi="Arial"/>
                <w:sz w:val="16"/>
                <w:szCs w:val="16"/>
                <w:color w:val="auto"/>
                <w:w w:val="90"/>
              </w:rPr>
              <w:t>VP and 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12</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Proprietary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80"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2" w:lineRule="exact"/>
        <w:rPr>
          <w:rFonts w:ascii="Arial" w:cs="Arial" w:eastAsia="Arial" w:hAnsi="Arial"/>
          <w:sz w:val="18"/>
          <w:szCs w:val="18"/>
          <w:color w:val="auto"/>
        </w:rPr>
      </w:pPr>
    </w:p>
    <w:p>
      <w:pPr>
        <w:ind w:left="520" w:right="300" w:hanging="512"/>
        <w:spacing w:after="0" w:line="263" w:lineRule="auto"/>
        <w:tabs>
          <w:tab w:leader="none" w:pos="3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8"/>
          <w:szCs w:val="18"/>
          <w:color w:val="auto"/>
        </w:rPr>
      </w:pPr>
    </w:p>
    <w:p>
      <w:pPr>
        <w:ind w:left="520" w:right="380" w:hanging="512"/>
        <w:spacing w:after="0" w:line="298" w:lineRule="auto"/>
        <w:tabs>
          <w:tab w:leader="none" w:pos="37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3" w:lineRule="auto"/>
        <w:tabs>
          <w:tab w:leader="none" w:pos="3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1020" w:right="500" w:hanging="479"/>
        <w:spacing w:after="0" w:line="316" w:lineRule="auto"/>
        <w:tabs>
          <w:tab w:leader="none" w:pos="89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40" w:hanging="479"/>
        <w:spacing w:after="0" w:line="263" w:lineRule="auto"/>
        <w:tabs>
          <w:tab w:leader="none" w:pos="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8"/>
          <w:szCs w:val="18"/>
          <w:color w:val="auto"/>
        </w:rPr>
      </w:pPr>
    </w:p>
    <w:p>
      <w:pPr>
        <w:ind w:left="520" w:right="300" w:hanging="512"/>
        <w:spacing w:after="0" w:line="298" w:lineRule="auto"/>
        <w:tabs>
          <w:tab w:leader="none" w:pos="37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98" w:lineRule="auto"/>
        <w:tabs>
          <w:tab w:leader="none" w:pos="89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77" w:lineRule="auto"/>
        <w:tabs>
          <w:tab w:leader="none" w:pos="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May 3,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 of the Board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Jessica G. Betjemann, certify that:</w:t>
      </w:r>
    </w:p>
    <w:p>
      <w:pPr>
        <w:spacing w:after="0" w:line="80"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2" w:lineRule="exact"/>
        <w:rPr>
          <w:rFonts w:ascii="Arial" w:cs="Arial" w:eastAsia="Arial" w:hAnsi="Arial"/>
          <w:sz w:val="18"/>
          <w:szCs w:val="18"/>
          <w:color w:val="auto"/>
        </w:rPr>
      </w:pPr>
    </w:p>
    <w:p>
      <w:pPr>
        <w:ind w:left="520" w:right="300" w:hanging="512"/>
        <w:spacing w:after="0" w:line="263" w:lineRule="auto"/>
        <w:tabs>
          <w:tab w:leader="none" w:pos="3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Arial" w:cs="Arial" w:eastAsia="Arial" w:hAnsi="Arial"/>
          <w:sz w:val="18"/>
          <w:szCs w:val="18"/>
          <w:color w:val="auto"/>
        </w:rPr>
      </w:pPr>
    </w:p>
    <w:p>
      <w:pPr>
        <w:ind w:left="520" w:right="380" w:hanging="512"/>
        <w:spacing w:after="0" w:line="298" w:lineRule="auto"/>
        <w:tabs>
          <w:tab w:leader="none" w:pos="3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3" w:lineRule="auto"/>
        <w:tabs>
          <w:tab w:leader="none" w:pos="3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8"/>
          <w:szCs w:val="18"/>
          <w:color w:val="auto"/>
        </w:rPr>
      </w:pPr>
    </w:p>
    <w:p>
      <w:pPr>
        <w:ind w:left="1020" w:right="500" w:hanging="479"/>
        <w:spacing w:after="0" w:line="316" w:lineRule="auto"/>
        <w:tabs>
          <w:tab w:leader="none" w:pos="89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4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8"/>
          <w:szCs w:val="18"/>
          <w:color w:val="auto"/>
        </w:rPr>
      </w:pPr>
    </w:p>
    <w:p>
      <w:pPr>
        <w:ind w:left="520" w:right="300" w:hanging="512"/>
        <w:spacing w:after="0" w:line="298" w:lineRule="auto"/>
        <w:tabs>
          <w:tab w:leader="none" w:pos="3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98" w:lineRule="auto"/>
        <w:tabs>
          <w:tab w:leader="none" w:pos="89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77"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May 3,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Oakleigh Thorne, Chief Executive Officer and Chairman of the Board of Gogo Inc. (the “Company”), do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760" w:right="20" w:hanging="378"/>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20" w:right="120" w:firstLine="362"/>
        <w:spacing w:after="0" w:line="539" w:lineRule="auto"/>
        <w:tabs>
          <w:tab w:leader="none" w:pos="7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 of the Board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Jessica G. Betjemann, Executive Vice President and Chief Financial Officer of Gogo Inc.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0" w:lineRule="exact"/>
        <w:rPr>
          <w:sz w:val="20"/>
          <w:szCs w:val="20"/>
          <w:color w:val="auto"/>
        </w:rPr>
      </w:pPr>
    </w:p>
    <w:p>
      <w:pPr>
        <w:ind w:left="760" w:right="20" w:hanging="378"/>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fully complies with the requirements of Section 13(a) or 15(d) of the Securities Exchange Act of 1934; and</w:t>
      </w:r>
    </w:p>
    <w:p>
      <w:pPr>
        <w:spacing w:after="0" w:line="169" w:lineRule="exact"/>
        <w:rPr>
          <w:rFonts w:ascii="Arial" w:cs="Arial" w:eastAsia="Arial" w:hAnsi="Arial"/>
          <w:sz w:val="18"/>
          <w:szCs w:val="18"/>
          <w:color w:val="auto"/>
        </w:rPr>
      </w:pPr>
    </w:p>
    <w:p>
      <w:pPr>
        <w:ind w:left="20" w:right="120" w:firstLine="362"/>
        <w:spacing w:after="0" w:line="539" w:lineRule="auto"/>
        <w:tabs>
          <w:tab w:leader="none" w:pos="7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3,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7"/>
    </w:lvl>
  </w:abstractNum>
  <w:abstractNum w:abstractNumId="10">
    <w:nsid w:val="3006C83E"/>
    <w:multiLevelType w:val="hybridMultilevel"/>
    <w:lvl w:ilvl="0">
      <w:lvlJc w:val="left"/>
      <w:lvlText w:val="%1."/>
      <w:numFmt w:val="decimal"/>
      <w:start w:val="8"/>
    </w:lvl>
    <w:lvl w:ilvl="1">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9"/>
    </w:lvl>
  </w:abstractNum>
  <w:abstractNum w:abstractNumId="13">
    <w:nsid w:val="5577F8E1"/>
    <w:multiLevelType w:val="hybridMultilevel"/>
    <w:lvl w:ilvl="0">
      <w:lvlJc w:val="left"/>
      <w:lvlText w:val="%1."/>
      <w:numFmt w:val="decimal"/>
      <w:start w:val="10"/>
    </w:lvl>
  </w:abstractNum>
  <w:abstractNum w:abstractNumId="14">
    <w:nsid w:val="440BADFC"/>
    <w:multiLevelType w:val="hybridMultilevel"/>
    <w:lvl w:ilvl="0">
      <w:lvlJc w:val="left"/>
      <w:lvlText w:val="%1."/>
      <w:numFmt w:val="decimal"/>
      <w:start w:val="11"/>
    </w:lvl>
  </w:abstractNum>
  <w:abstractNum w:abstractNumId="15">
    <w:nsid w:val="5072367"/>
    <w:multiLevelType w:val="hybridMultilevel"/>
    <w:lvl w:ilvl="0">
      <w:lvlJc w:val="left"/>
      <w:lvlText w:val="%1."/>
      <w:numFmt w:val="decimal"/>
      <w:start w:val="12"/>
    </w:lvl>
  </w:abstractNum>
  <w:abstractNum w:abstractNumId="16">
    <w:nsid w:val="3804823E"/>
    <w:multiLevelType w:val="hybridMultilevel"/>
    <w:lvl w:ilvl="0">
      <w:lvlJc w:val="left"/>
      <w:lvlText w:val="%1."/>
      <w:numFmt w:val="decimal"/>
      <w:start w:val="13"/>
    </w:lvl>
  </w:abstractNum>
  <w:abstractNum w:abstractNumId="17">
    <w:nsid w:val="77465F01"/>
    <w:multiLevelType w:val="hybridMultilevel"/>
    <w:lvl w:ilvl="0">
      <w:lvlJc w:val="left"/>
      <w:lvlText w:val="%1."/>
      <w:numFmt w:val="decimal"/>
      <w:start w:val="14"/>
    </w:lvl>
  </w:abstractNum>
  <w:abstractNum w:abstractNumId="18">
    <w:nsid w:val="7724C67E"/>
    <w:multiLevelType w:val="hybridMultilevel"/>
    <w:lvl w:ilvl="0">
      <w:lvlJc w:val="left"/>
      <w:lvlText w:val="%1."/>
      <w:numFmt w:val="decimal"/>
      <w:start w:val="15"/>
    </w:lvl>
  </w:abstractNum>
  <w:abstractNum w:abstractNumId="19">
    <w:nsid w:val="5C482A97"/>
    <w:multiLevelType w:val="hybridMultilevel"/>
    <w:lvl w:ilvl="0">
      <w:lvlJc w:val="left"/>
      <w:lvlText w:val="%1."/>
      <w:numFmt w:val="decimal"/>
      <w:start w:val="16"/>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lowerRoman"/>
      <w:start w:val="2"/>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lvl w:ilvl="1">
      <w:lvlJc w:val="left"/>
      <w:lvlText w:val="▪"/>
      <w:numFmt w:val="bullet"/>
      <w:start w:val="1"/>
    </w:lvl>
  </w:abstractNum>
  <w:abstractNum w:abstractNumId="30">
    <w:nsid w:val="1D4ED43B"/>
    <w:multiLevelType w:val="hybridMultilevel"/>
    <w:lvl w:ilvl="0">
      <w:lvlJc w:val="left"/>
      <w:lvlText w:val="o"/>
      <w:numFmt w:val="bullet"/>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
      <w:numFmt w:val="bullet"/>
      <w:start w:val="1"/>
    </w:lvl>
    <w:lvl w:ilvl="1">
      <w:lvlJc w:val="left"/>
      <w:lvlText w:val="%2"/>
      <w:numFmt w:val="decimal"/>
      <w:start w:val="104"/>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5"/>
    </w:lvl>
  </w:abstractNum>
  <w:abstractNum w:abstractNumId="37">
    <w:nsid w:val="6DE91B18"/>
    <w:multiLevelType w:val="hybridMultilevel"/>
    <w:lvl w:ilvl="0">
      <w:lvlJc w:val="left"/>
      <w:lvlText w:val="%1."/>
      <w:numFmt w:val="decimal"/>
      <w:start w:val="6"/>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abstractNum>
  <w:abstractNum w:abstractNumId="40">
    <w:nsid w:val="32FFF902"/>
    <w:multiLevelType w:val="hybridMultilevel"/>
    <w:lvl w:ilvl="0">
      <w:lvlJc w:val="left"/>
      <w:lvlText w:val="%1."/>
      <w:numFmt w:val="decimal"/>
      <w:start w:val="8"/>
    </w:lvl>
    <w:lvl w:ilvl="1">
      <w:lvlJc w:val="left"/>
      <w:lvlText w:val="%2"/>
      <w:numFmt w:val="lowerLetter"/>
      <w:start w:val="1"/>
    </w:lvl>
  </w:abstractNum>
  <w:abstractNum w:abstractNumId="41">
    <w:nsid w:val="684A481A"/>
    <w:multiLevelType w:val="hybridMultilevel"/>
    <w:lvl w:ilvl="0">
      <w:lvlJc w:val="left"/>
      <w:lvlText w:val="%1."/>
      <w:numFmt w:val="decimal"/>
      <w:start w:val="9"/>
    </w:lvl>
    <w:lvl w:ilvl="1">
      <w:lvlJc w:val="left"/>
      <w:lvlText w:val="%2)"/>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decimal"/>
      <w:start w:val="1"/>
    </w:lvl>
    <w:lvl w:ilvl="1">
      <w:lvlJc w:val="left"/>
      <w:lvlText w:val="%2)"/>
      <w:numFmt w:val="lowerLetter"/>
      <w:start w:val="2"/>
    </w:lvl>
  </w:abstractNum>
  <w:abstractNum w:abstractNumId="44">
    <w:nsid w:val="3DC240FB"/>
    <w:multiLevelType w:val="hybridMultilevel"/>
    <w:lvl w:ilvl="0">
      <w:lvlJc w:val="left"/>
      <w:lvlText w:val="%1."/>
      <w:numFmt w:val="decimal"/>
      <w:start w:val="10"/>
    </w:lvl>
    <w:lvl w:ilvl="1">
      <w:lvlJc w:val="left"/>
      <w:lvlText w:val="%2"/>
      <w:numFmt w:val="lowerLetter"/>
      <w:start w:val="1"/>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decimal"/>
      <w:start w:val="13"/>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lvl w:ilvl="1">
      <w:lvlJc w:val="left"/>
      <w:lvlText w:val="%2."/>
      <w:numFmt w:val="lowerRoman"/>
      <w:start w:val="1"/>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1."/>
      <w:numFmt w:val="decimal"/>
      <w:start w:val="15"/>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2023-05-03T15:16:52Z</dcterms:created>
  <dcterms:modified xsi:type="dcterms:W3CDTF">2023-05-03T15:16:52Z</dcterms:modified>
</cp:coreProperties>
</file>