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860" w:hanging="839"/>
        <w:spacing w:after="0"/>
        <w:tabs>
          <w:tab w:leader="none" w:pos="8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1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9" w:lineRule="exact"/>
        <w:rPr>
          <w:sz w:val="24"/>
          <w:szCs w:val="24"/>
          <w:color w:val="auto"/>
        </w:rPr>
      </w:pPr>
    </w:p>
    <w:p>
      <w:pPr>
        <w:ind w:left="700" w:hanging="679"/>
        <w:spacing w:after="0"/>
        <w:tabs>
          <w:tab w:leader="none" w:pos="7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633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940" w:type="dxa"/>
        <w:tblCellMar>
          <w:top w:w="0" w:type="dxa"/>
          <w:left w:w="0" w:type="dxa"/>
          <w:bottom w:w="0" w:type="dxa"/>
          <w:right w:w="0" w:type="dxa"/>
        </w:tblCellMar>
      </w:tblPr>
      <w:tr>
        <w:trPr>
          <w:trHeight w:val="393"/>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gridSpan w:val="4"/>
          </w:tcPr>
          <w:p>
            <w:pPr>
              <w:jc w:val="center"/>
              <w:ind w:right="840"/>
              <w:spacing w:after="0"/>
              <w:rPr>
                <w:sz w:val="20"/>
                <w:szCs w:val="20"/>
                <w:color w:val="auto"/>
              </w:rPr>
            </w:pPr>
            <w:r>
              <w:rPr>
                <w:rFonts w:ascii="Times New Roman" w:cs="Times New Roman" w:eastAsia="Times New Roman" w:hAnsi="Times New Roman"/>
                <w:sz w:val="32"/>
                <w:szCs w:val="32"/>
                <w:b w:val="1"/>
                <w:bCs w:val="1"/>
                <w:color w:val="auto"/>
              </w:rPr>
              <w:t>Gogo Inc.</w:t>
            </w: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51"/>
        </w:trPr>
        <w:tc>
          <w:tcPr>
            <w:tcW w:w="900" w:type="dxa"/>
            <w:vAlign w:val="bottom"/>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27-1650905</w:t>
            </w:r>
          </w:p>
        </w:tc>
      </w:tr>
      <w:tr>
        <w:trPr>
          <w:trHeight w:val="153"/>
        </w:trPr>
        <w:tc>
          <w:tcPr>
            <w:tcW w:w="900" w:type="dxa"/>
            <w:vAlign w:val="bottom"/>
          </w:tcPr>
          <w:p>
            <w:pPr>
              <w:spacing w:after="0"/>
              <w:rPr>
                <w:sz w:val="13"/>
                <w:szCs w:val="13"/>
                <w:color w:val="auto"/>
              </w:rPr>
            </w:pPr>
          </w:p>
        </w:tc>
        <w:tc>
          <w:tcPr>
            <w:tcW w:w="186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jc w:val="center"/>
              <w:ind w:right="948"/>
              <w:spacing w:after="0" w:line="153" w:lineRule="exact"/>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90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right="9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93"/>
        </w:trPr>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80" w:type="dxa"/>
            <w:vAlign w:val="bottom"/>
          </w:tcPr>
          <w:p>
            <w:pPr>
              <w:spacing w:after="0"/>
              <w:rPr>
                <w:sz w:val="8"/>
                <w:szCs w:val="8"/>
                <w:color w:val="auto"/>
              </w:rPr>
            </w:pPr>
          </w:p>
        </w:tc>
      </w:tr>
      <w:tr>
        <w:trPr>
          <w:trHeight w:val="268"/>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8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105 Edgeview Dr., Suite 300</w:t>
            </w:r>
          </w:p>
        </w:tc>
        <w:tc>
          <w:tcPr>
            <w:tcW w:w="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15"/>
        </w:trPr>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Broomfield, CO 80021</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86"/>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86"/>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Telephone Number (303) 301-3271</w:t>
            </w: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6"/>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93"/>
        </w:trPr>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80" w:type="dxa"/>
            <w:vAlign w:val="bottom"/>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r>
      <w:tr>
        <w:trPr>
          <w:trHeight w:val="290"/>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20" w:type="dxa"/>
            <w:vAlign w:val="bottom"/>
            <w:gridSpan w:val="8"/>
          </w:tcPr>
          <w:p>
            <w:pPr>
              <w:jc w:val="center"/>
              <w:ind w:right="164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70"/>
        </w:trPr>
        <w:tc>
          <w:tcPr>
            <w:tcW w:w="9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2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color w:val="auto"/>
              </w:rPr>
              <w:t>Trading Symbol</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73"/>
        </w:trPr>
        <w:tc>
          <w:tcPr>
            <w:tcW w:w="27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2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color w:val="auto"/>
                <w:w w:val="98"/>
              </w:rPr>
              <w:t>GOGO</w:t>
            </w:r>
          </w:p>
        </w:tc>
        <w:tc>
          <w:tcPr>
            <w:tcW w:w="80" w:type="dxa"/>
            <w:vAlign w:val="bottom"/>
          </w:tcPr>
          <w:p>
            <w:pPr>
              <w:spacing w:after="0"/>
              <w:rPr>
                <w:sz w:val="15"/>
                <w:szCs w:val="15"/>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6"/>
        </w:trPr>
        <w:tc>
          <w:tcPr>
            <w:tcW w:w="276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2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color w:val="auto"/>
                <w:w w:val="98"/>
              </w:rPr>
              <w:t>GOGO</w:t>
            </w:r>
          </w:p>
        </w:tc>
        <w:tc>
          <w:tcPr>
            <w:tcW w:w="80" w:type="dxa"/>
            <w:vAlign w:val="bottom"/>
          </w:tcPr>
          <w:p>
            <w:pPr>
              <w:spacing w:after="0"/>
              <w:rPr>
                <w:sz w:val="16"/>
                <w:szCs w:val="16"/>
                <w:color w:val="auto"/>
              </w:rPr>
            </w:pPr>
          </w:p>
        </w:tc>
        <w:tc>
          <w:tcPr>
            <w:tcW w:w="2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97" w:lineRule="exact"/>
        <w:rPr>
          <w:sz w:val="24"/>
          <w:szCs w:val="24"/>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12" w:lineRule="exact"/>
        <w:rPr>
          <w:sz w:val="24"/>
          <w:szCs w:val="24"/>
          <w:color w:val="auto"/>
        </w:rPr>
      </w:pPr>
    </w:p>
    <w:p>
      <w:pPr>
        <w:spacing w:after="0" w:line="161" w:lineRule="exact"/>
        <w:tabs>
          <w:tab w:leader="none" w:pos="860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2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left="520" w:right="2660"/>
        <w:spacing w:after="0" w:line="223"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31, 2024, 125,779,239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79" w:right="4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10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w:t>
            </w:r>
          </w:p>
        </w:tc>
        <w:tc>
          <w:tcPr>
            <w:tcW w:w="962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6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tcBorders>
              <w:left w:val="single" w:sz="8" w:color="0000FF"/>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176,678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$2,807 and $2,091, respectively</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48,233</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74,848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64,138</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347,414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93,830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98,129</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55,647</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70,552</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convertible note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assets, net of allowances of $720 and $591, respectively</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209,444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216,638</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463,323</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810,737</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781,539</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97,014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583,864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587,501</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73,047</w:t>
            </w:r>
          </w:p>
        </w:tc>
        <w:tc>
          <w:tcPr>
            <w:tcW w:w="100" w:type="dxa"/>
            <w:vAlign w:val="bottom"/>
          </w:tcPr>
          <w:p>
            <w:pPr>
              <w:spacing w:after="0"/>
              <w:rPr>
                <w:sz w:val="20"/>
                <w:szCs w:val="20"/>
                <w:color w:val="auto"/>
              </w:rPr>
            </w:pPr>
          </w:p>
        </w:tc>
      </w:tr>
      <w:tr>
        <w:trPr>
          <w:trHeight w:val="243"/>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660,999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668,818</w:t>
            </w:r>
          </w:p>
        </w:tc>
        <w:tc>
          <w:tcPr>
            <w:tcW w:w="100" w:type="dxa"/>
            <w:vAlign w:val="bottom"/>
          </w:tcPr>
          <w:p>
            <w:pPr>
              <w:spacing w:after="0"/>
              <w:rPr>
                <w:sz w:val="20"/>
                <w:szCs w:val="20"/>
                <w:color w:val="auto"/>
              </w:rPr>
            </w:pPr>
          </w:p>
        </w:tc>
      </w:tr>
      <w:tr>
        <w:trPr>
          <w:trHeight w:val="236"/>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758,013</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$0.0001 per share; 500,000,000 shares authorized at September 30, 2024</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December 31, 2023; 138,949,113 and 137,632,284 shares issued at September 30, 2024 and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 and 126,140,650 and 128,462,343 shares outstanding at September</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 2024 and December 31, 2023, respectively</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1,413,842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1,402,003</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(194,159 )</w:t>
            </w: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(163,197 )</w:t>
            </w:r>
          </w:p>
        </w:tc>
      </w:tr>
      <w:tr>
        <w:trPr>
          <w:trHeight w:val="238"/>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(1,171,932 )</w:t>
            </w:r>
          </w:p>
        </w:tc>
        <w:tc>
          <w:tcPr>
            <w:tcW w:w="1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(1,213,891 )</w:t>
            </w: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810,737</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781,539</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-5325110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-5325110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-4074795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-4074795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-2799080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-2799080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-2174240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-2174240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-1849120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-187960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40" w:type="dxa"/>
            <w:vAlign w:val="bottom"/>
          </w:tcPr>
          <w:p>
            <w:pPr>
              <w:spacing w:after="0"/>
              <w:rPr>
                <w:sz w:val="21"/>
                <w:szCs w:val="21"/>
                <w:color w:val="auto"/>
              </w:rPr>
            </w:pPr>
          </w:p>
        </w:tc>
        <w:tc>
          <w:tcPr>
            <w:tcW w:w="23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40"/>
        </w:trPr>
        <w:tc>
          <w:tcPr>
            <w:tcW w:w="58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245,459</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237,107</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306,910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299,767</w:t>
            </w: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47,983</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21,748</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231,484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200,478</w:t>
            </w:r>
          </w:p>
        </w:tc>
        <w:tc>
          <w:tcPr>
            <w:tcW w:w="100" w:type="dxa"/>
            <w:vAlign w:val="bottom"/>
          </w:tcPr>
          <w:p>
            <w:pPr>
              <w:spacing w:after="0"/>
              <w:rPr>
                <w:sz w:val="20"/>
                <w:szCs w:val="20"/>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(2,419 )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(1,622 )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(6,587 )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(5,509 )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(733 )</w:t>
            </w:r>
          </w:p>
        </w:tc>
      </w:tr>
      <w:tr>
        <w:trPr>
          <w:trHeight w:val="238"/>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(52,711 )</w:t>
            </w:r>
          </w:p>
        </w:tc>
      </w:tr>
      <w:tr>
        <w:trPr>
          <w:trHeight w:val="238"/>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131,211</w:t>
            </w:r>
          </w:p>
        </w:tc>
        <w:tc>
          <w:tcPr>
            <w:tcW w:w="100" w:type="dxa"/>
            <w:vAlign w:val="bottom"/>
            <w:tcBorders>
              <w:top w:val="single" w:sz="8" w:color="CFF0FC"/>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5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127,918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129,951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129,632</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130,389</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133,320</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131,538</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133,382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-4152265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-4152265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-4152265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-4152265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-2901950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-2901950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-2901950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-2576830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-2576830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-2576830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-2576830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-1634490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-1634490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-1634490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-1318260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-1318260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-1318260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6"/>
                <w:szCs w:val="16"/>
                <w:color w:val="auto"/>
              </w:rPr>
            </w:pPr>
          </w:p>
        </w:tc>
        <w:tc>
          <w:tcPr>
            <w:tcW w:w="23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131,211</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 hedges: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Amount recognized in other comprehensive income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(4,039 )</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100" w:type="dxa"/>
            <w:vAlign w:val="bottom"/>
          </w:tcPr>
          <w:p>
            <w:pPr>
              <w:spacing w:after="0"/>
              <w:rPr>
                <w:sz w:val="20"/>
                <w:szCs w:val="20"/>
                <w:color w:val="auto"/>
              </w:rPr>
            </w:pPr>
          </w:p>
        </w:tc>
      </w:tr>
      <w:tr>
        <w:trPr>
          <w:trHeight w:val="23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(7,163 )</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(1,103 )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(10,711 )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(6,338 )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(7,032 )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(1,239 )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(10,837 )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(6,215 )</w:t>
            </w:r>
          </w:p>
        </w:tc>
      </w:tr>
      <w:tr>
        <w:trPr>
          <w:trHeight w:val="278"/>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-350520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-350520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-350520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41,959</w:t>
            </w:r>
          </w:p>
        </w:tc>
        <w:tc>
          <w:tcPr>
            <w:tcW w:w="26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131,211</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11,743</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asset disposals, abandonments and write-downs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(53,255 )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fair value of convertible note and equity investment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(773 )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(11,661 )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(13,299 )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(13,605 )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(37,454 )</w:t>
            </w: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(4,313 )</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12,956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(5,091 )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(1,708 )</w:t>
            </w: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interest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(316 )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(9,565 )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(1,033 )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(728 )</w:t>
            </w:r>
          </w:p>
        </w:tc>
      </w:tr>
      <w:tr>
        <w:trPr>
          <w:trHeight w:val="169"/>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79,740</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52,818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(9,254 )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(14,006 )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(9,640 )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(4,711 )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FCC Reimbursement Program for property, equipment and intangibles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interest rate caps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20,165</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Redemptions of short-term investments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49,524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10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(49,383 )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convertible note and equity investments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(5,000 )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(5,000 )</w:t>
            </w: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(3,225 )</w:t>
            </w:r>
          </w:p>
        </w:tc>
        <w:tc>
          <w:tcPr>
            <w:tcW w:w="36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(3,408 )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term loan</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(5,438 )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(105,438 )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(30,763 )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financing leases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(2,693 )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(8,326 )</w:t>
            </w: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(38,902 )</w:t>
            </w:r>
          </w:p>
        </w:tc>
        <w:tc>
          <w:tcPr>
            <w:tcW w:w="36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(113,881 )</w:t>
            </w:r>
          </w:p>
        </w:tc>
      </w:tr>
      <w:tr>
        <w:trPr>
          <w:trHeight w:val="169"/>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(64,393 )</w:t>
            </w: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139,366</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150,880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177,008</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86,487</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40" w:type="dxa"/>
            <w:vAlign w:val="bottom"/>
            <w:shd w:val="clear" w:color="auto" w:fill="CFF0FC"/>
          </w:tcPr>
          <w:p>
            <w:pPr>
              <w:jc w:val="right"/>
              <w:ind w:right="8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177,008</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86,487</w:t>
            </w:r>
          </w:p>
        </w:tc>
        <w:tc>
          <w:tcPr>
            <w:tcW w:w="100" w:type="dxa"/>
            <w:vAlign w:val="bottom"/>
            <w:shd w:val="clear" w:color="auto" w:fill="CFF0FC"/>
          </w:tcPr>
          <w:p>
            <w:pPr>
              <w:spacing w:after="0"/>
              <w:rPr>
                <w:sz w:val="13"/>
                <w:szCs w:val="13"/>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non-current restricted cash</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176,678</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paid for interest</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42,893</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53,911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paid for taxes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5,658</w:t>
            </w:r>
          </w:p>
        </w:tc>
        <w:tc>
          <w:tcPr>
            <w:tcW w:w="26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-3131185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-3131185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-2232660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-2232660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-1547495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-1547495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-1307465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-1307465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-1076325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-1076325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-588645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-571500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-588645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-571500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9"/>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September 30, 2024</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6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126,882,774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1,409,060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11,991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(1,182,562 )</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11,793,865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(186,492 )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(7,163 )</w:t>
            </w: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(7,163 )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109,382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163,092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(546 )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(546 )</w:t>
            </w:r>
          </w:p>
        </w:tc>
        <w:tc>
          <w:tcPr>
            <w:tcW w:w="0" w:type="dxa"/>
            <w:vAlign w:val="bottom"/>
          </w:tcPr>
          <w:p>
            <w:pPr>
              <w:spacing w:after="0"/>
              <w:rPr>
                <w:sz w:val="1"/>
                <w:szCs w:val="1"/>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(1,014,598 )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1,014,598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(7,667 )</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(7,667 )</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126,140,650</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1,413,842</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(1,171,932 )</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12,808,463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(194,159 )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September 30, 2023</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6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128,696,883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1,391,692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25,152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(1,249,271 )</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(136 )</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(136 )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(1,103 )</w:t>
            </w: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(1,103 )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25,370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117,563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(641 )</w:t>
            </w:r>
          </w:p>
        </w:tc>
        <w:tc>
          <w:tcPr>
            <w:tcW w:w="12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(641 )</w:t>
            </w:r>
          </w:p>
        </w:tc>
        <w:tc>
          <w:tcPr>
            <w:tcW w:w="0" w:type="dxa"/>
            <w:vAlign w:val="bottom"/>
          </w:tcPr>
          <w:p>
            <w:pPr>
              <w:spacing w:after="0"/>
              <w:rPr>
                <w:sz w:val="1"/>
                <w:szCs w:val="1"/>
                <w:color w:val="auto"/>
              </w:rPr>
            </w:pPr>
          </w:p>
        </w:tc>
      </w:tr>
      <w:tr>
        <w:trPr>
          <w:trHeight w:val="153"/>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128,839,816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1,396,348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23,913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(1,228,358 )</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3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6"/>
              </w:rPr>
              <w:t>For the Nine Months Ended September 30, 2024</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6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128,462,343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1,402,003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15,796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(1,213,891 )</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9,169,941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(163,197 )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41,959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(126 )</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(126 )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(10,711 )</w:t>
            </w: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(10,711 )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14,755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1,094,975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(3,508 )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(3,508 )</w:t>
            </w:r>
          </w:p>
        </w:tc>
        <w:tc>
          <w:tcPr>
            <w:tcW w:w="0" w:type="dxa"/>
            <w:vAlign w:val="bottom"/>
          </w:tcPr>
          <w:p>
            <w:pPr>
              <w:spacing w:after="0"/>
              <w:rPr>
                <w:sz w:val="1"/>
                <w:szCs w:val="1"/>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(3,638,522 )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3,638,522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(30,962 )</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(30,962 )</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126,140,650</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1,413,842</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(1,171,932 )</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12,808,463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(194,159 )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-4408805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-4408805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-4408805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-4408805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-4408805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-4408805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-4408805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-2336800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-2319655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-2336800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-2319655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-2336800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-2319655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-2336800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-2319655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-2336800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-2319655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-2336800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-2319655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-2336800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-2319655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-136525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-136525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-136525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-136525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-136525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-136525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-136525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3"/>
                <w:szCs w:val="13"/>
                <w:b w:val="1"/>
                <w:bCs w:val="1"/>
                <w:color w:val="auto"/>
                <w:w w:val="97"/>
              </w:rPr>
              <w:t>For the Nine Months Ended September 30,2023</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780" w:type="dxa"/>
            <w:vAlign w:val="bottom"/>
            <w:gridSpan w:val="3"/>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78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60" w:type="dxa"/>
            <w:vAlign w:val="bottom"/>
            <w:gridSpan w:val="6"/>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60" w:type="dxa"/>
            <w:vAlign w:val="bottom"/>
            <w:tcBorders>
              <w:bottom w:val="single" w:sz="8" w:color="auto"/>
            </w:tcBorders>
          </w:tcPr>
          <w:p>
            <w:pPr>
              <w:jc w:val="right"/>
              <w:ind w:right="197"/>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7"/>
              <w:spacing w:after="0" w:line="146"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127,840,813</w:t>
            </w:r>
          </w:p>
        </w:tc>
        <w:tc>
          <w:tcPr>
            <w:tcW w:w="920" w:type="dxa"/>
            <w:vAlign w:val="bottom"/>
            <w:gridSpan w:val="2"/>
            <w:shd w:val="clear" w:color="auto" w:fill="CFF0FC"/>
          </w:tcPr>
          <w:p>
            <w:pPr>
              <w:jc w:val="right"/>
              <w:ind w:right="5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14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1,385,933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30,128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(1,359,569 )</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(101,869 )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131,211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(6,338 )</w:t>
            </w:r>
          </w:p>
        </w:tc>
        <w:tc>
          <w:tcPr>
            <w:tcW w:w="14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(6,338 )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140,141</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829,605</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(6,080 )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(6,080 )</w:t>
            </w: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29,257</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128,839,816</w:t>
            </w:r>
          </w:p>
        </w:tc>
        <w:tc>
          <w:tcPr>
            <w:tcW w:w="920" w:type="dxa"/>
            <w:vAlign w:val="bottom"/>
            <w:gridSpan w:val="2"/>
          </w:tcPr>
          <w:p>
            <w:pPr>
              <w:jc w:val="right"/>
              <w:ind w:right="5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1,396,348</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23,913</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(1,228,358 )</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(158,375 )   $</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-1527810</wp:posOffset>
            </wp:positionV>
            <wp:extent cx="9398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6388100</wp:posOffset>
            </wp:positionH>
            <wp:positionV relativeFrom="paragraph">
              <wp:posOffset>-1527810</wp:posOffset>
            </wp:positionV>
            <wp:extent cx="9398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-136525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-136525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-136525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-136525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-136525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-136525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-136525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the Notes to Unaudited Condensed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Business – </w:t>
      </w:r>
      <w:r>
        <w:rPr>
          <w:rFonts w:ascii="Times New Roman" w:cs="Times New Roman" w:eastAsia="Times New Roman" w:hAnsi="Times New Roman"/>
          <w:sz w:val="18"/>
          <w:szCs w:val="18"/>
          <w:color w:val="auto"/>
        </w:rPr>
        <w:t>Gogo Inc. (“Gogo,” the “Company,” “we,” “us,” or “our”) is a leading provider of broadband connectivity services for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are currently developing our fourth ATG network – Gogo 5G – that we expect to commercially launch late in the second quarter of 2025. Simultaneous with the development of Gogo 5G, we are actively working with a subset of AVANCE customers and customers utilizing our legacy Gogo Biz ATG airborne system operating on our ground 3G and 4G networks to upgrade to an AVANCE system compatible with a new LTE network. We anticipate this subset of customers will see improved performance because of this network transition, which is expected to occur in early 2026. The cost for the transition to the new LTE network is partially being reimbursed through our participation in the Federal Communications Commission (“FCC”) Secure and Trusted Communications Networks Reimbursement Program (the “FCC Reimbursement Program”).</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all models of business aircraft (“Gogo Galileo”). The service will use electronically steered antennas (“ESAs”), specifically designed to address a broad range of business aviation aircraft, operating on a low earth orbit (“LEO”) satellite network. The half duplex (“HDX”) antenna is designed to fit on any size business aircraft and is targeted for commercial launch in the fourth quarter of 2024. The full duplex (“FDX”) antenna is designed for larger aircraft and is targeted for commercial launch in the second quarter of 2025. We believe that Gogo Galileo, in combination with, or as an alternative to, our ATG systems will allow us to increase our penetration of the North American market and provide an upgrade path for our existing ATG customer base. In addition, we believe that Gogo Galileo will allow us to penetrate the business aviation market outside of North America, where only approximately 6% of business aviation aircraft are installed with in-flight connectivity systems.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and notes have been prepared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2023 as filed with the Securities and Exchange Commission (the “SEC”) on February 28, 2024 (the “2023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78"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results of operations and cash flows for the three- and nine-month periods ended September 30, 2024 are not necessarily indicative of the results that may be expected for the fiscal year ending December 31, 2024.</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one class of common stock outstanding as of September 30, 2024 and December 31, 2023.</w:t>
      </w:r>
    </w:p>
    <w:p>
      <w:pPr>
        <w:spacing w:after="0" w:line="11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of Satcom Direct </w:t>
      </w:r>
      <w:r>
        <w:rPr>
          <w:rFonts w:ascii="Times New Roman" w:cs="Times New Roman" w:eastAsia="Times New Roman" w:hAnsi="Times New Roman"/>
          <w:sz w:val="18"/>
          <w:szCs w:val="18"/>
          <w:color w:val="auto"/>
        </w:rPr>
        <w:t>– On September 29,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12529"/>
        </w:rPr>
        <w:t>Gogo Direct Holdings LLC, a Delaware limited liability company (“Gogo Direct”)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12529"/>
        </w:rPr>
        <w:t xml:space="preserve">indirect wholly owned subsidiary of the Company, </w:t>
      </w:r>
      <w:r>
        <w:rPr>
          <w:rFonts w:ascii="Times New Roman" w:cs="Times New Roman" w:eastAsia="Times New Roman" w:hAnsi="Times New Roman"/>
          <w:sz w:val="18"/>
          <w:szCs w:val="18"/>
          <w:color w:val="000000"/>
        </w:rPr>
        <w:t>entered into a Purchase Agreement (the “Purchase Agreement” and the transactions contemplated by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Purchase Agreement, the “Transactions”), by and among Satcom Direct Holdings, Inc., a Delaware corporation (“SD Seller”), SDHC Holdings, Inc., a Delaware corporation (“SDHC Seller”), Satcom Direct Government Holdings, Inc., a Delaware corporation (“Satcom Government Seller”), ndtHost Holdings, Inc., a Delaware corporation (“ndtHost Seller” and, together with SD Seller, SDHC Seller and Satcom Government Seller, each a “Seller” and collectively, “Sellers”), Satcom Direct, Inc., a Florida corporation (“Satcom Direct”), Satcom Direct Holding Company, LLC, a Florida limited liability company (“SDHC”), Satcom Direct Government, Inc., a Florida corporation (“Satcom Government”), ndtHost, LLC, a Florida limited liability company (“ndtHost” and, together with Satcom Direct, SDHC, and Satcom Government, each a “Parent Company” and collectively, the “Parent Companies”), solely for purposes of Section 8.8 and Section 8.9 of the Purchase Agreement, James W. Jensen, in his individual capacity, and solely for purposes of Section 2.5 and Section 13.20, the Company. Pursuant to the Purchase Agreement, on the terms and subject to the conditions set forth therein, Gogo Direct will, among other matters, purchase from Sellers all of the issued and outstanding equity interests of the Parent Companies (collectively, the “Purchased Equity”), in exchange for the consideration contemplated thereby.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Founded in 1997, the Parent Companies are primarily engaged in providing business, military and government in-flight connectivity services as a reseller of satellite services. The Parent Companies operate worldwide with an international sales and service team based in nine countries. The Parent Companies sell services and equipment globally through their international sales force to OEMs, governments, military, and private fleet companies among others. The Parent Companies manage a network operating center and maintain their own data center in Melbourne, Florida with licensed data sites strategically placed around the world. The acquisition will create the only in-flight connectivity provider able to satisfy the performance and cost needs of every segment of the global business aviation and military/government mobility markets.</w:t>
      </w:r>
    </w:p>
    <w:p>
      <w:pPr>
        <w:spacing w:after="0" w:line="11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at the closing of the transaction (the “Closing”), Gogo Direct will acquire the Purchased Equity in exchange for: (i) an aggregate cash purchase amount of $375,000,000, subject to customary purchase price adjustments; (ii) the issuance at Closing of 5,000,000 restricted shares of common stock of the Company to SD Seller (the “Closing Date Stock Consideration”); and (iii) up to an additional $225,000,000 in payments of cash and common stock of the Company tied to realizing certain financial performance milestones over the next four years.</w:t>
      </w:r>
    </w:p>
    <w:p>
      <w:pPr>
        <w:spacing w:after="0" w:line="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as well as indemnification provisions subject to specified limitations. Among other things, Sellers and Parent Companies have agreed, subject to certain exceptions, to, and to cause each of its subsidiaries to, conduct its business in the ordinary course, consistent with past practice, from the date of the Purchase Agreement until the Closing, and not to take certain actions prior to the closing of the transaction without the prior written consent of Gogo Direct. Sellers and the Parent Companies have made certain additional customary covenants, including, among others and subject to certain exceptions, not to solicit proposals relating to acquisition proposals and not to participate in discussions concerning, or furnish information in connection with, acquisition proposals.</w:t>
      </w:r>
    </w:p>
    <w:p>
      <w:pPr>
        <w:spacing w:after="0" w:line="7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In addition, subject to the terms of the Purchase Agreement, Gogo Direct, Sellers and Parent Companies are required to use reasonable best efforts to obtain all required regulatory approvals, including, among others, certain regulatory approvals with the Federal Trade Commission, Antitrust Division of the United States Department of Justice, Federal Communications Commission and certain international governmental authorities.</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2024 and is subject to customary closing conditions, including, among others, (i) the expiration or termination of the waiting period under the Hart-Scott-Rodino Antitrust Improvements Act of 1976, as amended (the “HSR Act”), (ii) the absence of legal restraints preventing the consummation of the transaction, (iii) the obtaining of the Communications Authorizations (as defined the Purchase Agreement), (iv) the accuracy of the representations and warranties contained in the Purchase Agreement (subject to certain qualifications), (v) the performance by the parties of their respective obligations under the Purchase Agreement in all material respects and (vi) with respect to the obligations of Gogo Direct to consummate the Transactions, the absence of a Material Adverse Effect (as defined in the Purchase Agreement). Gogo Direct’s obligation to consummate the transaction is not subject to any condition related to the availability of financing. In connection with the entry into the Purchase Agreement, the Company and Gogo Intermediate Holdings LLC (“Intermediate”) have entered into a debt commitment letter that provides for a $250 million term loan to fund a portion of the cash purchase price.</w:t>
      </w:r>
    </w:p>
    <w:p>
      <w:pPr>
        <w:spacing w:after="0" w:line="7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certain customary termination rights for Gogo Direct and Sellers, including the right to terminate the Purchase Agreement if the transaction has not been consummated before March 28, 2025. In addition to the remedy of specific performance, the Purchase Agreement also provides that, upon termination of the Purchase Agreement under certain specified circumstances Sellers and the Parent Companies may elect, by notifying the Company, either that (i) the Company shall pay a termination fee of $20,000,000 to Sellers or (ii) Sellers shall pursue damages for willful and material breach of the Purchase Agreement against the Company with an aggregate monetary liability of the Company of no more than $75,000,000.</w:t>
      </w:r>
    </w:p>
    <w:p>
      <w:pPr>
        <w:spacing w:after="0" w:line="7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21E1F"/>
        </w:rPr>
        <w:t>Recently Issued Accounting Pronouncements</w:t>
      </w:r>
    </w:p>
    <w:p>
      <w:pPr>
        <w:spacing w:after="0" w:line="121"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to improve reportable segment disclosure requirements, primarily through enhanced disclosures about significant segment expenses. This guidance is effective retrospectively for fiscal years beginning after December 15, 2023 and interim periods after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December 15, 2024. Early adoption is permitted. As this guidance only impacts disclosures, we do not expect the adoption to have a material impact on our consolidated financial statements.</w:t>
      </w:r>
    </w:p>
    <w:p>
      <w:pPr>
        <w:spacing w:after="0" w:line="5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to enhance the transparency and decision usefulness of income tax disclosures, most notably in the tax rate reconciliation and income taxes paid. This guidance is effective for annual periods beginning after December 15, 2024. Early adoption is permitted and the amendments should be applied on a prospective basis, with retrospective application permitted. As this guidance only impacts disclosures, we do not expect the adoption to have a material impact on our consolidated financial statements.</w:t>
      </w:r>
    </w:p>
    <w:p>
      <w:pPr>
        <w:spacing w:after="0" w:line="18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Basic and diluted earnings per share have been calculated using the weighted average number of common shares outstanding for the period. Diluted earnings per share was computed using the treasury stock method for stock-based compensation.</w:t>
      </w:r>
    </w:p>
    <w:p>
      <w:pPr>
        <w:spacing w:after="0" w:line="55"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diluted earnings per share calculations exclude the effect of stock options, deferred stock units and restricted stock units when the computation is anti-dilutive. For the three- and nine-month periods ended September 30, 2024, the weighted average number of shares excluded from the computation was 2.2 million and 2.4 million, respectively. For the three- and nine-month periods ended September 30, 2023, the weighted average shares excluded from the computation was 2.0 million and 1.5 million, respectively.</w:t>
      </w:r>
    </w:p>
    <w:p>
      <w:pPr>
        <w:spacing w:after="0" w:line="74"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nine-month periods ended September 30, 2024 and 2023 (</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5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131,211</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127,918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129,951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129,632</w:t>
            </w:r>
          </w:p>
        </w:tc>
        <w:tc>
          <w:tcPr>
            <w:tcW w:w="100" w:type="dxa"/>
            <w:vAlign w:val="bottom"/>
          </w:tcPr>
          <w:p>
            <w:pPr>
              <w:spacing w:after="0"/>
              <w:rPr>
                <w:sz w:val="20"/>
                <w:szCs w:val="20"/>
                <w:color w:val="auto"/>
              </w:rPr>
            </w:pPr>
          </w:p>
        </w:tc>
      </w:tr>
      <w:tr>
        <w:trPr>
          <w:trHeight w:val="278"/>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7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131,211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129,951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128,513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129,632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stock-based compensation</w:t>
            </w: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weighted average diluted shares outstanding</w:t>
            </w:r>
          </w:p>
        </w:tc>
        <w:tc>
          <w:tcPr>
            <w:tcW w:w="7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130,389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133,320</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131,538</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133,382</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-1095375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-1095375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-1095375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-1095375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8480" w:firstLine="8"/>
        <w:spacing w:after="0" w:line="399" w:lineRule="auto"/>
        <w:tabs>
          <w:tab w:leader="none" w:pos="51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Remaining performance obligations</w:t>
      </w:r>
    </w:p>
    <w:p>
      <w:pPr>
        <w:spacing w:after="0" w:line="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2024, the aggregate amount of the transaction price in our contracts allocated to the remaining unsatisfied performance obligations (“RPO”) was approximately $273 million and excludes consideration from contracts that have an original duration of one year or less. Approximately $262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21% of our connectivity and entertainment service RPO within the next year, approximately 44% in one to five years and the remaining 35% in five to ten years. The remaining $11 million of the RPO represents future equipment revenue that is expected to be recognized primarily within the next three years as equipment is shipped.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4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40"/>
        </w:trPr>
        <w:tc>
          <w:tcPr>
            <w:tcW w:w="40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Connectivity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241,508</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233,291</w:t>
            </w:r>
          </w:p>
        </w:tc>
        <w:tc>
          <w:tcPr>
            <w:tcW w:w="100" w:type="dxa"/>
            <w:vAlign w:val="bottom"/>
          </w:tcPr>
          <w:p>
            <w:pPr>
              <w:spacing w:after="0"/>
              <w:rPr>
                <w:sz w:val="20"/>
                <w:szCs w:val="20"/>
                <w:color w:val="auto"/>
              </w:rPr>
            </w:pPr>
          </w:p>
        </w:tc>
      </w:tr>
      <w:tr>
        <w:trPr>
          <w:trHeight w:val="243"/>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Entertainment and other</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79,546</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245,459</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237,107</w:t>
            </w:r>
          </w:p>
        </w:tc>
        <w:tc>
          <w:tcPr>
            <w:tcW w:w="100" w:type="dxa"/>
            <w:vAlign w:val="bottom"/>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ATG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52,544</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50,665</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Narrowband satellite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20"/>
                <w:szCs w:val="20"/>
                <w:color w:val="auto"/>
              </w:rPr>
            </w:pPr>
          </w:p>
        </w:tc>
      </w:tr>
      <w:tr>
        <w:trPr>
          <w:trHeight w:val="278"/>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62,660</w:t>
            </w:r>
          </w:p>
        </w:tc>
        <w:tc>
          <w:tcPr>
            <w:tcW w:w="100" w:type="dxa"/>
            <w:vAlign w:val="bottom"/>
            <w:shd w:val="clear" w:color="auto" w:fill="CFF0FC"/>
          </w:tcPr>
          <w:p>
            <w:pPr>
              <w:spacing w:after="0"/>
              <w:rPr>
                <w:sz w:val="24"/>
                <w:szCs w:val="24"/>
                <w:color w:val="auto"/>
              </w:rPr>
            </w:pPr>
          </w:p>
        </w:tc>
      </w:tr>
      <w:tr>
        <w:trPr>
          <w:trHeight w:val="223"/>
        </w:trPr>
        <w:tc>
          <w:tcPr>
            <w:tcW w:w="4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owner/operator/service provider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79,546</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245,459</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237,107</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OEM and aftermarket dealer</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62,660</w:t>
            </w:r>
          </w:p>
        </w:tc>
        <w:tc>
          <w:tcPr>
            <w:tcW w:w="100" w:type="dxa"/>
            <w:vAlign w:val="bottom"/>
          </w:tcPr>
          <w:p>
            <w:pPr>
              <w:spacing w:after="0"/>
              <w:rPr>
                <w:sz w:val="20"/>
                <w:szCs w:val="20"/>
                <w:color w:val="auto"/>
              </w:rPr>
            </w:pPr>
          </w:p>
        </w:tc>
      </w:tr>
      <w:tr>
        <w:trPr>
          <w:trHeight w:val="278"/>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100,529</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97,949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306,910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-1643380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-1643380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-1643380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-1643380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-675640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-658495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-675640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-658495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-675640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-658495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-675640</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-658495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-24765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-24765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$20.7 million and $16.6 million as of September 30, 2024 and December 31, 2023, respectively. Contract assets represent the aggregate amount of revenue recognized in excess of billings and recoverable contract costs primarily for certain sales programs.</w:t>
      </w:r>
    </w:p>
    <w:p>
      <w:pPr>
        <w:spacing w:after="0" w:line="6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$1.9 million and $1.0 million as of September 30, 2024 and December 31, 2023, respectively. Deferred revenue includes, among other things, prepayments for equipment and subscription connectivity products.</w:t>
      </w:r>
    </w:p>
    <w:p>
      <w:pPr>
        <w:spacing w:after="0" w:line="15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Assistance</w:t>
      </w:r>
    </w:p>
    <w:p>
      <w:pPr>
        <w:spacing w:after="0" w:line="116"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FCC Reimbursement Program</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$132 million of the approved amount is currently allocated to the Company under the program. If Congress appropriates additional funds for this purpose, the allocations of the Company and other approved applicants will be increased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Program participants are subject to a number of conditions and requirements under the FCC’s rules including a requirement that they submit their first reimbursement request by July 17, 2023 and certify that they have developed a plan to permanently remove, replace and dispose of covered equipment or services within one year following the first reimbursement request. The rules permit</w:t>
      </w:r>
    </w:p>
    <w:p>
      <w:pPr>
        <w:sectPr>
          <w:pgSz w:w="11900" w:h="16838" w:orient="portrait"/>
          <w:cols w:equalWidth="0" w:num="1">
            <w:col w:w="11240"/>
          </w:cols>
          <w:pgMar w:left="320" w:top="764"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participants to petition the FCC for one or more six-month extensions of the completion deadline. The Company, with the assistance of an advisor engaged to help administer the program, submitted and received its first reimbursement claim in July 2023. The Company’s original one year term to complete the program was set for July 21, 2024. On March 29, 2024 the Company was granted its first six-month extension by the FCC extending the program completion deadline to January 21, 2025. Based on discussions with our vendors supporting the program regarding lead times for network equipment, we plan to petition the FCC for multiple extensions, as outlined in our application for the FCC Reimbursement Program.</w:t>
      </w:r>
    </w:p>
    <w:p>
      <w:pPr>
        <w:spacing w:after="0" w:line="74"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and December 31, 2023, we have recorded a $12.9 million and $18.3 million receivable from the FCC, respectively, which is included in Prepaid expenses and other current assets in our Unaudited Condensed Consolidated Balance Sheets.</w:t>
      </w:r>
    </w:p>
    <w:p>
      <w:pPr>
        <w:spacing w:after="0" w:line="55"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are the deductions to the carrying value of asset balances in our Unaudited Condensed Consolidated Balance Sheets as of September 30, 2024 and December 31, 2023 </w:t>
      </w:r>
      <w:r>
        <w:rPr>
          <w:rFonts w:ascii="Times New Roman" w:cs="Times New Roman" w:eastAsia="Times New Roman" w:hAnsi="Times New Roman"/>
          <w:sz w:val="18"/>
          <w:szCs w:val="18"/>
          <w:i w:val="1"/>
          <w:iCs w:val="1"/>
          <w:color w:val="auto"/>
        </w:rPr>
        <w:t>(in thousands):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w:t>
            </w:r>
          </w:p>
        </w:tc>
      </w:tr>
      <w:tr>
        <w:trPr>
          <w:trHeight w:val="245"/>
        </w:trPr>
        <w:tc>
          <w:tcPr>
            <w:tcW w:w="6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21"/>
                <w:szCs w:val="21"/>
                <w:color w:val="auto"/>
              </w:rPr>
            </w:pPr>
          </w:p>
        </w:tc>
      </w:tr>
      <w:tr>
        <w:trPr>
          <w:trHeight w:val="240"/>
        </w:trPr>
        <w:tc>
          <w:tcPr>
            <w:tcW w:w="6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8"/>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(5,220 )</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(4,970 )</w:t>
            </w:r>
          </w:p>
        </w:tc>
      </w:tr>
      <w:tr>
        <w:trPr>
          <w:trHeight w:val="247"/>
        </w:trPr>
        <w:tc>
          <w:tcPr>
            <w:tcW w:w="6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Prepaids expenses and other current assets</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(3,050 )</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(1,542 )</w:t>
            </w:r>
          </w:p>
        </w:tc>
      </w:tr>
      <w:tr>
        <w:trPr>
          <w:trHeight w:val="238"/>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(2,094 )</w:t>
            </w:r>
          </w:p>
        </w:tc>
      </w:tr>
      <w:tr>
        <w:trPr>
          <w:trHeight w:val="247"/>
        </w:trPr>
        <w:tc>
          <w:tcPr>
            <w:tcW w:w="6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34"/>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(10,010 )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(5,542 )</w:t>
            </w:r>
          </w:p>
        </w:tc>
      </w:tr>
    </w:tbl>
    <w:p>
      <w:pPr>
        <w:spacing w:after="0" w:line="98"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are the increases to Net income in our Unaudited Condensed Consolidated Statements of Operations for the three- and nine-month periods ended September 30,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1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3420" w:type="dxa"/>
            <w:vAlign w:val="bottom"/>
          </w:tcPr>
          <w:p>
            <w:pPr>
              <w:spacing w:after="0"/>
              <w:rPr>
                <w:sz w:val="21"/>
                <w:szCs w:val="21"/>
                <w:color w:val="auto"/>
              </w:rPr>
            </w:pPr>
          </w:p>
        </w:tc>
        <w:tc>
          <w:tcPr>
            <w:tcW w:w="21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40"/>
        </w:trPr>
        <w:tc>
          <w:tcPr>
            <w:tcW w:w="342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8"/>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0"/>
                <w:szCs w:val="20"/>
                <w:color w:val="auto"/>
              </w:rPr>
            </w:pPr>
          </w:p>
        </w:tc>
      </w:tr>
      <w:tr>
        <w:trPr>
          <w:trHeight w:val="247"/>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20"/>
                <w:szCs w:val="20"/>
                <w:color w:val="auto"/>
              </w:rPr>
            </w:pPr>
          </w:p>
        </w:tc>
      </w:tr>
      <w:tr>
        <w:trPr>
          <w:trHeight w:val="247"/>
        </w:trPr>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8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3,647</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80" w:type="dxa"/>
            <w:vAlign w:val="bottom"/>
            <w:shd w:val="clear" w:color="auto" w:fill="CFF0FC"/>
          </w:tcPr>
          <w:p>
            <w:pPr>
              <w:spacing w:after="0"/>
              <w:rPr>
                <w:sz w:val="21"/>
                <w:szCs w:val="21"/>
                <w:color w:val="auto"/>
              </w:rPr>
            </w:pPr>
          </w:p>
        </w:tc>
      </w:tr>
      <w:tr>
        <w:trPr>
          <w:trHeight w:val="234"/>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Balance Sheet Accounts</w:t>
      </w:r>
    </w:p>
    <w:p>
      <w:pPr>
        <w:spacing w:after="0" w:line="121"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as of September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38,969</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34,692</w:t>
            </w:r>
          </w:p>
        </w:tc>
        <w:tc>
          <w:tcPr>
            <w:tcW w:w="80" w:type="dxa"/>
            <w:vAlign w:val="bottom"/>
            <w:shd w:val="clear" w:color="auto" w:fill="CFF0FC"/>
          </w:tcPr>
          <w:p>
            <w:pPr>
              <w:spacing w:after="0"/>
              <w:rPr>
                <w:sz w:val="21"/>
                <w:szCs w:val="21"/>
                <w:color w:val="auto"/>
              </w:rPr>
            </w:pPr>
          </w:p>
        </w:tc>
      </w:t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80" w:type="dxa"/>
            <w:vAlign w:val="bottom"/>
          </w:tcPr>
          <w:p>
            <w:pPr>
              <w:spacing w:after="0"/>
              <w:rPr>
                <w:sz w:val="20"/>
                <w:szCs w:val="20"/>
                <w:color w:val="auto"/>
              </w:rPr>
            </w:pPr>
          </w:p>
        </w:tc>
      </w:tr>
      <w:tr>
        <w:trPr>
          <w:trHeight w:val="280"/>
        </w:trPr>
        <w:tc>
          <w:tcPr>
            <w:tcW w:w="6060" w:type="dxa"/>
            <w:vAlign w:val="bottom"/>
            <w:tcBorders>
              <w:bottom w:val="single" w:sz="8" w:color="CFF0FC"/>
            </w:tcBorders>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Total inventory</w:t>
            </w:r>
            <w:r>
              <w:rPr>
                <w:rFonts w:ascii="Times New Roman" w:cs="Times New Roman" w:eastAsia="Times New Roman" w:hAnsi="Times New Roman"/>
                <w:sz w:val="24"/>
                <w:szCs w:val="24"/>
                <w:i w:val="1"/>
                <w:iCs w:val="1"/>
                <w:color w:val="auto"/>
                <w:vertAlign w:val="superscript"/>
              </w:rPr>
              <w:t>(1)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74,848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-24765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-7620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4" w:right="419" w:bottom="1440" w:gutter="0" w:footer="0" w:header="0"/>
        </w:sectPr>
      </w:pPr>
    </w:p>
    <w:bookmarkStart w:id="13" w:name="page14"/>
    <w:bookmarkEnd w:id="1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as of September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 and receivable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FCC reimbursement receivable</w:t>
            </w:r>
            <w:r>
              <w:rPr>
                <w:rFonts w:ascii="Times New Roman" w:cs="Times New Roman" w:eastAsia="Times New Roman" w:hAnsi="Times New Roman"/>
                <w:sz w:val="24"/>
                <w:szCs w:val="24"/>
                <w:i w:val="1"/>
                <w:iCs w:val="1"/>
                <w:color w:val="auto"/>
                <w:vertAlign w:val="superscript"/>
              </w:rPr>
              <w:t>(1)</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4"/>
                <w:szCs w:val="24"/>
                <w:i w:val="1"/>
                <w:iCs w:val="1"/>
                <w:color w:val="auto"/>
                <w:vertAlign w:val="superscript"/>
              </w:rPr>
              <w:t>(1)</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50,013</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as of September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Network equipment</w:t>
            </w:r>
            <w:r>
              <w:rPr>
                <w:rFonts w:ascii="Times New Roman" w:cs="Times New Roman" w:eastAsia="Times New Roman" w:hAnsi="Times New Roman"/>
                <w:sz w:val="24"/>
                <w:szCs w:val="24"/>
                <w:i w:val="1"/>
                <w:iCs w:val="1"/>
                <w:color w:val="auto"/>
                <w:vertAlign w:val="superscript"/>
              </w:rPr>
              <w:t>(1)</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225,598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219,461</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(131,768 )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(121,332 )</w:t>
            </w:r>
          </w:p>
        </w:tc>
      </w:tr>
      <w:tr>
        <w:trPr>
          <w:trHeight w:val="236"/>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93,830</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98,129</w:t>
            </w:r>
          </w:p>
        </w:tc>
        <w:tc>
          <w:tcPr>
            <w:tcW w:w="80" w:type="dxa"/>
            <w:vAlign w:val="bottom"/>
            <w:tcBorders>
              <w:top w:val="single" w:sz="8" w:color="CFF0FC"/>
            </w:tcBorders>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-504825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as of September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Contract assets, net of allowances of $720 and $591, respectively</w:t>
            </w:r>
            <w:r>
              <w:rPr>
                <w:rFonts w:ascii="Times New Roman" w:cs="Times New Roman" w:eastAsia="Times New Roman" w:hAnsi="Times New Roman"/>
                <w:sz w:val="24"/>
                <w:szCs w:val="24"/>
                <w:i w:val="1"/>
                <w:iCs w:val="1"/>
                <w:color w:val="auto"/>
                <w:vertAlign w:val="superscript"/>
              </w:rPr>
              <w:t>(1)</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80" w:type="dxa"/>
            <w:vAlign w:val="bottom"/>
          </w:tcPr>
          <w:p>
            <w:pPr>
              <w:spacing w:after="0"/>
              <w:rPr>
                <w:sz w:val="20"/>
                <w:szCs w:val="20"/>
                <w:color w:val="auto"/>
              </w:rPr>
            </w:pPr>
          </w:p>
        </w:tc>
      </w:tr>
      <w:tr>
        <w:trPr>
          <w:trHeight w:val="25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80" w:type="dxa"/>
            <w:vAlign w:val="bottom"/>
            <w:shd w:val="clear" w:color="auto" w:fill="CFF0FC"/>
          </w:tcPr>
          <w:p>
            <w:pPr>
              <w:spacing w:after="0"/>
              <w:rPr>
                <w:sz w:val="22"/>
                <w:szCs w:val="22"/>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as of September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credit reserve</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Gogo Galileo development costs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61,476</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Expenditures for research and development are charged to expense as incurred and totaled $9.8 million and $29.3 million, respectively, during the three- and nine-month periods ended September 30, 2024 and $9.2 million and $26.3 million, respectively, for the prior-year periods. Research and development costs are reported as Engineering, design and development expenses in our Unaudited Condensed Consolidated Statements of Operations.</w:t>
      </w:r>
    </w:p>
    <w:p>
      <w:pPr>
        <w:sectPr>
          <w:pgSz w:w="11900" w:h="16838" w:orient="portrait"/>
          <w:cols w:equalWidth="0" w:num="1">
            <w:col w:w="11020"/>
          </w:cols>
          <w:pgMar w:left="320" w:top="764" w:right="559" w:bottom="1440" w:gutter="0" w:footer="0" w:header="0"/>
        </w:sectPr>
      </w:pPr>
    </w:p>
    <w:p>
      <w:pPr>
        <w:spacing w:after="0" w:line="1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4" w:right="55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2023 indicated no impairment. We also reevaluate the useful life of indefinite-lived intangible assets each reporting period to determine whether events and circumstances continue to support an indefinite useful life.</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both September 30, 2024 and December 31, 2023, our goodwill balance was $0.6 million.</w:t>
      </w:r>
    </w:p>
    <w:p>
      <w:pPr>
        <w:spacing w:after="0" w:line="115"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Our intangible assets, other than goodwill, as of September 30, 2024 and December 31, 2023 were as follows (</w:t>
      </w:r>
      <w:r>
        <w:rPr>
          <w:rFonts w:ascii="Times New Roman" w:cs="Times New Roman" w:eastAsia="Times New Roman" w:hAnsi="Times New Roman"/>
          <w:sz w:val="18"/>
          <w:szCs w:val="18"/>
          <w:i w:val="1"/>
          <w:iCs w:val="1"/>
          <w:color w:val="auto"/>
        </w:rPr>
        <w:t>in thousands, except for weighted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average remaining useful life</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20" w:type="dxa"/>
            <w:vAlign w:val="bottom"/>
          </w:tcPr>
          <w:p>
            <w:pPr>
              <w:spacing w:after="0"/>
              <w:rPr>
                <w:sz w:val="20"/>
                <w:szCs w:val="20"/>
                <w:color w:val="auto"/>
              </w:rPr>
            </w:pPr>
          </w:p>
        </w:tc>
        <w:tc>
          <w:tcPr>
            <w:tcW w:w="3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05"/>
        </w:trPr>
        <w:tc>
          <w:tcPr>
            <w:tcW w:w="3400" w:type="dxa"/>
            <w:vAlign w:val="bottom"/>
          </w:tcPr>
          <w:p>
            <w:pPr>
              <w:spacing w:after="0"/>
              <w:rPr>
                <w:sz w:val="17"/>
                <w:szCs w:val="17"/>
                <w:color w:val="auto"/>
              </w:rPr>
            </w:pPr>
          </w:p>
        </w:tc>
        <w:tc>
          <w:tcPr>
            <w:tcW w:w="1240" w:type="dxa"/>
            <w:vAlign w:val="bottom"/>
            <w:gridSpan w:val="2"/>
          </w:tcPr>
          <w:p>
            <w:pPr>
              <w:jc w:val="center"/>
              <w:ind w:right="120"/>
              <w:spacing w:after="0" w:line="20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4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45"/>
        </w:trPr>
        <w:tc>
          <w:tcPr>
            <w:tcW w:w="34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43"/>
        </w:trPr>
        <w:tc>
          <w:tcPr>
            <w:tcW w:w="34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Amortized intangible assets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r>
      <w:tr>
        <w:trPr>
          <w:trHeight w:val="238"/>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$(46,435)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$22,245</w:t>
            </w: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8"/>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(61,240)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83,459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22,744</w:t>
            </w: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8"/>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FCC Licenses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r>
      <w:tr>
        <w:trPr>
          <w:trHeight w:val="278"/>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$125,508</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$(61,240)</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$64,268</w:t>
            </w:r>
          </w:p>
        </w:tc>
        <w:tc>
          <w:tcPr>
            <w:tcW w:w="1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$115,742</w:t>
            </w:r>
          </w:p>
        </w:tc>
        <w:tc>
          <w:tcPr>
            <w:tcW w:w="1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-658495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-658495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-658495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-658495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-658495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98"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Amortization expense was $0.2 million and $0.6 million, respectively, for the three- and nine-month periods ended September 30, 2024 and $0.5 million and $1.7 million, respectively, for the prior-year periods.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the remainder of 2024, each of the next four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5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3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(period from October 1 to December 31)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w:t>
            </w:r>
          </w:p>
        </w:tc>
      </w:tr>
    </w:tbl>
    <w:p>
      <w:pPr>
        <w:spacing w:after="0" w:line="31" w:lineRule="exact"/>
        <w:rPr>
          <w:sz w:val="20"/>
          <w:szCs w:val="20"/>
          <w:color w:val="auto"/>
        </w:rPr>
      </w:pPr>
    </w:p>
    <w:p>
      <w:pPr>
        <w:ind w:left="5540" w:right="1700" w:hanging="5016"/>
        <w:spacing w:after="0" w:line="531" w:lineRule="auto"/>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a result of future investments and other factors.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Other Liabilities</w:t>
      </w:r>
    </w:p>
    <w:p>
      <w:pPr>
        <w:spacing w:after="0" w:line="11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as of September 30, 2024 and December 31, 2023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599,668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604,797</w:t>
            </w:r>
          </w:p>
        </w:tc>
        <w:tc>
          <w:tcPr>
            <w:tcW w:w="80" w:type="dxa"/>
            <w:vAlign w:val="bottom"/>
            <w:shd w:val="clear" w:color="auto" w:fill="CFF0FC"/>
          </w:tcPr>
          <w:p>
            <w:pPr>
              <w:spacing w:after="0"/>
              <w:rPr>
                <w:sz w:val="21"/>
                <w:szCs w:val="21"/>
                <w:color w:val="auto"/>
              </w:rPr>
            </w:pPr>
          </w:p>
        </w:tc>
      </w:tr>
      <w:tr>
        <w:trPr>
          <w:trHeight w:val="238"/>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(8,554 )</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(10,046 )</w:t>
            </w:r>
          </w:p>
        </w:tc>
      </w:tr>
      <w:tr>
        <w:trPr>
          <w:trHeight w:val="243"/>
        </w:trPr>
        <w:tc>
          <w:tcPr>
            <w:tcW w:w="6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(7,250 )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(7,250 )</w:t>
            </w:r>
          </w:p>
        </w:tc>
      </w:tr>
      <w:tr>
        <w:trPr>
          <w:trHeight w:val="236"/>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583,864</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587,501</w:t>
            </w:r>
          </w:p>
        </w:tc>
        <w:tc>
          <w:tcPr>
            <w:tcW w:w="80" w:type="dxa"/>
            <w:vAlign w:val="bottom"/>
            <w:tcBorders>
              <w:top w:val="single" w:sz="8" w:color="CFF0FC"/>
            </w:tcBorders>
          </w:tcPr>
          <w:p>
            <w:pPr>
              <w:spacing w:after="0"/>
              <w:rPr>
                <w:sz w:val="20"/>
                <w:szCs w:val="20"/>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-187960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w:t>
      </w:r>
    </w:p>
    <w:p>
      <w:pPr>
        <w:spacing w:after="0" w:line="7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69"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p>
    <w:p>
      <w:pPr>
        <w:spacing w:after="0" w:line="7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September 30, 2024, the fee for unused commitments under the Revolving Facility was 0.25% and the applicable margin was 3.25%.</w:t>
      </w:r>
    </w:p>
    <w:p>
      <w:pPr>
        <w:spacing w:after="0" w:line="7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 On May 3, 2023, the Company prepaid $100 million of the outstanding principal amount of the Term Loan Facility. As a result, we wrote off $2.2 million of the deferred financing costs and unaccreted debt discount, which are included in Loss on extinguishment of debt in our Unaudited Condensed Consolidated Statements of Operations for the nine-month period ended September 30, 2023.</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w:t>
      </w:r>
    </w:p>
    <w:p>
      <w:pPr>
        <w:spacing w:after="0" w:line="117" w:lineRule="exact"/>
        <w:rPr>
          <w:sz w:val="20"/>
          <w:szCs w:val="20"/>
          <w:color w:val="auto"/>
        </w:rPr>
      </w:pPr>
    </w:p>
    <w:p>
      <w:pPr>
        <w:ind w:left="1020" w:right="3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subject to reduction to 25% and 0% if specified senior secured first lien net leverage ratio targets are met.</w:t>
      </w:r>
    </w:p>
    <w:p>
      <w:pPr>
        <w:spacing w:after="0" w:line="5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restrict the ability to incur liens securing the Facilities; and amendment of organizational documents; in each case subject to customary exceptions.</w:t>
      </w:r>
    </w:p>
    <w:p>
      <w:pPr>
        <w:spacing w:after="0" w:line="117"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Revolving Facility is available for working capital and general corporate purposes of GIH and its subsidiaries and was undrawn as of September 30, 2024 and December 31, 2023.</w:t>
      </w:r>
    </w:p>
    <w:p>
      <w:pPr>
        <w:spacing w:after="0" w:line="55"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As of September 30, 2024 and December 31, 2023, the outstanding principal amount of the Term Loan Facility was $601.4 million and $606.9 million, respectively, the unaccreted debt discount was $1.8 million and $2.1 million, respectively, and the net carrying amount was $599.7 million and $604.8 million, respectively.</w:t>
      </w:r>
    </w:p>
    <w:p>
      <w:pPr>
        <w:spacing w:after="0" w:line="6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$0.6 million and $1.8 million, respectively, for the three- and nine-month periods ended September 30, 2024 and $0.5 million and $1.8 million, respectively, for the prior-year periods and is included in interest expense in our Unaudited Condensed Consolidated Statements of Operations. As of September 30, 2024 and December 31, 2023, the balance of unamortized deferred financing costs related to the Facilities was $9.2 million and $11.1 million, respectively.</w:t>
      </w:r>
    </w:p>
    <w:p>
      <w:pPr>
        <w:spacing w:after="0" w:line="7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8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jc w:val="both"/>
        <w:ind w:right="400" w:firstLine="509"/>
        <w:spacing w:after="0" w:line="265"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6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 Committee of 0.26% increases beyond the applicable strike rate. The notional amounts of the interest rate caps periodically decrease over the life of the caps.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180" w:type="dxa"/>
            <w:vAlign w:val="bottom"/>
          </w:tcPr>
          <w:p>
            <w:pPr>
              <w:spacing w:after="0"/>
              <w:rPr>
                <w:sz w:val="21"/>
                <w:szCs w:val="21"/>
                <w:color w:val="auto"/>
              </w:rPr>
            </w:pPr>
          </w:p>
        </w:tc>
        <w:tc>
          <w:tcPr>
            <w:tcW w:w="1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End Date</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0" w:type="dxa"/>
            <w:vAlign w:val="bottom"/>
          </w:tcPr>
          <w:p>
            <w:pPr>
              <w:spacing w:after="0"/>
              <w:rPr>
                <w:sz w:val="21"/>
                <w:szCs w:val="21"/>
                <w:color w:val="auto"/>
              </w:rPr>
            </w:pP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Strike Rate</w:t>
            </w:r>
          </w:p>
        </w:tc>
        <w:tc>
          <w:tcPr>
            <w:tcW w:w="160" w:type="dxa"/>
            <w:vAlign w:val="bottom"/>
          </w:tcPr>
          <w:p>
            <w:pPr>
              <w:spacing w:after="0"/>
              <w:rPr>
                <w:sz w:val="21"/>
                <w:szCs w:val="2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7/31/2021</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7/31/2024</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-761365</wp:posOffset>
            </wp:positionV>
            <wp:extent cx="4272915"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-453390</wp:posOffset>
            </wp:positionV>
            <wp:extent cx="427291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-144780</wp:posOffset>
            </wp:positionV>
            <wp:extent cx="427291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72915" cy="154305"/>
                    </a:xfrm>
                    <a:prstGeom prst="rect">
                      <a:avLst/>
                    </a:prstGeom>
                    <a:noFill/>
                  </pic:spPr>
                </pic:pic>
              </a:graphicData>
            </a:graphic>
          </wp:anchor>
        </w:drawing>
      </w:r>
    </w:p>
    <w:p>
      <w:pPr>
        <w:spacing w:after="0" w:line="19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(loss)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No gains or losses of our cash flow hedges</w:t>
      </w:r>
    </w:p>
    <w:p>
      <w:pPr>
        <w:sectPr>
          <w:pgSz w:w="11900" w:h="16838" w:orient="portrait"/>
          <w:cols w:equalWidth="0" w:num="1">
            <w:col w:w="11220"/>
          </w:cols>
          <w:pgMar w:left="320" w:top="764" w:right="35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were considered to be ineffective and reclassified from other comprehensive income (loss) to earnings for the three- and nine-month periods ended September 30, 2024. For the three-month period ended September 30, 2023, approximately $0.2 million in net unrealized losses from our cash flow hedges were considered to be ineffective and reclassified from other comprehensive income (loss) to earnings. The unrealized loss was offset with an unrealized gain from the previous quarter for a net zero impact for nine-month period ended September 30, 2023. The ineffective portion was the result of a voluntary partial de-designation of the hedge relationship related to a prepayment of our existing variable-rate debt discussed in Note 8, “Long-Term Debt and Other Liabilities.” We estimate that approximately $2.3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three-month period ended September 30, 2024, we recorded a decrease in fair value on the interest rate caps of $7.7 million, net of tax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million, and for the nine-month period ended September 30, 2024, we recorded a decrease in fair value on the interest rate caps of $12.7 million, net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of $3.5 million. For the three-month period ended September 30, 2023, we recorded a decrease in fair value on the interest rate caps of $1.7 million,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tax of $0.4 million and for the nine-month period ended September 30, 2023, we recorded a decrease in fair value on the interest rate caps of $7.2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net of tax of $2.1 million. Increases and decreases in fair value on interest rate caps above exclude amortization of the purchase price paid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caps.</w:t>
      </w:r>
    </w:p>
    <w:p>
      <w:pPr>
        <w:spacing w:after="0" w:line="98"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Unaudited Condensed Consolidated Balance Sheets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0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shd w:val="clear" w:color="auto" w:fill="CFF0FC"/>
          </w:tcPr>
          <w:p>
            <w:pPr>
              <w:spacing w:after="0"/>
              <w:rPr>
                <w:sz w:val="21"/>
                <w:szCs w:val="2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Pr>
          <w:p>
            <w:pPr>
              <w:spacing w:after="0"/>
              <w:rPr>
                <w:sz w:val="20"/>
                <w:szCs w:val="20"/>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17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Costs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three- and nine-month periods ended September 30, 2024 and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300" w:type="dxa"/>
            <w:vAlign w:val="bottom"/>
          </w:tcPr>
          <w:p>
            <w:pPr>
              <w:spacing w:after="0"/>
              <w:rPr>
                <w:sz w:val="18"/>
                <w:szCs w:val="18"/>
                <w:color w:val="auto"/>
              </w:rPr>
            </w:pPr>
          </w:p>
        </w:tc>
        <w:tc>
          <w:tcPr>
            <w:tcW w:w="27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4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300" w:type="dxa"/>
            <w:vAlign w:val="bottom"/>
          </w:tcPr>
          <w:p>
            <w:pPr>
              <w:spacing w:after="0"/>
              <w:rPr>
                <w:sz w:val="21"/>
                <w:szCs w:val="21"/>
                <w:color w:val="auto"/>
              </w:rPr>
            </w:pPr>
          </w:p>
        </w:tc>
        <w:tc>
          <w:tcPr>
            <w:tcW w:w="27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40"/>
        </w:trPr>
        <w:tc>
          <w:tcPr>
            <w:tcW w:w="49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42,254</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the purchase price of interest rate caps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cap benefit</w:t>
            </w:r>
          </w:p>
        </w:tc>
        <w:tc>
          <w:tcPr>
            <w:tcW w:w="3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(4,730 )</w:t>
            </w:r>
          </w:p>
        </w:tc>
        <w:tc>
          <w:tcPr>
            <w:tcW w:w="3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(6,589 )</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(17,599 )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(20,422 )</w:t>
            </w:r>
          </w:p>
        </w:tc>
      </w:tr>
      <w:tr>
        <w:trPr>
          <w:trHeight w:val="243"/>
        </w:trPr>
        <w:tc>
          <w:tcPr>
            <w:tcW w:w="4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costs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-658495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-658495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-658495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114"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6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defined as unobservable inputs in which little or no market data exists, therefore requiring an entity to develop its own assumptions.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9, “Derivative Instruments and Hedging Activities,” for fair value information relating to our interest rate caps.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Investment in Convertible Note:</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February 26, 2024, Gogo invested $5 million in a convertible note offering (“Investment in Convertible Note”). The Investment in Convertible Note accrues interest at 5% per annum, payable upon maturity of the note or upon conversion, and matures two years after the date of issuance. We have elected to measure our Investment in Convertible Note using the fair value option and record changes in fair value, including accrued interest, in Other (income) expense, net on the Unaudited Condensed Consolidated Statements of Operations. The Company elected the fair value option for the Investment in Convertible Note to eliminate complexities of applying certain accounting models.</w:t>
      </w:r>
    </w:p>
    <w:p>
      <w:pPr>
        <w:spacing w:after="0" w:line="7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fair value of the Investment in Convertible Note is measured using Level 3 (unobservable) inputs. The Company, with the assistance of a third-party valuation specialist, determined the fair value using a binomial lattice model. The significant assumptions used in the model include the yield, equity volatility, outstanding principal, remaining term, stated interest rate, risk-free interest rate and the current publicly available stock price. The yield is estimated using similar security yields for companies with similar credit ratings. Equity volatility is estimated based on observed equity volatility for similar companies. The outstanding principal, remaining term and stated interest rate are all determined based on contractually defined terms and the risk-free interest rate is determined by reference to the U.S. Treasury yield curve in effect at the time of measurement for time periods approximately equal to the remaining time to maturity.</w:t>
      </w:r>
    </w:p>
    <w:p>
      <w:pPr>
        <w:spacing w:after="0" w:line="77" w:lineRule="exact"/>
        <w:rPr>
          <w:sz w:val="20"/>
          <w:szCs w:val="20"/>
          <w:color w:val="auto"/>
        </w:rPr>
      </w:pPr>
    </w:p>
    <w:p>
      <w:pPr>
        <w:ind w:right="860" w:firstLine="509"/>
        <w:spacing w:after="0" w:line="283" w:lineRule="auto"/>
        <w:rPr>
          <w:sz w:val="20"/>
          <w:szCs w:val="20"/>
          <w:color w:val="auto"/>
        </w:rPr>
      </w:pPr>
      <w:r>
        <w:rPr>
          <w:rFonts w:ascii="Times New Roman" w:cs="Times New Roman" w:eastAsia="Times New Roman" w:hAnsi="Times New Roman"/>
          <w:sz w:val="18"/>
          <w:szCs w:val="18"/>
          <w:color w:val="auto"/>
        </w:rPr>
        <w:t xml:space="preserve">The reconciliation of beginning and ending balances of the Investment in Convertible Note as of September 30, 2024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764" w:right="359" w:bottom="1440" w:gutter="0" w:footer="0" w:header="0"/>
        </w:sectPr>
      </w:pPr>
    </w:p>
    <w:p>
      <w:pPr>
        <w:spacing w:after="0" w:line="6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5080</wp:posOffset>
            </wp:positionV>
            <wp:extent cx="11042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5080</wp:posOffset>
            </wp:positionV>
            <wp:extent cx="10960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46" w:lineRule="exact"/>
        <w:rPr>
          <w:sz w:val="20"/>
          <w:szCs w:val="20"/>
          <w:color w:val="auto"/>
        </w:rPr>
      </w:pPr>
    </w:p>
    <w:p>
      <w:pPr>
        <w:sectPr>
          <w:pgSz w:w="11900" w:h="16838" w:orient="portrait"/>
          <w:cols w:equalWidth="0" w:num="2">
            <w:col w:w="7520" w:space="720"/>
            <w:col w:w="2980"/>
          </w:cols>
          <w:pgMar w:left="320" w:top="764" w:right="359" w:bottom="1440" w:gutter="0" w:footer="0" w:header="0"/>
          <w:type w:val="continuous"/>
        </w:sectPr>
      </w:pPr>
    </w:p>
    <w:tbl>
      <w:tblPr>
        <w:tblLayout w:type="fixed"/>
        <w:tblInd w:w="1420" w:type="dxa"/>
        <w:tblCellMar>
          <w:top w:w="0" w:type="dxa"/>
          <w:left w:w="0" w:type="dxa"/>
          <w:bottom w:w="0" w:type="dxa"/>
          <w:right w:w="0" w:type="dxa"/>
        </w:tblCellMar>
      </w:tblPr>
      <w:tr>
        <w:trPr>
          <w:trHeight w:val="20"/>
        </w:trPr>
        <w:tc>
          <w:tcPr>
            <w:tcW w:w="4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9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r>
      <w:tr>
        <w:trPr>
          <w:trHeight w:val="243"/>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7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(1,239 )</w:t>
            </w:r>
          </w:p>
        </w:tc>
      </w:tr>
      <w:tr>
        <w:trPr>
          <w:trHeight w:val="20"/>
        </w:trPr>
        <w:tc>
          <w:tcPr>
            <w:tcW w:w="45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-187960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2024 and December 31, 2023, our only financial asset and liability disclosed but not measured at fair value is the Term Loan Facility, which is reflected on the Unaudited Condensed Consolidated Balance Sheets at cost. The fair value measurement is classified as Level 2 within the fair value hierarchy since it is based on quoted market prices of our instrument in markets that are not active. We estimated the fair value of the Term Loan Facility by calculating the upfront cash payment a market participant would require to assume this obligation. The upfront cash payment used in the calculation of fair value on our September 30, 2024 Unaudited Condensed Consolidated Balance Sheets, excluding any issuance costs, is the amount that a market participant would be willing to lend at such date to an entity with a credit rating similar to ours and that would allow such an entity to achieve sufficient cash inflows to cover the scheduled cash outflows under the Term Loan Facility.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September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8"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Pr>
          <w:p>
            <w:pPr>
              <w:spacing w:after="0"/>
              <w:rPr>
                <w:sz w:val="20"/>
                <w:szCs w:val="20"/>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2"/>
              </w:rPr>
              <w:t xml:space="preserve">Fair Value </w:t>
            </w:r>
            <w:r>
              <w:rPr>
                <w:rFonts w:ascii="Times New Roman" w:cs="Times New Roman" w:eastAsia="Times New Roman" w:hAnsi="Times New Roman"/>
                <w:sz w:val="24"/>
                <w:szCs w:val="24"/>
                <w:b w:val="1"/>
                <w:bCs w:val="1"/>
                <w:i w:val="1"/>
                <w:iCs w:val="1"/>
                <w:color w:val="auto"/>
                <w:w w:val="92"/>
                <w:vertAlign w:val="superscript"/>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1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4"/>
                <w:szCs w:val="24"/>
                <w:b w:val="1"/>
                <w:bCs w:val="1"/>
                <w:i w:val="1"/>
                <w:iCs w:val="1"/>
                <w:color w:val="auto"/>
                <w:vertAlign w:val="superscript"/>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40" w:type="dxa"/>
            <w:vAlign w:val="bottom"/>
          </w:tcPr>
          <w:p>
            <w:pPr>
              <w:spacing w:after="0"/>
              <w:rPr>
                <w:sz w:val="21"/>
                <w:szCs w:val="21"/>
                <w:color w:val="auto"/>
              </w:rPr>
            </w:pPr>
          </w:p>
        </w:tc>
        <w:tc>
          <w:tcPr>
            <w:tcW w:w="1180" w:type="dxa"/>
            <w:vAlign w:val="bottom"/>
            <w:tcBorders>
              <w:bottom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line="236" w:lineRule="exact"/>
              <w:rPr>
                <w:sz w:val="20"/>
                <w:szCs w:val="20"/>
                <w:color w:val="auto"/>
              </w:rPr>
            </w:pPr>
            <w:r>
              <w:rPr>
                <w:rFonts w:ascii="Times New Roman" w:cs="Times New Roman" w:eastAsia="Times New Roman" w:hAnsi="Times New Roman"/>
                <w:sz w:val="18"/>
                <w:szCs w:val="18"/>
                <w:color w:val="auto"/>
              </w:rPr>
              <w:t xml:space="preserve">599,668 </w:t>
            </w:r>
            <w:r>
              <w:rPr>
                <w:rFonts w:ascii="Times New Roman" w:cs="Times New Roman" w:eastAsia="Times New Roman" w:hAnsi="Times New Roman"/>
                <w:sz w:val="24"/>
                <w:szCs w:val="24"/>
                <w:i w:val="1"/>
                <w:iCs w:val="1"/>
                <w:color w:val="auto"/>
                <w:vertAlign w:val="superscript"/>
              </w:rPr>
              <w:t>(2)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line="236" w:lineRule="exact"/>
              <w:rPr>
                <w:sz w:val="20"/>
                <w:szCs w:val="20"/>
                <w:color w:val="auto"/>
              </w:rPr>
            </w:pPr>
            <w:r>
              <w:rPr>
                <w:rFonts w:ascii="Times New Roman" w:cs="Times New Roman" w:eastAsia="Times New Roman" w:hAnsi="Times New Roman"/>
                <w:sz w:val="18"/>
                <w:szCs w:val="18"/>
                <w:color w:val="auto"/>
              </w:rPr>
              <w:t xml:space="preserve">604,797 </w:t>
            </w:r>
            <w:r>
              <w:rPr>
                <w:rFonts w:ascii="Times New Roman" w:cs="Times New Roman" w:eastAsia="Times New Roman" w:hAnsi="Times New Roman"/>
                <w:sz w:val="24"/>
                <w:szCs w:val="24"/>
                <w:i w:val="1"/>
                <w:iCs w:val="1"/>
                <w:color w:val="auto"/>
                <w:vertAlign w:val="superscript"/>
              </w:rPr>
              <w:t>(2)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27" w:lineRule="exact"/>
        <w:rPr>
          <w:rFonts w:ascii="Times New Roman" w:cs="Times New Roman" w:eastAsia="Times New Roman" w:hAnsi="Times New Roman"/>
          <w:sz w:val="18"/>
          <w:szCs w:val="18"/>
          <w:i w:val="1"/>
          <w:iCs w:val="1"/>
          <w:color w:val="auto"/>
        </w:rPr>
      </w:pPr>
    </w:p>
    <w:p>
      <w:pPr>
        <w:ind w:left="520" w:right="560" w:hanging="512"/>
        <w:spacing w:after="0" w:line="260" w:lineRule="auto"/>
        <w:tabs>
          <w:tab w:leader="none" w:pos="5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Term Loan Facility reflects the unaccreted debt discount of $1.8 million and $2.1 million as of September 30, 2024 and December 31, 2023, respectively. See Note 8, “Long-Term Debt and Other Liabilities,” for further information.</w:t>
      </w:r>
    </w:p>
    <w:p>
      <w:pPr>
        <w:spacing w:after="0" w:line="70" w:lineRule="exact"/>
        <w:rPr>
          <w:rFonts w:ascii="Times New Roman" w:cs="Times New Roman" w:eastAsia="Times New Roman" w:hAnsi="Times New Roman"/>
          <w:sz w:val="18"/>
          <w:szCs w:val="18"/>
          <w:i w:val="1"/>
          <w:iCs w:val="1"/>
          <w:color w:val="auto"/>
        </w:rPr>
      </w:pPr>
    </w:p>
    <w:p>
      <w:pPr>
        <w:ind w:left="5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Equity Investment:</w:t>
      </w:r>
    </w:p>
    <w:p>
      <w:pPr>
        <w:spacing w:after="0" w:line="11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During the three-month period ended September 30, 2023, we purchased an equity investment in a publicly traded company for $5.0 million. The equity investment is included in Other non-current assets on the Unaudited Condensed Consolidated Balance Sheets and is recorded at fair value. The equity investment is classified as a Level 1 within the fair value hierarchy based on the quoted stock price on the New York Stock Exchange American Exchange, an active market. For the three- and nine-month periods ended September 30, 2023, we recorded an unrealized holding gain in the equity investment of $0.8 million which is included in Other (income) expense, net in our Unaudited Condensed Consolidated Statements of Operations. This equity investment was sold in the fourth quarter of 2023.</w:t>
      </w:r>
    </w:p>
    <w:p>
      <w:pPr>
        <w:spacing w:after="0" w:line="182"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401(k) Plan</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 </w:t>
      </w:r>
      <w:r>
        <w:rPr>
          <w:rFonts w:ascii="Times New Roman" w:cs="Times New Roman" w:eastAsia="Times New Roman" w:hAnsi="Times New Roman"/>
          <w:sz w:val="18"/>
          <w:szCs w:val="18"/>
          <w:color w:val="auto"/>
        </w:rPr>
        <w:t>As of September 30, 2024, we maintained the 2024 Omnibus Equity Incentive Plan (the “2024 Plan”),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the Second Amended and Restated 2016 Omnibus Incentive Plan (the “2016 Plan”). The 2024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Concurrent with the effectiveness of the 2024 Plan on June 4, 2024, no further grants are being made under the 2016 Plan. The 2016 Plan remains in effect for all awards outstanding thereunder on or after June 4, 2024. See Note 12, “Stock-Based Compensation and 401(k) Plan,” in our 2023 10-K for further information regarding the 2016 Plan. The majority of our equity grants are awarded on an annual basis.</w:t>
      </w:r>
    </w:p>
    <w:p>
      <w:pPr>
        <w:spacing w:after="0" w:line="78"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For the nine-month period ended September 30, 2024, no options to purchase shares of common stock were granted, options to purchase 221,854 shares of common stock were exercised, no options to purchase shares of common stock were forfeited and 44,614 options to purchase shares of common stock expired.</w:t>
      </w:r>
    </w:p>
    <w:p>
      <w:pPr>
        <w:spacing w:after="0" w:line="69"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For the nine-month period ended September 30, 2024, 1,964,385 RSUs were granted, 1,342,875 RSUs vested and 280,718 RSUs were forfeited. The fair value of the RSUs granted during the nine-month period ended September 30, 2024 was approximately $16.6 million, which will generally be recognized over a period of four years.</w:t>
      </w:r>
    </w:p>
    <w:p>
      <w:pPr>
        <w:spacing w:after="0" w:line="69"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For the nine-month period ended September 30, 2024, 159,881 deferred stock units were granted, 65,669 vested and 169,683 were settled. The fair value of the deferred stock units granted during the nine-month period ended September 30, 2024 was approximately $1.3 million, approximately one-third of which was recognized immediately and the remainder of which will be recognized over a period of one year.</w:t>
      </w:r>
    </w:p>
    <w:p>
      <w:pPr>
        <w:spacing w:after="0" w:line="69"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-1095375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-1095375</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-1095375</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-1095375</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0" w:lineRule="exact"/>
        <w:rPr>
          <w:sz w:val="20"/>
          <w:szCs w:val="20"/>
          <w:color w:val="auto"/>
        </w:rPr>
      </w:pPr>
    </w:p>
    <w:p>
      <w:pPr>
        <w:ind w:right="2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401(k) Plan — </w:t>
      </w:r>
      <w:r>
        <w:rPr>
          <w:rFonts w:ascii="Times New Roman" w:cs="Times New Roman" w:eastAsia="Times New Roman" w:hAnsi="Times New Roman"/>
          <w:sz w:val="18"/>
          <w:szCs w:val="18"/>
          <w:color w:val="auto"/>
        </w:rPr>
        <w:t>Under our 401(k) plan, all employees who are eligible to participate are entitled to make tax-deferred contributions,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Service limitations. We match 100% of the employee’s first 4% of contributions made, subject to annual limitations. Our matching contributions were $0.6 million and $1.8 million, respectively, during the three- and nine-month periods ended September 30, 2024, and $0.5 million and $1.6 million, respectively, for the prior-year periods.</w:t>
      </w:r>
    </w:p>
    <w:p>
      <w:pPr>
        <w:spacing w:after="0" w:line="17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effective income tax rates for the three- and nine-month periods ended September 30, 2024 were 12.5% and 23.1%, respectively, compared to 24.3% and (67.1)%, respectively, for the prior-year periods. For the three-month period ended September 30, 2024, our effective income tax rate was lower than the U.S. federal statutory rate of 21% primarily due to deferred tax adjustments and tax benefits related to domestic research and development tax credits, partially offset by state income taxes. For the nine-month period ended September 30, 2024, our effective income tax rate was higher than the U.S. federal statutory rate of 21% primarily due to state income taxes and stock-based compensation partially offset by tax benefits related to domestic research and development tax credits and deferred tax adjustments. For the three-month period ended September 30, 2023, our effective income tax rate was higher than the U.S. federal statutory rate of 21% due to state income taxes. For the nine-month period ended September 30, 2023, our effective income tax rate was lower than the U.S. federal statutory rate of 21% due to a partial release of the valuation allowance on our deferred income tax assets, partially offset by state income taxes.</w:t>
      </w:r>
    </w:p>
    <w:p>
      <w:pPr>
        <w:spacing w:after="0" w:line="7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certain state credits, foreign net operating losses and capital loss carryforwards as it is more likely than not as of September 30, 2024 that these deferred tax assets will not be realized.</w:t>
      </w:r>
    </w:p>
    <w:p>
      <w:pPr>
        <w:spacing w:after="0" w:line="78" w:lineRule="exact"/>
        <w:rPr>
          <w:sz w:val="20"/>
          <w:szCs w:val="20"/>
          <w:color w:val="auto"/>
        </w:rPr>
      </w:pPr>
    </w:p>
    <w:p>
      <w:pPr>
        <w:jc w:val="both"/>
        <w:ind w:right="460" w:firstLine="509"/>
        <w:spacing w:after="0" w:line="265"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and many states, Brazil, Canada, Mexico and the United Kingdom. With few exceptions, as of September 30, 2024 we are no longer subject to U.S. federal, state, local or foreign examinations by tax authorities for years before 2020.</w:t>
      </w:r>
    </w:p>
    <w:p>
      <w:pPr>
        <w:spacing w:after="0" w:line="69" w:lineRule="exact"/>
        <w:rPr>
          <w:sz w:val="20"/>
          <w:szCs w:val="20"/>
          <w:color w:val="auto"/>
        </w:rPr>
      </w:pPr>
    </w:p>
    <w:p>
      <w:pPr>
        <w:jc w:val="both"/>
        <w:ind w:right="180" w:firstLine="509"/>
        <w:spacing w:after="0" w:line="288" w:lineRule="auto"/>
        <w:rPr>
          <w:sz w:val="20"/>
          <w:szCs w:val="20"/>
          <w:color w:val="auto"/>
        </w:rPr>
      </w:pPr>
      <w:r>
        <w:rPr>
          <w:rFonts w:ascii="Times New Roman" w:cs="Times New Roman" w:eastAsia="Times New Roman" w:hAnsi="Times New Roman"/>
          <w:sz w:val="17"/>
          <w:szCs w:val="17"/>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 and nine-month periods ended September 30, 2024 and 2023. As of September 30, 2024 and December 31, 2023, we did not have a liability recorded for interest or potential penalties.</w:t>
      </w:r>
    </w:p>
    <w:p>
      <w:pPr>
        <w:spacing w:after="0" w:line="15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and Financing Leases — </w:t>
      </w:r>
      <w:r>
        <w:rPr>
          <w:rFonts w:ascii="Times New Roman" w:cs="Times New Roman" w:eastAsia="Times New Roman" w:hAnsi="Times New Roman"/>
          <w:sz w:val="18"/>
          <w:szCs w:val="18"/>
          <w:color w:val="auto"/>
        </w:rPr>
        <w:t>We determine whether a contract contains a lease at contract inception. Lease liabilities are calculated using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 As of September 30, 2024, there were no significant leases which had not commenced.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5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4920" w:type="dxa"/>
            <w:vAlign w:val="bottom"/>
          </w:tcPr>
          <w:p>
            <w:pPr>
              <w:spacing w:after="0"/>
              <w:rPr>
                <w:sz w:val="21"/>
                <w:szCs w:val="21"/>
                <w:color w:val="auto"/>
              </w:rPr>
            </w:pPr>
          </w:p>
        </w:tc>
        <w:tc>
          <w:tcPr>
            <w:tcW w:w="25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40"/>
        </w:trPr>
        <w:tc>
          <w:tcPr>
            <w:tcW w:w="49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1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7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1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shd w:val="clear" w:color="auto" w:fill="CFF0FC"/>
          </w:tcPr>
          <w:p>
            <w:pPr>
              <w:spacing w:after="0"/>
              <w:rPr>
                <w:sz w:val="24"/>
                <w:szCs w:val="24"/>
                <w:color w:val="auto"/>
              </w:rPr>
            </w:pPr>
          </w:p>
        </w:tc>
      </w:tr>
      <w:tr>
        <w:trPr>
          <w:trHeight w:val="632"/>
        </w:trPr>
        <w:tc>
          <w:tcPr>
            <w:tcW w:w="49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-932815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-915670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-932815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-915670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-932815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-915670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 xml:space="preserve">Other information regarding our leases is as follows </w:t>
            </w:r>
            <w:r>
              <w:rPr>
                <w:rFonts w:ascii="Times New Roman" w:cs="Times New Roman" w:eastAsia="Times New Roman" w:hAnsi="Times New Roman"/>
                <w:sz w:val="18"/>
                <w:szCs w:val="18"/>
                <w:i w:val="1"/>
                <w:iCs w:val="1"/>
                <w:color w:val="auto"/>
              </w:rPr>
              <w:t>(in thousands, except lease terms and discount rates)</w:t>
            </w: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45"/>
        </w:trPr>
        <w:tc>
          <w:tcPr>
            <w:tcW w:w="7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40"/>
        </w:trPr>
        <w:tc>
          <w:tcPr>
            <w:tcW w:w="7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financing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used in financing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leases obtained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 years</w:t>
            </w: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 years</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year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6.9 %</w:t>
            </w: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9.0 %</w:t>
            </w:r>
          </w:p>
        </w:tc>
        <w:tc>
          <w:tcPr>
            <w:tcW w:w="2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337"/>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September 30,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6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40" w:type="dxa"/>
            <w:vAlign w:val="bottom"/>
          </w:tcPr>
          <w:p>
            <w:pPr>
              <w:spacing w:after="0"/>
              <w:rPr>
                <w:sz w:val="24"/>
                <w:szCs w:val="24"/>
                <w:color w:val="auto"/>
              </w:rPr>
            </w:pPr>
          </w:p>
        </w:tc>
        <w:tc>
          <w:tcPr>
            <w:tcW w:w="14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0" w:type="dxa"/>
            <w:vAlign w:val="bottom"/>
          </w:tcPr>
          <w:p>
            <w:pPr>
              <w:spacing w:after="0"/>
              <w:rPr>
                <w:sz w:val="1"/>
                <w:szCs w:val="1"/>
                <w:color w:val="auto"/>
              </w:rPr>
            </w:pPr>
          </w:p>
        </w:tc>
      </w:tr>
      <w:tr>
        <w:trPr>
          <w:trHeight w:val="207"/>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Pr>
          <w:p>
            <w:pPr>
              <w:spacing w:after="0"/>
              <w:rPr>
                <w:sz w:val="21"/>
                <w:szCs w:val="21"/>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40" w:type="dxa"/>
            <w:vAlign w:val="bottom"/>
          </w:tcPr>
          <w:p>
            <w:pPr>
              <w:spacing w:after="0"/>
              <w:rPr>
                <w:sz w:val="21"/>
                <w:szCs w:val="21"/>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(period from October 1 to December 31)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97,433</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(18,252 )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79,181</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September 30, 2024</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79,181</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-3047365</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-829945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-812800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6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September 18, 2024, we entered into an amendment (the “Amendment”) to that certain OneWeb Distribution Partner Agreement by and between Gogo Business Aviation LLC and Network Access Associates Limited (“Eutelsat OneWeb”), dated as of May 19, 2022 and as previously amended on October 5, 2022 (the “Original Agreement”). Pursuant to the Original Agreement, Gogo partners with Eutelsat OneWeb to utilize its global low earth orbit satellite network. Pursuant to the Amendment, Gogo has made a total guaranteed minimum commitment of $52.5 million over a four-year term, with an option to extend. Following the initial term, the Amendment will automatically renew for successive one-year periods unless one party provides written notice of its intent not to renew, and either party may terminate the Amendment for breach or for insolvency rights. The Amendment also contains customary terms regarding confidentiality, indemnification and limitation of liability.</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May 17, 2024, Airspan Networks Holdings Inc. (“Airspan”) filed a plan supplement to its Joint Prepackaged Chapter 11 Plan of Reorganization, Case No. 24-10621 (the “Plan”), whereby the Company and Fortress Credit Corp. (“Fortress”) agreed in principle to each provide fifty percent (50%) of a new first lien revolving facility in an aggregate committed principal amount of $20.0 million (the “New Revolving Credit Facility”). Unless otherwise extended by the parties, any amounts outstanding under the New Revolving Credit Facility shall be due and payable in full on the first anniversary of the closing date of the New Revolving Credit</w:t>
      </w:r>
    </w:p>
    <w:p>
      <w:pPr>
        <w:sectPr>
          <w:pgSz w:w="11900" w:h="16838" w:orient="portrait"/>
          <w:cols w:equalWidth="0" w:num="1">
            <w:col w:w="11300"/>
          </w:cols>
          <w:pgMar w:left="320" w:top="764" w:right="279" w:bottom="1440" w:gutter="0" w:footer="0" w:header="0"/>
        </w:sectPr>
      </w:pP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Facility. The Plan, including the Company’s participation in the New Revolving Credit Facility, was approved by the Bankruptcy Court for the District of Delaware on June 28, 2024. On June 27, 2024, Airspan and the Company amended the Master Service Agreement, dated November 25, 2019. Further, on October 11, 2024, in connection with Airspan becoming a private company, the Company, Airspan and Fortress executed the necessary documents for the New Revolving Credit Facility to become active.</w:t>
      </w:r>
    </w:p>
    <w:p>
      <w:pPr>
        <w:spacing w:after="0" w:line="7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brought suit against Gogo Inc. and its subsidiary Gogo Business Aviation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in the U.S. District Court for the District of Delaware (the “Court”) alleging that Gogo 5G infringes four patents owned by the plaintiff. On February 21, 2023, the plaintiff amended its complaint to allege that Gogo 5G infringes two additional patents recently issued to the plaintiff. The suit seeks compensatory damages as well as treble damages for alleged willful infringement and reimbursement of plaintiff's costs, disbursements and attorneys' fees. On May 29, 2024, Gogo Inc. and its subsidiary Gogo Business Aviation LLC amended its answer and counterclaims in the same suit, alleging that three of the six patents asserted by SmartSky are unenforceable due to inequitable conduct before the U.S. Patent Office. A trial date has been scheduled for April 14, 2025. Claim construction proceedings, fact discovery and expert discovery are completed. Dispositive motions are expected to follow in advance of the trial date. We continue to vigorously defend our position in the infringement suit. The outcome of the underlying litigation is inherently uncertain. No amounts have been accrued for any potential losses under this matter, as we cannot reasonably predict the outcome of the litigation or any potential losses.</w:t>
      </w:r>
    </w:p>
    <w:p>
      <w:pPr>
        <w:spacing w:after="0" w:line="8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At this time, no schedule has been adopted for Gogo's counterclaims.</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78"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1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(10,711 )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(10,837 )</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8"/>
        </w:trPr>
        <w:tc>
          <w:tcPr>
            <w:tcW w:w="114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2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363"/>
        </w:trPr>
        <w:tc>
          <w:tcPr>
            <w:tcW w:w="1140" w:type="dxa"/>
            <w:vAlign w:val="bottom"/>
          </w:tcPr>
          <w:p>
            <w:pPr>
              <w:spacing w:after="0"/>
              <w:rPr>
                <w:sz w:val="24"/>
                <w:szCs w:val="24"/>
                <w:color w:val="auto"/>
              </w:rPr>
            </w:pPr>
          </w:p>
        </w:tc>
        <w:tc>
          <w:tcPr>
            <w:tcW w:w="53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(6,338 )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(6,215 )</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8"/>
        </w:trPr>
        <w:tc>
          <w:tcPr>
            <w:tcW w:w="114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25,015</w:t>
            </w:r>
          </w:p>
        </w:tc>
        <w:tc>
          <w:tcPr>
            <w:tcW w:w="2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23,913</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0"/>
        </w:trPr>
        <w:tc>
          <w:tcPr>
            <w:tcW w:w="1140" w:type="dxa"/>
            <w:vAlign w:val="bottom"/>
          </w:tcPr>
          <w:p>
            <w:pPr>
              <w:spacing w:after="0"/>
              <w:rPr>
                <w:sz w:val="24"/>
                <w:szCs w:val="24"/>
                <w:color w:val="auto"/>
              </w:rPr>
            </w:pPr>
          </w:p>
        </w:tc>
        <w:tc>
          <w:tcPr>
            <w:tcW w:w="5300" w:type="dxa"/>
            <w:vAlign w:val="bottom"/>
            <w:tcBorders>
              <w:top w:val="single" w:sz="8" w:color="CFF0FC"/>
            </w:tcBorders>
          </w:tcPr>
          <w:p>
            <w:pPr>
              <w:ind w:left="44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-2662555</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-2662555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-2662555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-2336800</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-2319655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-2336800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-2319655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-2336800</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-2319655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-1257935</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-1257935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-1257935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-932815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-915670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-932815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-915670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-932815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-915670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7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revenue from the provision of our connectivity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Gogo 5G, Gogo Galileo or other next generation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outside of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outbreaks of contagious diseases, and the measures implemented to combat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supply chain and logistics issues and increasing inflation;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and pursue strategic opportunities, including acquisitions, as well as integrate them into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components and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3MHz of ATG spectrum in the United States and obtain rights to additional spectrum if needed;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open-source software;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 or material defects or errors in our software;</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interruptions or delays, technology failures, equipment damage or system disruptions or failures, including any arising from cyber-attacks;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products and services;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participation in the Federal Communications Commission (“FCC”) Reimbursement Program;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foreign ownership limitations;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anti-corruption and anti-money laundering laws;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 and legal, regulatory or market responses to it;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24" w:name="page25"/>
    <w:bookmarkEnd w:id="24"/>
    <w:p>
      <w:pPr>
        <w:ind w:left="1020" w:right="22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limitations and restrictions in the agreements governing our current and future indebtedness and our ability to service our indebtedness;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 and</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6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“Risk Factors” in the 2023 10-K, in Item 1A of our Quarterly Report on Form 10-Q for the quarter ended March 31, 2024, as filed with the SEC on May 7, 2024 (the “2024 Q1 10-Q”), in Item 1A of our Quarterly Report on Form 10-Q for the quarter ended June 30, 2024, as filed with the SEC on August 7, 2024 (the “2024 Q2 10-Q”), and in Item 1A of this Quarterly Report on Form 10-Q.</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spacing w:after="0" w:line="7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2023 10-K, in Item 1A of the 2024 Q1 10-Q, in Item 1A of the 2024 Q2 10-Q and in Item 1A and “Special Note Regarding Forward-Looking Statements” in this Quarterly Report on Form 10-Q. Our actual results may differ materially from those contained in or implied by any forward-looking statements.</w:t>
      </w:r>
    </w:p>
    <w:p>
      <w:pPr>
        <w:spacing w:after="0" w:line="72"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Gogo is a leading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are currently developing our fourth ATG network – Gogo 5G – that we expect to commercially launch late in the second quarter of 2025. Simultaneous with the development of Gogo 5G, we are actively working with a subset of AVANCE customers and customers utilizing our legacy Gogo Biz ATG airborne system operating on our ground 3G and 4G networks to upgrade to an AVANCE system compatible with a new LTE network. We anticipate this subset of customers will see improved performance because of this network transition, which is expected to occur in early 2026. The cost for the transition to the new LTE network is partially being reimbursed through our participation in the Federal Communications Commission (“FCC”) Secure and Trusted Communications Networks Reimbursement Program (the “FCC Reimbursement Program”).</w:t>
      </w:r>
    </w:p>
    <w:p>
      <w:pPr>
        <w:spacing w:after="0" w:line="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all models of business aircraft (“Gogo Galileo”). The service will use electronically steered antennas (“ESAs”), specifically designed to address a broad range of business aviation aircraft, operating on a low earth orbit (“LEO”) satellite network. The half duplex (“HDX”) antenna is designed to fit on any size business aircraft and is targeted for commercial launch in the fourth quarter of 2024. The full duplex (“FDX”) antenna is designed for larger aircraft and is targeted for commercial launch in the second quarter of 2025. We believe that Gogo Galileo, in combination with, or as an alternative to, our ATG systems will allow us to increase our penetration of the North American market and provide an upgrade path for our existing ATG customer base. In addition, we believe that Gogo Galileo will allow us to penetrate the business aviation market outside of North America, where only approximately 6% of business aviation aircraft are installed with in-flight connectivity systems.</w:t>
      </w:r>
    </w:p>
    <w:p>
      <w:pPr>
        <w:spacing w:after="0" w:line="83"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jc w:val="both"/>
        <w:ind w:right="420" w:firstLine="509"/>
        <w:spacing w:after="0" w:line="265"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9" w:lineRule="exact"/>
        <w:rPr>
          <w:sz w:val="20"/>
          <w:szCs w:val="20"/>
          <w:color w:val="auto"/>
        </w:rPr>
      </w:pPr>
    </w:p>
    <w:p>
      <w:pPr>
        <w:ind w:left="1020" w:right="16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implementation of, and our ability to implement on a timely basis, our technology roadmap, including upgrades to and installation of the ATG technologies we currently offer, Gogo 5G, Gogo Galileo, LTE and any other next generation or other new technology or technology that we acquire;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26" w:name="page27"/>
    <w:bookmarkEnd w:id="26"/>
    <w:p>
      <w:pPr>
        <w:ind w:left="1020" w:right="2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chipset, and other equipment developers and providers or satellite network providers, some of which are single-source;</w:t>
      </w:r>
    </w:p>
    <w:p>
      <w:pPr>
        <w:spacing w:after="0" w:line="69"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network and operations as technology and user expectations change;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aircraft in service in our markets, including consolidations or changes in fleet size by one or more of our large-fleet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in the aviation industry and installations of our equipment driven by, among other things, labor shortages;</w:t>
      </w:r>
    </w:p>
    <w:p>
      <w:pPr>
        <w:spacing w:after="0" w:line="116" w:lineRule="exact"/>
        <w:rPr>
          <w:rFonts w:ascii="Times New Roman" w:cs="Times New Roman" w:eastAsia="Times New Roman" w:hAnsi="Times New Roman"/>
          <w:sz w:val="18"/>
          <w:szCs w:val="18"/>
          <w:color w:val="auto"/>
        </w:rPr>
      </w:pPr>
    </w:p>
    <w:p>
      <w:pPr>
        <w:ind w:left="1020" w:right="54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expand our service offerings and manage our network; and</w:t>
      </w:r>
    </w:p>
    <w:p>
      <w:pPr>
        <w:spacing w:after="0" w:line="69"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our business or the business of our customers and suppliers globally, including changes that impact the design of our equipment and our ability to obtain required certifications for our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ATG AVANCE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Gogo Biz</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ATG</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connectivity service revenue per aircraft online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sold</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Average equipment revenue per unit sold (in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-1697990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-1697990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-1697990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-1697990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0" w:lineRule="exact"/>
        <w:rPr>
          <w:sz w:val="20"/>
          <w:szCs w:val="20"/>
          <w:color w:val="auto"/>
        </w:rPr>
      </w:pPr>
    </w:p>
    <w:p>
      <w:pPr>
        <w:ind w:left="1020" w:right="140" w:hanging="503"/>
        <w:spacing w:after="0" w:line="28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ATG AVANCE aircraft online. </w:t>
      </w:r>
      <w:r>
        <w:rPr>
          <w:rFonts w:ascii="Times New Roman" w:cs="Times New Roman" w:eastAsia="Times New Roman" w:hAnsi="Times New Roman"/>
          <w:sz w:val="18"/>
          <w:szCs w:val="18"/>
          <w:color w:val="auto"/>
        </w:rPr>
        <w:t>We define ATG AVANCE aircraft online as the total number of business aircraft equipped with our AVANCE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L5 or L3 system for which we provide ATG services as of the last day of each period presented.</w:t>
      </w:r>
    </w:p>
    <w:p>
      <w:pPr>
        <w:spacing w:after="0" w:line="5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Gogo Biz aircraft online. </w:t>
      </w:r>
      <w:r>
        <w:rPr>
          <w:rFonts w:ascii="Times New Roman" w:cs="Times New Roman" w:eastAsia="Times New Roman" w:hAnsi="Times New Roman"/>
          <w:sz w:val="18"/>
          <w:szCs w:val="18"/>
          <w:color w:val="auto"/>
        </w:rPr>
        <w:t>We define Gogo Biz aircraft online as the total number of business aircraft not equipped with our AVANCE L5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L3 system for which we provide ATG services as of the last day of each period presented. This number excludes commercial aircraft operated by Intelsat’s airline customers receiving ATG service.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7" w:name="page28"/>
    <w:bookmarkEnd w:id="27"/>
    <w:p>
      <w:pPr>
        <w:ind w:left="1020" w:right="360" w:hanging="503"/>
        <w:spacing w:after="0" w:line="28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Narrowband satellite aircraft online</w:t>
      </w:r>
      <w:r>
        <w:rPr>
          <w:rFonts w:ascii="Times New Roman" w:cs="Times New Roman" w:eastAsia="Times New Roman" w:hAnsi="Times New Roman"/>
          <w:sz w:val="18"/>
          <w:szCs w:val="18"/>
          <w:color w:val="auto"/>
        </w:rPr>
        <w:t>. We define narrowband satellite aircraft online as the total number of business aircraft for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narrowband satellite services as of the last day of each period presented.</w:t>
      </w:r>
    </w:p>
    <w:p>
      <w:pPr>
        <w:spacing w:after="0" w:line="5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(“ARPU”). </w:t>
      </w:r>
      <w:r>
        <w:rPr>
          <w:rFonts w:ascii="Times New Roman" w:cs="Times New Roman" w:eastAsia="Times New Roman" w:hAnsi="Times New Roman"/>
          <w:sz w:val="18"/>
          <w:szCs w:val="18"/>
          <w:color w:val="auto"/>
        </w:rPr>
        <w:t>We define ARPU as the aggregate ATG connectivity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spacing w:after="0" w:line="70"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monthly connectivity service revenue per narrowband satellite aircraft online</w:t>
      </w:r>
      <w:r>
        <w:rPr>
          <w:rFonts w:ascii="Times New Roman" w:cs="Times New Roman" w:eastAsia="Times New Roman" w:hAnsi="Times New Roman"/>
          <w:sz w:val="18"/>
          <w:szCs w:val="18"/>
          <w:color w:val="auto"/>
        </w:rPr>
        <w:t>. We define average monthly connectivity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per narrowband 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spacing w:after="0" w:line="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Units sold</w:t>
      </w:r>
      <w:r>
        <w:rPr>
          <w:rFonts w:ascii="Times New Roman" w:cs="Times New Roman" w:eastAsia="Times New Roman" w:hAnsi="Times New Roman"/>
          <w:sz w:val="18"/>
          <w:szCs w:val="18"/>
          <w:color w:val="auto"/>
        </w:rPr>
        <w:t>. We define units sold as the number of ATG or narrowband satellite units for which we recognized revenue during the period.</w:t>
      </w:r>
    </w:p>
    <w:p>
      <w:pPr>
        <w:spacing w:after="0" w:line="116" w:lineRule="exact"/>
        <w:rPr>
          <w:rFonts w:ascii="Times New Roman" w:cs="Times New Roman" w:eastAsia="Times New Roman" w:hAnsi="Times New Roman"/>
          <w:sz w:val="18"/>
          <w:szCs w:val="18"/>
          <w:color w:val="auto"/>
        </w:rPr>
      </w:pPr>
    </w:p>
    <w:p>
      <w:pPr>
        <w:ind w:left="1020" w:right="60" w:hanging="503"/>
        <w:spacing w:after="0" w:line="28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equipment revenue per ATG unit sold. </w:t>
      </w:r>
      <w:r>
        <w:rPr>
          <w:rFonts w:ascii="Times New Roman" w:cs="Times New Roman" w:eastAsia="Times New Roman" w:hAnsi="Times New Roman"/>
          <w:sz w:val="18"/>
          <w:szCs w:val="18"/>
          <w:color w:val="auto"/>
        </w:rPr>
        <w:t>We define average equipment revenue per ATG unit sold as the aggregate equipment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all ATG units sold during the period, divided by the number of ATG units sold.</w:t>
      </w:r>
    </w:p>
    <w:p>
      <w:pPr>
        <w:spacing w:after="0" w:line="51" w:lineRule="exact"/>
        <w:rPr>
          <w:rFonts w:ascii="Times New Roman" w:cs="Times New Roman" w:eastAsia="Times New Roman" w:hAnsi="Times New Roman"/>
          <w:sz w:val="18"/>
          <w:szCs w:val="18"/>
          <w:color w:val="auto"/>
        </w:rPr>
      </w:pPr>
    </w:p>
    <w:p>
      <w:pPr>
        <w:ind w:left="1020" w:right="200" w:hanging="503"/>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equipment revenue per narrowband satellite unit sold</w:t>
      </w:r>
      <w:r>
        <w:rPr>
          <w:rFonts w:ascii="Times New Roman" w:cs="Times New Roman" w:eastAsia="Times New Roman" w:hAnsi="Times New Roman"/>
          <w:sz w:val="18"/>
          <w:szCs w:val="18"/>
          <w:color w:val="auto"/>
        </w:rPr>
        <w:t>. We define average equipment revenue per narrowband satellite unit sold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aggregate equipment revenue earned from all narrowband satellite units sold during the period, divided by the number of narrowband satellite units sold.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2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key components of Unaudited Condensed Consolidated Statements of Operations as described in “Management’s Discussion and Analysis of Financial Condition and Results of Operations” (“MD&amp;A”) in our 2023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81"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MD&amp;A in our 2023 10-K.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“Basis of Presentation,” to our Unaudited Condensed Consolidated Financials Statements for additional information.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0"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46"/>
        </w:trPr>
        <w:tc>
          <w:tcPr>
            <w:tcW w:w="5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gridSpan w:val="6"/>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2"/>
                <w:szCs w:val="12"/>
                <w:color w:val="auto"/>
              </w:rPr>
            </w:pPr>
          </w:p>
        </w:tc>
        <w:tc>
          <w:tcPr>
            <w:tcW w:w="2360" w:type="dxa"/>
            <w:vAlign w:val="bottom"/>
            <w:gridSpan w:val="6"/>
          </w:tcPr>
          <w:p>
            <w:pPr>
              <w:jc w:val="right"/>
              <w:ind w:right="720"/>
              <w:spacing w:after="0" w:line="146"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6"/>
                <w:szCs w:val="16"/>
                <w:color w:val="auto"/>
              </w:rPr>
            </w:pPr>
          </w:p>
        </w:tc>
        <w:tc>
          <w:tcPr>
            <w:tcW w:w="23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100,529</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(2,419 )</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(1,622 )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(6,587 )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(5,509 )</w:t>
            </w: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(332 )</w:t>
            </w: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(733 )</w:t>
            </w:r>
          </w:p>
        </w:tc>
        <w:tc>
          <w:tcPr>
            <w:tcW w:w="0" w:type="dxa"/>
            <w:vAlign w:val="bottom"/>
          </w:tcPr>
          <w:p>
            <w:pPr>
              <w:spacing w:after="0"/>
              <w:rPr>
                <w:sz w:val="1"/>
                <w:szCs w:val="1"/>
                <w:color w:val="auto"/>
              </w:rPr>
            </w:pPr>
          </w:p>
        </w:tc>
      </w:tr>
      <w:tr>
        <w:trPr>
          <w:trHeight w:val="238"/>
        </w:trPr>
        <w:tc>
          <w:tcPr>
            <w:tcW w:w="5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6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(52,711 )</w:t>
            </w:r>
          </w:p>
        </w:tc>
        <w:tc>
          <w:tcPr>
            <w:tcW w:w="0" w:type="dxa"/>
            <w:vAlign w:val="bottom"/>
          </w:tcPr>
          <w:p>
            <w:pPr>
              <w:spacing w:after="0"/>
              <w:rPr>
                <w:sz w:val="1"/>
                <w:szCs w:val="1"/>
                <w:color w:val="auto"/>
              </w:rPr>
            </w:pPr>
          </w:p>
        </w:tc>
      </w:tr>
      <w:tr>
        <w:trPr>
          <w:trHeight w:val="236"/>
        </w:trPr>
        <w:tc>
          <w:tcPr>
            <w:tcW w:w="5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1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-3929380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-3929380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-3929380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-3929380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-2679700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-2679700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-2679700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-2353945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-2353945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-2353945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-1412240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-1412240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-1412240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-1095375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-1095375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-1095375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360" w:firstLine="509"/>
        <w:spacing w:after="0" w:line="283" w:lineRule="auto"/>
        <w:rPr>
          <w:sz w:val="20"/>
          <w:szCs w:val="20"/>
          <w:color w:val="auto"/>
        </w:rPr>
      </w:pPr>
      <w:r>
        <w:rPr>
          <w:rFonts w:ascii="Times New Roman" w:cs="Times New Roman" w:eastAsia="Times New Roman" w:hAnsi="Times New Roman"/>
          <w:sz w:val="18"/>
          <w:szCs w:val="18"/>
          <w:color w:val="auto"/>
        </w:rPr>
        <w:t xml:space="preserve">Revenue and percent change for the three- and nine-month periods ended September 30, 2024 and 2023 were as follows </w:t>
      </w:r>
      <w:r>
        <w:rPr>
          <w:rFonts w:ascii="Times New Roman" w:cs="Times New Roman" w:eastAsia="Times New Roman" w:hAnsi="Times New Roman"/>
          <w:sz w:val="18"/>
          <w:szCs w:val="18"/>
          <w:i w:val="1"/>
          <w:iCs w:val="1"/>
          <w:color w:val="auto"/>
        </w:rPr>
        <w:t>(in thousands,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 change)</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5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9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79,546</w:t>
            </w:r>
          </w:p>
        </w:tc>
        <w:tc>
          <w:tcPr>
            <w:tcW w:w="178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2.9 %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245,459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237,107</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revenue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240" w:type="dxa"/>
            <w:vAlign w:val="bottom"/>
          </w:tcPr>
          <w:p>
            <w:pPr>
              <w:spacing w:after="0"/>
              <w:rPr>
                <w:sz w:val="20"/>
                <w:szCs w:val="20"/>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62,660</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8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100,529</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97,949</w:t>
            </w:r>
          </w:p>
        </w:tc>
        <w:tc>
          <w:tcPr>
            <w:tcW w:w="240" w:type="dxa"/>
            <w:vAlign w:val="bottom"/>
          </w:tcPr>
          <w:p>
            <w:pPr>
              <w:spacing w:after="0"/>
              <w:rPr>
                <w:sz w:val="20"/>
                <w:szCs w:val="20"/>
                <w:color w:val="auto"/>
              </w:rPr>
            </w:pPr>
          </w:p>
        </w:tc>
        <w:tc>
          <w:tcPr>
            <w:tcW w:w="15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2.6 %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306,910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299,767</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Total revenue increased to $100.5 million for the three-month period ended September 30, 2024 as compared with $97.9 million for the prior-year period, due to an increase in service revenue. Total revenue increased to $306.9 million for the nine-month period ended September 30, 2024 as compared with $299.8 million for the prior-year period due to an increase in service revenue, partially offset by a decrease in equipment revenue.</w:t>
      </w:r>
    </w:p>
    <w:p>
      <w:pPr>
        <w:spacing w:after="0" w:line="6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Service revenue increased to $81.9 million and $245.5 million, respectively, for the three- and nine-month periods ended September 30, 2024, as compared with $79.5 million and $237.1 million, respectively, for the prior-year periods, due to increases in ARPU.</w:t>
      </w:r>
    </w:p>
    <w:p>
      <w:pPr>
        <w:spacing w:after="0" w:line="55"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Equipment revenue increased to $18.7 million for the three-month period ended September 30, 2024 as compared with $18.4 million for the prior-year period, due to an increase in the number of ATG units sold, with 214 units sold during the three-month period ended September 30, 2024 as compared with 192 units sold during the prior-year period. Equipment revenue decreased to $61.5 million for the nine-month period ended September 30, 2024 as compared with $62.7 million for the prior-year period due to a decrease in equipment repair revenue.</w:t>
      </w:r>
    </w:p>
    <w:p>
      <w:pPr>
        <w:spacing w:after="0" w:line="74" w:lineRule="exact"/>
        <w:rPr>
          <w:sz w:val="20"/>
          <w:szCs w:val="20"/>
          <w:color w:val="auto"/>
        </w:rPr>
      </w:pPr>
    </w:p>
    <w:p>
      <w:pPr>
        <w:jc w:val="both"/>
        <w:ind w:right="400" w:firstLine="509"/>
        <w:spacing w:after="0" w:line="265" w:lineRule="auto"/>
        <w:rPr>
          <w:sz w:val="20"/>
          <w:szCs w:val="20"/>
          <w:color w:val="auto"/>
        </w:rPr>
      </w:pPr>
      <w:r>
        <w:rPr>
          <w:rFonts w:ascii="Times New Roman" w:cs="Times New Roman" w:eastAsia="Times New Roman" w:hAnsi="Times New Roman"/>
          <w:sz w:val="18"/>
          <w:szCs w:val="18"/>
          <w:color w:val="auto"/>
        </w:rPr>
        <w:t>We expect service revenue to decline in the near term as a result of expected decline in ATG services sold to Intelsat for commercial aviation and increase in the future as additional aircraft come online after the launch of Gogo 5G and Gogo Galileo. We expect equipment revenue to increase in the future driven by growth in sales of ATG units including Gogo 5G, and Gogo Galileo units.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100" w:firstLine="509"/>
        <w:spacing w:after="0" w:line="283" w:lineRule="auto"/>
        <w:rPr>
          <w:sz w:val="20"/>
          <w:szCs w:val="20"/>
          <w:color w:val="auto"/>
        </w:rPr>
      </w:pPr>
      <w:r>
        <w:rPr>
          <w:rFonts w:ascii="Times New Roman" w:cs="Times New Roman" w:eastAsia="Times New Roman" w:hAnsi="Times New Roman"/>
          <w:sz w:val="18"/>
          <w:szCs w:val="18"/>
          <w:color w:val="auto"/>
        </w:rPr>
        <w:t xml:space="preserve">Cost of revenue and percent change for the three- and nine-month periods ended September 30, 2024 and 2023 were as follows </w:t>
      </w:r>
      <w:r>
        <w:rPr>
          <w:rFonts w:ascii="Times New Roman" w:cs="Times New Roman" w:eastAsia="Times New Roman" w:hAnsi="Times New Roman"/>
          <w:sz w:val="18"/>
          <w:szCs w:val="18"/>
          <w:i w:val="1"/>
          <w:iCs w:val="1"/>
          <w:color w:val="auto"/>
        </w:rPr>
        <w:t>(in thousands,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percent change)</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5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8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98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5.2 %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23.1 %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47,983</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Cost of service revenue increased 5% and 8% to $19.1 million and $55.8 million, respectively, for the three- and nine-month periods ended</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September 30, 2024, as compared with $18.1 million and $51.7 million, respectively, for the prior-year periods due to an increase in ATG network costs.</w:t>
      </w:r>
    </w:p>
    <w:p>
      <w:pPr>
        <w:spacing w:after="0" w:line="110"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expect cost of service revenue to increase over time, due to service revenue growth and increasing network costs, including those for Gogo 5G, Gogo Galileo, and our data center.</w:t>
      </w:r>
    </w:p>
    <w:p>
      <w:pPr>
        <w:spacing w:after="0" w:line="55"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Cost of equipment revenue increased 23% to $15.2 million for the three-month period ended September 30, 2024 as compared with $12.3 million for the prior-year period, due to a $1.6 million increase related to the FCC Reimbursement Program for certain expense reductions in the prior year and $1.2 million due to an increase in ATG units sold. Cost of equipment revenue decreased 1% to $47.4 million for the nine-month period ended September 30, 2024 as compared with $48.0 million for the prior-year period due to lower inventory reserves.</w:t>
      </w:r>
    </w:p>
    <w:p>
      <w:pPr>
        <w:spacing w:after="0" w:line="74"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We expect that our cost of equipment revenue will increase with growth in units sold, including Gogo 5G and Gogo Galileo units, following the launch of those products.</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2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Engineering, design and development expenses increased 7% and 12% to $9.8 million and $29.3 million, respectively, for the three- and nine-month periods ended September 30, 2024, as compared with $9.2 million and $26.3 million, respectively, for the prior-year periods due to personnel costs.</w:t>
      </w:r>
    </w:p>
    <w:p>
      <w:pPr>
        <w:spacing w:after="0" w:line="55" w:lineRule="exact"/>
        <w:rPr>
          <w:sz w:val="20"/>
          <w:szCs w:val="20"/>
          <w:color w:val="auto"/>
        </w:rPr>
      </w:pPr>
    </w:p>
    <w:p>
      <w:pPr>
        <w:ind w:right="700" w:firstLine="509"/>
        <w:spacing w:after="0" w:line="265" w:lineRule="auto"/>
        <w:rPr>
          <w:sz w:val="20"/>
          <w:szCs w:val="20"/>
          <w:color w:val="auto"/>
        </w:rPr>
      </w:pPr>
      <w:r>
        <w:rPr>
          <w:rFonts w:ascii="Times New Roman" w:cs="Times New Roman" w:eastAsia="Times New Roman" w:hAnsi="Times New Roman"/>
          <w:sz w:val="18"/>
          <w:szCs w:val="18"/>
          <w:color w:val="auto"/>
        </w:rPr>
        <w:t>We expect engineering, design and development expenses as a percentage of service revenue to increase in 2024, driven by Gogo Galileo development costs and Gogo 5G program spend, and decrease thereafter as these developmental projects are completed and the level of investment decreases and revenue from these product roll-outs increases.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Sales and marketing expenses increased 22% and 19% to $8.6 million and $25.9 million, respectively, for the three- and nine-month periods ended September 30, 2024, as compared with $7.0 million and $21.7 million, respectively, for the prior-year periods due to personnel costs.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sales and marketing expenses as a percentage of service revenue to remain relatively flat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87% and 51% to $24.9 million and $61.4 million, respectively, for the three- and nine-month periods ended September 30, 2024, as compared with $13.3 million and $40.7 million, respectively, for the prior-year periods due to increased legal and acquisition-related expenses.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general and administrative expenses as a percentage of service revenue to decrease over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decreased 14% and 2% to $4.0 million and $11.7 million, respectively, for the three- and nine-month periods ended September 30, 2024, as compared with $4.7 million and $12.0 million, respectively, for the prior-year periods.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depreciation and amortization expense will increase in the future as we launch our Gogo 5G network.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right="8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Other expense (income) and percent change for the three- and nine-month periods ended September 30, 2024 and 2023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for percent change)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39"/>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gridSpan w:val="5"/>
          </w:tcPr>
          <w:p>
            <w:pPr>
              <w:jc w:val="center"/>
              <w:ind w:right="520"/>
              <w:spacing w:after="0" w:line="13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15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(2,419 )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(1,622 )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52"/>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(332 )</w:t>
            </w:r>
          </w:p>
        </w:tc>
        <w:tc>
          <w:tcPr>
            <w:tcW w:w="5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(728 )</w:t>
            </w:r>
          </w:p>
        </w:tc>
        <w:tc>
          <w:tcPr>
            <w:tcW w:w="14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(6,587 )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(5,509 )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(733 )</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62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2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-1911985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-772795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-1449705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-1449705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-1449705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9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20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Total other expense increased to $6.9 million for the three-month period ended September 30, 2024 as compared with $5.7 million for the prior-year period, due to interest expense, partially offset by an increase in interest income. Total other expense increased to $20.9 million for the nine-month period ended September 30, 2024 as compared with $20.8 million for the prior-year period, due to the unrealized holding loss on the Investment in Convertible Note in the current-year period as compared with an unrealized holding gain on investment in an equity investment in the prior-year period and increased interest expense, partially offset by the loss on extinguishment of debt in the prior year and an increase in interest income.</w:t>
      </w:r>
    </w:p>
    <w:p>
      <w:pPr>
        <w:spacing w:after="0" w:line="74"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We expect our interest expense to fluctuate in the future based on changes in the variable rates associated with the Facilities, partially offset by the impact of the interest rate caps. We expect these fluctuations to be impacted by the decrease in the hedge benefit as our hedge notional amount decreases and the strike rate increases. See Note 8, “Long-Term Debt and Other Liabilities,” to our Unaudited Condensed Consolidated Financial Statements for additional information.</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8" w:right="2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income tax rates for the three- and nine-month periods ended September 30, 2024 were 12.5% and 23.1%, respectively, as compared to 24.3% and (67.1)%, respectively, for the prior-year periods. For the three- and nine-month periods ended September 30, 2024, our income tax provision was $1.5 million and $12.6 million, respectively, due to pre-tax income. For the three-month period ended September 30, 2023, our income tax provision was $6.7 million due to pre-tax income and for the nine-month period ended September 30, 2023, our income tax benefit of $52.7 million was primarily due to a partial release of the valuation allowance on our deferred income tax assets, partially offset by pre-tax income. See Note 13, “Income Tax,” to our Unaudited Condensed Consolidated Financial Statements for additional information.</w:t>
      </w:r>
    </w:p>
    <w:p>
      <w:pPr>
        <w:spacing w:after="0" w:line="78"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We expect our income tax provision to increase in the long term as we continue to generate positive pre-tax income. We expect cash tax payments to be immaterial for an extended period of time, subject to the availability of our net operating loss carryforward amounts.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Definition and Reconciliation of Non-GAAP Measures</w:t>
      </w:r>
    </w:p>
    <w:p>
      <w:pPr>
        <w:spacing w:after="0" w:line="119"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attributable to common stock before interest expense, interest income, income taxes and depreciation and amortization expense.</w:t>
      </w:r>
    </w:p>
    <w:p>
      <w:pPr>
        <w:spacing w:after="0" w:line="5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represents EBITDA adjusted for (i) stock-based compensation expense, (ii) acquisition-related costs, (iii) change in fair value of Investment in Convertible Note and equity investment and (iv)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7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Acquisition-related costs include direct transaction costs, such as due diligence and advisory fees. We believe it is useful for an understanding of our operating performance to exclude acquisition-related costs from Adjusted EBITDA because they are infrequent and do not reflect our operating performance.</w:t>
      </w:r>
    </w:p>
    <w:p>
      <w:pPr>
        <w:spacing w:after="0" w:line="6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from Adjusted EBITDA the changes in fair value of Investment in Convertible Note and an equity investment because this activity is not related to our operating performance.</w:t>
      </w:r>
    </w:p>
    <w:p>
      <w:pPr>
        <w:spacing w:after="0" w:line="55"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loss on extinguishment of debt from Adjusted EBITDA because of the infrequently occurring nature of this activity.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32" w:name="page33"/>
    <w:bookmarkEnd w:id="32"/>
    <w:p>
      <w:pPr>
        <w:ind w:firstLine="509"/>
        <w:spacing w:after="0" w:line="265"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69" w:lineRule="exact"/>
        <w:rPr>
          <w:sz w:val="20"/>
          <w:szCs w:val="20"/>
          <w:color w:val="auto"/>
        </w:rPr>
      </w:pPr>
    </w:p>
    <w:p>
      <w:pPr>
        <w:ind w:right="20" w:firstLine="562"/>
        <w:spacing w:after="0" w:line="276" w:lineRule="auto"/>
        <w:rPr>
          <w:sz w:val="20"/>
          <w:szCs w:val="20"/>
          <w:color w:val="auto"/>
        </w:rPr>
      </w:pPr>
      <w:r>
        <w:rPr>
          <w:rFonts w:ascii="Times New Roman" w:cs="Times New Roman" w:eastAsia="Times New Roman" w:hAnsi="Times New Roman"/>
          <w:sz w:val="17"/>
          <w:szCs w:val="17"/>
          <w:u w:val="single" w:color="auto"/>
          <w:color w:val="auto"/>
        </w:rPr>
        <w:t>Free Cash Flow</w:t>
      </w:r>
      <w:r>
        <w:rPr>
          <w:rFonts w:ascii="Times New Roman" w:cs="Times New Roman" w:eastAsia="Times New Roman" w:hAnsi="Times New Roman"/>
          <w:sz w:val="17"/>
          <w:szCs w:val="17"/>
          <w:color w:val="auto"/>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spacing w:after="0" w:line="1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92" w:right="5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tbl>
      <w:tblPr>
        <w:tblLayout w:type="fixed"/>
        <w:tblInd w:w="0" w:type="dxa"/>
        <w:tblCellMar>
          <w:top w:w="0" w:type="dxa"/>
          <w:left w:w="0" w:type="dxa"/>
          <w:bottom w:w="0" w:type="dxa"/>
          <w:right w:w="0" w:type="dxa"/>
        </w:tblCellMar>
      </w:tblPr>
      <w:tr>
        <w:trPr>
          <w:trHeight w:val="146"/>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gridSpan w:val="5"/>
          </w:tcPr>
          <w:p>
            <w:pPr>
              <w:jc w:val="right"/>
              <w:ind w:right="840"/>
              <w:spacing w:after="0" w:line="146"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2"/>
                <w:szCs w:val="12"/>
                <w:color w:val="auto"/>
              </w:rPr>
            </w:pPr>
          </w:p>
        </w:tc>
        <w:tc>
          <w:tcPr>
            <w:tcW w:w="2360" w:type="dxa"/>
            <w:vAlign w:val="bottom"/>
            <w:gridSpan w:val="5"/>
          </w:tcPr>
          <w:p>
            <w:pPr>
              <w:jc w:val="right"/>
              <w:ind w:right="720"/>
              <w:spacing w:after="0" w:line="146" w:lineRule="exact"/>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60" w:type="dxa"/>
            <w:vAlign w:val="bottom"/>
          </w:tcPr>
          <w:p>
            <w:pPr>
              <w:spacing w:after="0"/>
              <w:rPr>
                <w:sz w:val="16"/>
                <w:szCs w:val="16"/>
                <w:color w:val="auto"/>
              </w:rPr>
            </w:pPr>
          </w:p>
        </w:tc>
        <w:tc>
          <w:tcPr>
            <w:tcW w:w="23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(2,419 )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(1,622 )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(6,587 )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(5,509 )</w:t>
            </w: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(52,711 )</w:t>
            </w: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tcPr>
          <w:p>
            <w:pPr>
              <w:spacing w:after="0"/>
              <w:rPr>
                <w:sz w:val="20"/>
                <w:szCs w:val="20"/>
                <w:color w:val="auto"/>
              </w:rPr>
            </w:pPr>
          </w:p>
        </w:tc>
      </w:tr>
      <w:tr>
        <w:trPr>
          <w:trHeight w:val="24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85,883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109,820</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convertible note and equity investments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(323 )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(773 )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(773 )</w:t>
            </w:r>
          </w:p>
        </w:tc>
      </w:tr>
      <w:tr>
        <w:trPr>
          <w:trHeight w:val="236"/>
        </w:trPr>
        <w:tc>
          <w:tcPr>
            <w:tcW w:w="5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108,531</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Borders>
              <w:top w:val="single" w:sz="8" w:color="CFF0FC"/>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 (GAAP)</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52,818</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(8,196 )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(5,355 )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(18,894 )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(18,717 )</w:t>
            </w:r>
          </w:p>
        </w:tc>
      </w:tr>
      <w:tr>
        <w:trPr>
          <w:trHeight w:val="21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FCC Reimbursement Program for property, equipment and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interest rate caps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-1437640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-1437640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-1437640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Material limitations of Non-GAAP measures</w:t>
      </w:r>
    </w:p>
    <w:p>
      <w:pPr>
        <w:spacing w:after="0" w:line="119"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acquisition-related costs;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unrealized holding gains or losses on equity investments and investments in convertible notes;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loss on extinguishment of debt;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our or related industries may calculate these measures differently from the way we do, their usefulness as comparative measures may be limited.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58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52,818</w:t>
            </w:r>
          </w:p>
        </w:tc>
        <w:tc>
          <w:tcPr>
            <w:tcW w:w="8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(3,225 )</w:t>
            </w: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(3,408 )</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(38,902 )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(113,881 )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r>
      <w:tr>
        <w:trPr>
          <w:trHeight w:val="24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(64,393 )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150,880</w:t>
            </w:r>
          </w:p>
        </w:tc>
        <w:tc>
          <w:tcPr>
            <w:tcW w:w="8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86,487</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86,487</w:t>
            </w:r>
          </w:p>
        </w:tc>
        <w:tc>
          <w:tcPr>
            <w:tcW w:w="80" w:type="dxa"/>
            <w:vAlign w:val="bottom"/>
            <w:shd w:val="clear" w:color="auto" w:fill="CFF0FC"/>
          </w:tcPr>
          <w:p>
            <w:pPr>
              <w:spacing w:after="0"/>
              <w:rPr>
                <w:sz w:val="21"/>
                <w:szCs w:val="2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176,678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86,157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-675640</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-658495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-675640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-658495</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the Revolving Facility and capital markets will be sufficient to meet the cash requirements of our business, including the acquisition of Satcom Direct, capital expenditure requirements, debt maturities and share repurchases, if any, for at least the next twelve months and thereafter for the foreseeable future.</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as amended, in accordance with applicable securities laws and other restrictions, including Rule 10b-18 under the Securities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During the nine-month period ended September 30, 2024, we repurchased an aggregate 3.6 million shares of our common stock for $30.8 million. As of September 30, 2024, the remaining amount available to be repurchased under the program was $14.5 million.</w:t>
      </w:r>
    </w:p>
    <w:p>
      <w:pPr>
        <w:spacing w:after="0" w:line="7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As detailed in Note 8, “Long-Term Debt and Other Liabilities,”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w:t>
      </w:r>
    </w:p>
    <w:p>
      <w:pPr>
        <w:spacing w:after="0" w:line="6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SOFR rate, plus a credit spread adjustment recommended by the Alternative Reference Rates Committee.</w:t>
      </w:r>
    </w:p>
    <w:p>
      <w:pPr>
        <w:spacing w:after="0" w:line="6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69"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term SOFR rate (subject to a floor of 0.75%) plus an applicable margin of 3.75% and a credit spread adjustment recommended by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35" w:name="page36"/>
    <w:bookmarkEnd w:id="35"/>
    <w:p>
      <w:pPr>
        <w:ind w:right="200"/>
        <w:spacing w:after="0" w:line="281" w:lineRule="auto"/>
        <w:rPr>
          <w:sz w:val="20"/>
          <w:szCs w:val="20"/>
          <w:color w:val="auto"/>
        </w:rPr>
      </w:pPr>
      <w:r>
        <w:rPr>
          <w:rFonts w:ascii="Times New Roman" w:cs="Times New Roman" w:eastAsia="Times New Roman" w:hAnsi="Times New Roman"/>
          <w:sz w:val="18"/>
          <w:szCs w:val="18"/>
          <w:color w:val="auto"/>
        </w:rPr>
        <w:t>Alternative Reference Rates Committee of 0.11%, 0.26% or 0.43% per annum based on 1-month, 3-month or 6-month term SOFR, respectively or (ii) an alternate base rate plus an applicable margin of 2.75%.</w:t>
      </w:r>
    </w:p>
    <w:p>
      <w:pPr>
        <w:spacing w:after="0" w:line="5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September 30, 2024, the fee for unused commitments under the Revolving Facility was 0.25% and the applicable margin was 3.25%.</w:t>
      </w:r>
    </w:p>
    <w:p>
      <w:pPr>
        <w:spacing w:after="0" w:line="79"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 On May 3, 2023, the Company prepaid $100 million of the outstanding principal amount of the Term Loan Facility.</w:t>
      </w:r>
    </w:p>
    <w:p>
      <w:pPr>
        <w:spacing w:after="0" w:line="6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74"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74"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September 30, 2024 and December 31, 2023.</w:t>
      </w:r>
    </w:p>
    <w:p>
      <w:pPr>
        <w:spacing w:after="0" w:line="74"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For additional information on the 2021 Credit Agreement, see Note 8, “Long-Term Debt and Other Liabilities,” to our Unaudited Condensed Consolidated Financial Statements.</w:t>
      </w:r>
    </w:p>
    <w:p>
      <w:pPr>
        <w:spacing w:after="0" w:line="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Committees of 0.26% increases beyond the applicable strike rate. The termination date of the cap agreements is July 31, 2027. The notional amounts of the interest rate caps periodically decrease over the life of the caps with the latest reduction of $175.0 million having occurred on July 31, 2024. The aggregate notional amount of the interest rate caps as of September 30, 2024 is $350.0 million.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78"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For additional information on the interest rate caps, see Note 9, “Derivative Instruments and Hedging Activities,” to our Unaudited Condensed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131,211</w:t>
            </w:r>
          </w:p>
        </w:tc>
        <w:tc>
          <w:tcPr>
            <w:tcW w:w="80" w:type="dxa"/>
            <w:vAlign w:val="bottom"/>
            <w:shd w:val="clear" w:color="auto" w:fill="CFF0FC"/>
          </w:tcPr>
          <w:p>
            <w:pPr>
              <w:spacing w:after="0"/>
              <w:rPr>
                <w:sz w:val="20"/>
                <w:szCs w:val="20"/>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(20,252 )</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(6,201 )</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(58,141 )</w:t>
            </w:r>
          </w:p>
        </w:tc>
      </w:tr>
      <w:tr>
        <w:trPr>
          <w:trHeight w:val="236"/>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79,740</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52,818</w:t>
            </w:r>
          </w:p>
        </w:tc>
        <w:tc>
          <w:tcPr>
            <w:tcW w:w="8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-187960</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1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For the nine-month period ended September 30, 2024, net cash provided by operating activities was $79.7 million as compared with $52.8 million in the prior-year period. The principal contributors to the year-over-year change in operating cash flows were:</w:t>
      </w:r>
    </w:p>
    <w:p>
      <w:pPr>
        <w:spacing w:after="0" w:line="55"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$25.0 million decrease in net income and non-cash charges and credits, as noted above under “Results of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$51.9 million improvement in cash flows related to operating assets and liabilities resulting from:</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increase in cash flows due to the following:</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prepaid expenses and other current assets related to the FCC Reimbursement Program;</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liabilities due to the timing of payments related to personnel costs;</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interest due to the change in timing of payments; and</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payable due to the timing of payments.</w:t>
      </w:r>
    </w:p>
    <w:p>
      <w:pPr>
        <w:spacing w:after="0" w:line="117" w:lineRule="exact"/>
        <w:rPr>
          <w:sz w:val="20"/>
          <w:szCs w:val="20"/>
          <w:color w:val="auto"/>
        </w:rPr>
      </w:pPr>
    </w:p>
    <w:p>
      <w:pPr>
        <w:ind w:left="1540" w:right="180" w:hanging="513"/>
        <w:spacing w:after="0" w:line="281"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cash flows resulting from changes in contract assets due to additional promotional sales programs in the current year as compared to the prior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was $3.2 million for the nine-month period ended September 30, 2024, due to $18.9 million of capital expenditures noted below and a $5.0 million convertible note investment, partially offset by $19.5 million of proceeds from interest rate caps and $1.2 million of proceeds received from the FCC Reimbursement Program associated with the reimbursement of capital expenditures.</w:t>
      </w:r>
    </w:p>
    <w:p>
      <w:pPr>
        <w:spacing w:after="0" w:line="6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$3.4 million for the nine-month period ended September 30, 2023, due to $18.7 million of capital expenditures noted below and a $5.0 million equity investment, partially offset by $20.2 million of proceeds from interest rate caps.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21" w:lineRule="exact"/>
        <w:rPr>
          <w:sz w:val="20"/>
          <w:szCs w:val="20"/>
          <w:color w:val="auto"/>
        </w:rPr>
      </w:pPr>
    </w:p>
    <w:p>
      <w:pPr>
        <w:ind w:right="640" w:firstLine="509"/>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for the nine-month period ended September 30, 2024 was $38.9 million due to share repurchases, principal payments on the Term Loan Facility and stock-based compensation activities.</w:t>
      </w:r>
    </w:p>
    <w:p>
      <w:pPr>
        <w:spacing w:after="0" w:line="55"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for the nine-month period ended September 30, 2023 was $113.9 million, due to principal payments on the Term Loan Facility and stock-based compensation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760" w:firstLine="509"/>
        <w:spacing w:after="0" w:line="281" w:lineRule="auto"/>
        <w:rPr>
          <w:sz w:val="20"/>
          <w:szCs w:val="20"/>
          <w:color w:val="auto"/>
        </w:rPr>
      </w:pPr>
      <w:r>
        <w:rPr>
          <w:rFonts w:ascii="Times New Roman" w:cs="Times New Roman" w:eastAsia="Times New Roman" w:hAnsi="Times New Roman"/>
          <w:sz w:val="18"/>
          <w:szCs w:val="18"/>
          <w:color w:val="auto"/>
        </w:rPr>
        <w:t>Our operations require capital expenditures associated with our ATG network, data centers and regulatory licenses. We capitalize software development costs related to network technology solutions. We also capitalize costs related to the build out of our office locations.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 expenditures for the nine-month periods ended September 30, 2024 and 2023 were $18.9 million and $18.7 million, respectively.</w:t>
      </w:r>
    </w:p>
    <w:p>
      <w:pPr>
        <w:spacing w:after="0" w:line="117"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We expect that our capital expenditures will increase in the near term due to Gogo 5G and the build out of the LTE network related to the FCC Reimbursement Program. This increase may be partially offset by reimbursements from the FCC. We expect that our capital expenditures will decrease starting in 2026 as these programs are completed.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Contractual Commitments: </w:t>
      </w:r>
      <w:r>
        <w:rPr>
          <w:rFonts w:ascii="Times New Roman" w:cs="Times New Roman" w:eastAsia="Times New Roman" w:hAnsi="Times New Roman"/>
          <w:sz w:val="17"/>
          <w:szCs w:val="17"/>
          <w:color w:val="auto"/>
        </w:rPr>
        <w:t>We have agreements with various vendors under which we have remaining commitments to purchase hardware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components and development services. Such commitments will become payable as we receive the hardware components or as development services are provided. See Note 15, “Commitments and Contingencies,” to our Unaudited Condensed Consolidated Financial Statements for additional information.</w:t>
      </w:r>
    </w:p>
    <w:p>
      <w:pPr>
        <w:spacing w:after="0" w:line="49"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14, “Leases,” to our Unaudited Condensed Consolidated Financial Statements for additional information.</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96"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72" w:lineRule="auto"/>
        <w:rPr>
          <w:sz w:val="20"/>
          <w:szCs w:val="20"/>
          <w:color w:val="auto"/>
        </w:rPr>
      </w:pPr>
      <w:r>
        <w:rPr>
          <w:rFonts w:ascii="Times New Roman" w:cs="Times New Roman" w:eastAsia="Times New Roman" w:hAnsi="Times New Roman"/>
          <w:sz w:val="17"/>
          <w:szCs w:val="17"/>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September 30, 2024 and December 31, 2023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spacing w:after="0" w:line="67" w:lineRule="exact"/>
        <w:rPr>
          <w:sz w:val="20"/>
          <w:szCs w:val="20"/>
          <w:color w:val="auto"/>
        </w:rPr>
      </w:pPr>
    </w:p>
    <w:p>
      <w:pPr>
        <w:jc w:val="both"/>
        <w:ind w:right="520" w:firstLine="509"/>
        <w:spacing w:after="0" w:line="265"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the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September 30, 2024,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notional amount of outstanding debt associated with interest rate cap agreements as of September 30, 2024 was $350.0 million. Based on our September 30, 2024 outstanding variable rate debt balance, a hypothetical one percentage point change in the applicable interest rate would impact our annual interest expense by approximately $2.7 million for the next twelve-month period, which includes the impact of our interest rate caps at a strike rate of 1.25% and the $100 million reduction in the notional amount and an increase of the strike rate to 2.25% that will occur on July 31, 2025. Excluding the impact of our interest rate caps, a hypothetical one percentage point change in the applicable interest rate would impact our annual interest expense by approximately $6.0 million for the next twelve-month period.</w:t>
      </w:r>
    </w:p>
    <w:p>
      <w:pPr>
        <w:spacing w:after="0" w:line="78"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 and nine-month periods ended September 30, 2024 and 2023 by immaterial amounts.</w:t>
      </w:r>
    </w:p>
    <w:p>
      <w:pPr>
        <w:spacing w:after="0" w:line="67"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affected by inflation in the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17"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September 30, 2024. Based upon this evaluation, our Chief Executive Officer and the Chief Financial Officer have concluded that our disclosure controls and procedures were effective as of September 30, 2024.</w:t>
      </w:r>
    </w:p>
    <w:p>
      <w:pPr>
        <w:spacing w:after="0" w:line="74"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See Note 15, “Commitments and Contingencies,” to our Unaudited Condensed Consolidated Financial Statements for a discussion of litigation matters.</w:t>
      </w:r>
    </w:p>
    <w:p>
      <w:pPr>
        <w:spacing w:after="0" w:line="55"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18"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34"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“Item 1A. Risk Factors” of our 2023 10-K includes a discussion of our risk factors. The information presented below updates, and should be read in conjunction with, the risk factors and information disclosed in our 2023 10-K. Except as set forth below, there have been no material changes to the risk factors previously disclosed in our 2023 10-K.</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geographically and otherwise, we may experience difficulties in maintaining our corporate culture, and our business, results of operations and financial condition could be adversely affected.</w:t>
      </w:r>
    </w:p>
    <w:p>
      <w:pPr>
        <w:spacing w:after="0" w:line="5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corporate culture has been a critical component of our success, and have invested substantial time and resources in building this culture. As we further expand our business and grow internationally, we may find it difficult to maintain our corporate culture. For instance, we recently signed an agreement to acquire Satcom Direct’s business and, to the extent it is consummated, we will be required to make certain changes to integrate it into our larger business. For more information, see Note 1, “Basis of Presentation—Acquisition of Satcom Direct,” to our Unaudited Condensed Consolidated Financial Statements for a discussion of the pending acquisition. Any failure to manage organizational changes from our expansion, including in our management or employee base, in a manner that preserves the key aspects of our culture could be detrimental to our future success, including by limiting our ability to recruit and retain personnel and to effectively pursue our corporate objectives. For example, we are dedicated to creating and maintaining a diverse and inclusive culture and to having every employee feel like they have a home at our company, and our expansion may hinder these efforts. This, in turn, could adversely affect our business, results of operations and financial condition.</w:t>
      </w:r>
    </w:p>
    <w:p>
      <w:pPr>
        <w:spacing w:after="0" w:line="78" w:lineRule="exact"/>
        <w:rPr>
          <w:sz w:val="20"/>
          <w:szCs w:val="20"/>
          <w:color w:val="auto"/>
        </w:rPr>
      </w:pPr>
    </w:p>
    <w:p>
      <w:pPr>
        <w:ind w:right="220" w:firstLine="509"/>
        <w:spacing w:after="0" w:line="276" w:lineRule="auto"/>
        <w:rPr>
          <w:sz w:val="20"/>
          <w:szCs w:val="20"/>
          <w:color w:val="auto"/>
        </w:rPr>
      </w:pPr>
      <w:r>
        <w:rPr>
          <w:rFonts w:ascii="Times New Roman" w:cs="Times New Roman" w:eastAsia="Times New Roman" w:hAnsi="Times New Roman"/>
          <w:sz w:val="17"/>
          <w:szCs w:val="17"/>
          <w:color w:val="auto"/>
        </w:rPr>
        <w:t>In addition, expansion could lead to our organizational structure becoming more complex, and could strain our ability to maintain reliable service levels for our customers (both existing customers of the Company and, to the extent the acquisition of Satcom Direct is consummated, new customers acquired as a result of Satcom Direct’s business). If we fail to achieve the necessary level of efficiency in our organization as we grow, then our business, results of operations and financial condition could be adversely affected. See “—</w:t>
      </w:r>
      <w:r>
        <w:rPr>
          <w:rFonts w:ascii="Times New Roman" w:cs="Times New Roman" w:eastAsia="Times New Roman" w:hAnsi="Times New Roman"/>
          <w:sz w:val="17"/>
          <w:szCs w:val="17"/>
          <w:i w:val="1"/>
          <w:iCs w:val="1"/>
          <w:color w:val="auto"/>
        </w:rPr>
        <w:t>When we expand our business outside the United States with Gogo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Galileo, we will be exposed to a variety of risks associated with international operations that could adversely affect our business.</w:t>
      </w:r>
      <w:r>
        <w:rPr>
          <w:rFonts w:ascii="Times New Roman" w:cs="Times New Roman" w:eastAsia="Times New Roman" w:hAnsi="Times New Roman"/>
          <w:sz w:val="17"/>
          <w:szCs w:val="17"/>
          <w:color w:val="auto"/>
        </w:rPr>
        <w:t>” in our 2023 10-K.</w:t>
      </w:r>
    </w:p>
    <w:p>
      <w:pPr>
        <w:spacing w:after="0" w:line="59"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at evaluating and pursuing strategic opportunities, including acquisitions, as well as integrating them into our business, which could adversely affect our revenue, financial condition and results of operation.</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Board and management continuously assess whether shareholder value would be increased by engaging in strategic and/or financial relationships, transactions or other opportunities, including those that are suggested to us by third parties. There can be no assurance that we will pursue any strategic or financial relationship, transaction or other opportunity, the outcome of which is inherently uncertain. Further, the process of evaluating and pursuing any such relationship, transaction or other opportunity will involve the dedication of significant resources and the incurrence of significant costs and expenses. If we are unable to mitigate these or other potential risks relating to assessing and undertaking strategic opportunities, it may disrupt our business or adversely impact our revenue, financial condition and results of operation.</w:t>
      </w:r>
    </w:p>
    <w:p>
      <w:pPr>
        <w:spacing w:after="0" w:line="7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extent we consummate acquisitions or other related transactions, these completed acquisitions may entail further risks, including: unanticipated costs and liabilities of the acquired businesses, including environmental liabilities, that could materially adversely affect our results of operations; increased regulatory compliance relating to the acquired business; difficulties in assimilating acquired businesses, their personnel and their financial reporting systems, which would prevent the expected benefits from the transaction from being realized within the anticipated timeframe; negative effects on existing business relationships with suppliers and customers; and loss of key employees of the acquired businesses or our business. In addition, any future acquisitions could result in the incurrence of additional debt and related interest expense, contingent liabilities and amortization expense related to intangible assets, which could have a material adverse effect on our business, financial condition, operating results and cash flows, or the issuance of additional equity, which could dilute our shareholders’ interests.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0" w:name="page41"/>
    <w:bookmarkEnd w:id="40"/>
    <w:p>
      <w:pPr>
        <w:ind w:firstLine="509"/>
        <w:spacing w:after="0" w:line="252" w:lineRule="auto"/>
        <w:rPr>
          <w:sz w:val="20"/>
          <w:szCs w:val="20"/>
          <w:color w:val="auto"/>
        </w:rPr>
      </w:pPr>
      <w:r>
        <w:rPr>
          <w:rFonts w:ascii="Times New Roman" w:cs="Times New Roman" w:eastAsia="Times New Roman" w:hAnsi="Times New Roman"/>
          <w:sz w:val="18"/>
          <w:szCs w:val="18"/>
          <w:color w:val="auto"/>
        </w:rPr>
        <w:t>Finally, there can be no assurance that we will be able to negotiate any acquisition successfully, and once negotiated, receive the required approvals for any acquisition or otherwise conclude any acquisition successfully, or that any acquisition will achieve the anticipated synergies or other positive results. For more information, see Note 1, “Basis of Presentation—Acquisition of Satcom Direct,” to our Unaudited Condensed Consolidated Financial Statements for a discussion of our pending acquisition, including the conditions in the Purchase Agreement to consummating the acquisition. We cannot provide any assurance that the pending Satcom Direct acquisition will be completed, and to the extent it is completed, we cannot provide any assurance that we will successfully integrate or achieve the anticipated synergies of Satcom Direct’s technology, personnel, geographical reach, financial condition or business generally. Additionally, we cannot reasonably predict the impact that Satcom Direct’s key operating results or business, or investors’ perception of its future value, would have on the market’s perception of our Company’s overall value. There are also risks associated with the incurrence of an additional $275 million of incremental term loans under Intermediate’s existing credit facility to fund a portion of the cash purchase price of the acquisition. For more information, see “</w:t>
      </w:r>
      <w:r>
        <w:rPr>
          <w:rFonts w:ascii="Times New Roman" w:cs="Times New Roman" w:eastAsia="Times New Roman" w:hAnsi="Times New Roman"/>
          <w:sz w:val="18"/>
          <w:szCs w:val="18"/>
          <w:i w:val="1"/>
          <w:iCs w:val="1"/>
          <w:color w:val="auto"/>
        </w:rPr>
        <w:t>Item 1A “Risk Factors—Risks Related to Our Indebtedness—We and our subsidiaries have substantial debt and may incur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debt in the future, which could adversely affect our financial health, reduce our profitability, limit our ability to obtain financing in the future and pursue certain business opportunities and reduce the value of your investment.</w:t>
      </w:r>
      <w:r>
        <w:rPr>
          <w:rFonts w:ascii="Times New Roman" w:cs="Times New Roman" w:eastAsia="Times New Roman" w:hAnsi="Times New Roman"/>
          <w:sz w:val="18"/>
          <w:szCs w:val="18"/>
          <w:color w:val="auto"/>
        </w:rPr>
        <w:t>” in our 2023 10-K. Overall, if our acquisition strategy is not successful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if acquisitions are not well integrated into our existing operations, the Company’s profitability, business and financial condition could be negatively affected.</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117"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delayed in deploying Gogo 5G, and may be unsuccessful or further delayed in developing and deploying this or other next generation technologies.</w:t>
      </w:r>
    </w:p>
    <w:p>
      <w:pPr>
        <w:spacing w:after="0" w:line="5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currently developing a next generation ATG network using 5G technology, unlicensed spectrum, and licensed spectrum. Gogo 5G will be capable of working with different spectrum and supporting different next generation technologies. As previously disclosed, we are delayed in our commercial, nationwide launch of Gogo 5G due to a design error in a non-5G component of our chip, which was designed by a third-party subcontractor of our 5G solution provider. We currently expect the launch of Gogo 5G to occur late in the second quarter of 2025, and are working with our vendors to finalize the schedule.</w:t>
      </w:r>
    </w:p>
    <w:p>
      <w:pPr>
        <w:spacing w:after="0" w:line="74" w:lineRule="exact"/>
        <w:rPr>
          <w:sz w:val="20"/>
          <w:szCs w:val="20"/>
          <w:color w:val="auto"/>
        </w:rPr>
      </w:pPr>
    </w:p>
    <w:p>
      <w:pPr>
        <w:jc w:val="both"/>
        <w:ind w:right="120" w:firstLine="509"/>
        <w:spacing w:after="0" w:line="255" w:lineRule="auto"/>
        <w:rPr>
          <w:sz w:val="20"/>
          <w:szCs w:val="20"/>
          <w:color w:val="auto"/>
        </w:rPr>
      </w:pPr>
      <w:r>
        <w:rPr>
          <w:rFonts w:ascii="Times New Roman" w:cs="Times New Roman" w:eastAsia="Times New Roman" w:hAnsi="Times New Roman"/>
          <w:sz w:val="18"/>
          <w:szCs w:val="18"/>
          <w:color w:val="auto"/>
        </w:rPr>
        <w:t>There can be no assurance that, during the current delay of our 5G launch, our customers will not seek alternative technologies of competitors. The launch of 5G may, depending on the impact of delays, launch closely in time or shortly after the launch of Gogo Galileo service, which could impede our marketing and sales efforts with respect to either offering, due to possible customer confusion among the offerings or lack of sufficient customer focus on either one during launch. Additionally, while we expect to launch Gogo 5G late in the second quarter of 2025, we cannot assure you that the 5G launch or our launch of other next generation technologies will in fact occur in sufficient time to meet growing user expectations regarding the in-flight connectivity experience and to effectively compete in the business aviation market. The ongoing delay and any future delays could also decrease customer confidence, including from current or prospective customers, in our offerings, and negatively impact our financial position.</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Gogo 5G or any other next generation technology fails to perform as expected, our ability to meet users’ expectations regarding our systems' performance and to effectively compete in our market may be impaired and our business, financial condition and results of operations may be materially adversely affected. Factors heightening the risk of future delays in our 5G network or other next generation technologies, or a failure of such technologies to perform once commercialized, include: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and their ability to continue as a going concern with adequate access to capital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1140" w:right="8120" w:hanging="758"/>
        <w:spacing w:after="0" w:line="375" w:lineRule="auto"/>
        <w:tabs>
          <w:tab w:leader="none" w:pos="76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ind w:left="1140" w:right="6320" w:hanging="758"/>
        <w:spacing w:after="0" w:line="375" w:lineRule="auto"/>
        <w:tabs>
          <w:tab w:leader="none" w:pos="76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Not applicable.</w:t>
      </w:r>
    </w:p>
    <w:p>
      <w:pPr>
        <w:ind w:left="760" w:hanging="378"/>
        <w:spacing w:after="0"/>
        <w:tabs>
          <w:tab w:leader="none" w:pos="7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jc w:val="both"/>
        <w:ind w:left="760" w:firstLine="374"/>
        <w:spacing w:after="0" w:line="255"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w:t>
      </w:r>
    </w:p>
    <w:p>
      <w:pPr>
        <w:spacing w:after="0" w:line="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following table summarizes our purchases of common stock during the three-month period ended September 30, 2024.</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2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Paid per Share</w:t>
            </w:r>
          </w:p>
        </w:tc>
        <w:tc>
          <w:tcPr>
            <w:tcW w:w="180" w:type="dxa"/>
            <w:vAlign w:val="bottom"/>
          </w:tcPr>
          <w:p>
            <w:pPr>
              <w:spacing w:after="0"/>
              <w:rPr>
                <w:sz w:val="9"/>
                <w:szCs w:val="9"/>
                <w:color w:val="auto"/>
              </w:rPr>
            </w:pPr>
          </w:p>
        </w:tc>
        <w:tc>
          <w:tcPr>
            <w:tcW w:w="17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Publicly Announced Plans</w:t>
            </w:r>
          </w:p>
        </w:tc>
        <w:tc>
          <w:tcPr>
            <w:tcW w:w="220" w:type="dxa"/>
            <w:vAlign w:val="bottom"/>
          </w:tcPr>
          <w:p>
            <w:pPr>
              <w:spacing w:after="0"/>
              <w:rPr>
                <w:sz w:val="9"/>
                <w:szCs w:val="9"/>
                <w:color w:val="auto"/>
              </w:rPr>
            </w:pPr>
          </w:p>
        </w:tc>
        <w:tc>
          <w:tcPr>
            <w:tcW w:w="1560" w:type="dxa"/>
            <w:vAlign w:val="bottom"/>
            <w:gridSpan w:val="3"/>
          </w:tcPr>
          <w:p>
            <w:pPr>
              <w:jc w:val="center"/>
              <w:ind w:right="140"/>
              <w:spacing w:after="0" w:line="108" w:lineRule="exact"/>
              <w:rPr>
                <w:sz w:val="20"/>
                <w:szCs w:val="20"/>
                <w:color w:val="auto"/>
              </w:rPr>
            </w:pPr>
            <w:r>
              <w:rPr>
                <w:rFonts w:ascii="Times New Roman" w:cs="Times New Roman" w:eastAsia="Times New Roman" w:hAnsi="Times New Roman"/>
                <w:sz w:val="12"/>
                <w:szCs w:val="12"/>
                <w:b w:val="1"/>
                <w:bCs w:val="1"/>
                <w:color w:val="auto"/>
              </w:rPr>
              <w:t>May Yet Be Purchased</w:t>
            </w:r>
          </w:p>
        </w:tc>
        <w:tc>
          <w:tcPr>
            <w:tcW w:w="0" w:type="dxa"/>
            <w:vAlign w:val="bottom"/>
          </w:tcPr>
          <w:p>
            <w:pPr>
              <w:spacing w:after="0"/>
              <w:rPr>
                <w:sz w:val="1"/>
                <w:szCs w:val="1"/>
                <w:color w:val="auto"/>
              </w:rPr>
            </w:pPr>
          </w:p>
        </w:tc>
      </w:tr>
      <w:tr>
        <w:trPr>
          <w:trHeight w:val="126"/>
        </w:trPr>
        <w:tc>
          <w:tcPr>
            <w:tcW w:w="33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ind w:right="221"/>
              <w:spacing w:after="0"/>
              <w:rPr>
                <w:sz w:val="20"/>
                <w:szCs w:val="20"/>
                <w:color w:val="auto"/>
              </w:rPr>
            </w:pPr>
            <w:r>
              <w:rPr>
                <w:rFonts w:ascii="Times New Roman" w:cs="Times New Roman" w:eastAsia="Times New Roman" w:hAnsi="Times New Roman"/>
                <w:sz w:val="10"/>
                <w:szCs w:val="10"/>
                <w:b w:val="1"/>
                <w:bCs w:val="1"/>
                <w:color w:val="auto"/>
              </w:rPr>
              <w:t>(1)</w:t>
            </w:r>
          </w:p>
        </w:tc>
        <w:tc>
          <w:tcPr>
            <w:tcW w:w="18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63"/>
        </w:trPr>
        <w:tc>
          <w:tcPr>
            <w:tcW w:w="33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August 1-31,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306,000</w:t>
            </w:r>
          </w:p>
        </w:tc>
        <w:tc>
          <w:tcPr>
            <w:tcW w:w="5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1-30,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708,598</w:t>
            </w:r>
          </w:p>
        </w:tc>
        <w:tc>
          <w:tcPr>
            <w:tcW w:w="50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ind w:left="7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Average price paid per share includes transaction costs associated with the repurchases.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officers adopted or terminated a “Rule 10b5-1 trading arrangement” or “non-Rule 10b5-1 trading arrangement” as such terms are defined in Item 408 of Regulation S-K.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98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98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96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Purchase Agreement, by and among Satcom Direct Holdings, Inc., SDHC Holdings, Inc., Satcom Direct Government Holdings, Inc.,</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ndtHost Holdings, Inc., Satcom Direct, Inc., Satcom Direct Holding Company, LLC, Satcom Direct Government, Inc., ndtHost, LLC,</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Gogo Direct Holdings LLC, James W. Jensen and Gogo Inc., dated as of September 29, 2024 (incorporated by reference to Exhibit 2.1 to</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4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the Current Report on Form 8-K filed by the Company on October 1, 2024)</w:t>
              </w:r>
            </w:hyperlink>
          </w:p>
        </w:tc>
        <w:tc>
          <w:tcPr>
            <w:tcW w:w="20" w:type="dxa"/>
            <w:vAlign w:val="bottom"/>
            <w:tcBorders>
              <w:bottom w:val="single" w:sz="8" w:color="0000EE"/>
            </w:tcBorders>
          </w:tcPr>
          <w:p>
            <w:pPr>
              <w:spacing w:after="0"/>
              <w:rPr>
                <w:sz w:val="17"/>
                <w:szCs w:val="17"/>
                <w:color w:val="auto"/>
              </w:rPr>
            </w:pPr>
          </w:p>
        </w:tc>
        <w:tc>
          <w:tcPr>
            <w:tcW w:w="4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99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OneWeb Distribution Partner Agreement by and between Gogo Business Aviation LLC and Network Access Associates Limited, dated as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8"/>
              </w:rPr>
              <w:t>of May 19, 2022</w:t>
            </w:r>
          </w:p>
        </w:tc>
        <w:tc>
          <w:tcPr>
            <w:tcW w:w="20" w:type="dxa"/>
            <w:vAlign w:val="bottom"/>
            <w:tcBorders>
              <w:bottom w:val="single" w:sz="8" w:color="0000EE"/>
            </w:tcBorders>
          </w:tcPr>
          <w:p>
            <w:pPr>
              <w:spacing w:after="0"/>
              <w:rPr>
                <w:sz w:val="17"/>
                <w:szCs w:val="17"/>
                <w:color w:val="auto"/>
              </w:rPr>
            </w:pPr>
          </w:p>
        </w:tc>
        <w:tc>
          <w:tcPr>
            <w:tcW w:w="87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98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Addendum 2 to OneWeb Distribution Partner Agreement by and between Gogo Business Aviation LLC and Network Access Associates</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Limited, dated as of September 18, 2024 (incorporated by reference to Exhibit 10.1 to the Current Report on Form 8-K filed by the</w:t>
              </w:r>
            </w:hyperlink>
          </w:p>
        </w:tc>
        <w:tc>
          <w:tcPr>
            <w:tcW w:w="5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Company on September 24, 2024)</w:t>
              </w:r>
            </w:hyperlink>
          </w:p>
        </w:tc>
        <w:tc>
          <w:tcPr>
            <w:tcW w:w="7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7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8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7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840" w:type="dxa"/>
            <w:vAlign w:val="bottom"/>
            <w:gridSpan w:val="11"/>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60" w:hanging="821"/>
        <w:spacing w:after="0"/>
        <w:tabs>
          <w:tab w:leader="none" w:pos="12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4" w:lineRule="exact"/>
        <w:rPr>
          <w:rFonts w:ascii="Times New Roman" w:cs="Times New Roman" w:eastAsia="Times New Roman" w:hAnsi="Times New Roman"/>
          <w:sz w:val="18"/>
          <w:szCs w:val="18"/>
          <w:color w:val="auto"/>
        </w:rPr>
      </w:pPr>
    </w:p>
    <w:p>
      <w:pPr>
        <w:ind w:right="1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Certain of the schedules and exhibits to the agreement have been omitted pursuant to Item 601(b)(2) of Regulation S-K. A copy of any omitted schedule or exhibit will be furnished to the SEC upon request; provided, however, that the parties may request confidential treatment for certain portions of the agreement pursuant to Rule 24b-2 of the Exchange Act, for any document so furnished.</w:t>
      </w:r>
    </w:p>
    <w:p>
      <w:pPr>
        <w:spacing w:after="0" w:line="69" w:lineRule="exact"/>
        <w:rPr>
          <w:sz w:val="20"/>
          <w:szCs w:val="20"/>
          <w:color w:val="auto"/>
        </w:rPr>
      </w:pPr>
    </w:p>
    <w:p>
      <w:pPr>
        <w:ind w:right="20" w:firstLine="8"/>
        <w:spacing w:after="0" w:line="281" w:lineRule="auto"/>
        <w:tabs>
          <w:tab w:leader="none" w:pos="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 of Regulation S-K. If requested by the SEC or its staff, the Company will promptly provide on a supplemental basis an unredacted copy of the exhibit and its materiality and privacy or confidentiality analyses.</w:t>
      </w:r>
    </w:p>
    <w:p>
      <w:pPr>
        <w:spacing w:after="0" w:line="55" w:lineRule="exact"/>
        <w:rPr>
          <w:sz w:val="20"/>
          <w:szCs w:val="20"/>
          <w:color w:val="auto"/>
        </w:rPr>
      </w:pPr>
    </w:p>
    <w:p>
      <w:pPr>
        <w:ind w:right="240" w:firstLine="8"/>
        <w:spacing w:after="0" w:line="265" w:lineRule="auto"/>
        <w:tabs>
          <w:tab w:leader="none" w:pos="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 and is not to be incorporated by reference into any filing of the Registrant under the Securities Act of 1933, as amended, or the Exchange Act (whether made before or after the date of the Form 10-Q), irrespective of any general incorporation language contained in such filing.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Gogo Inc.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as private or confidential.</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ONEWEB</w:t>
      </w:r>
    </w:p>
    <w:p>
      <w:pPr>
        <w:jc w:val="center"/>
        <w:spacing w:after="0"/>
        <w:rPr>
          <w:sz w:val="20"/>
          <w:szCs w:val="20"/>
          <w:color w:val="auto"/>
        </w:rPr>
      </w:pPr>
      <w:r>
        <w:rPr>
          <w:rFonts w:ascii="Times New Roman" w:cs="Times New Roman" w:eastAsia="Times New Roman" w:hAnsi="Times New Roman"/>
          <w:sz w:val="20"/>
          <w:szCs w:val="20"/>
          <w:b w:val="1"/>
          <w:bCs w:val="1"/>
          <w:color w:val="auto"/>
        </w:rPr>
        <w:t>DISTRIBUTION PARTNER AGREEMENT</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This Distribution Partner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effective as of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May 2022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xml:space="preserve">”) by and between </w:t>
      </w:r>
      <w:r>
        <w:rPr>
          <w:rFonts w:ascii="Times New Roman" w:cs="Times New Roman" w:eastAsia="Times New Roman" w:hAnsi="Times New Roman"/>
          <w:sz w:val="20"/>
          <w:szCs w:val="20"/>
          <w:b w:val="1"/>
          <w:bCs w:val="1"/>
          <w:color w:val="auto"/>
        </w:rPr>
        <w:t xml:space="preserve">Gogo Business Aviation, LLC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 Partner</w:t>
      </w:r>
      <w:r>
        <w:rPr>
          <w:rFonts w:ascii="Times New Roman" w:cs="Times New Roman" w:eastAsia="Times New Roman" w:hAnsi="Times New Roman"/>
          <w:sz w:val="20"/>
          <w:szCs w:val="20"/>
          <w:color w:val="auto"/>
        </w:rPr>
        <w:t>”), a company incorporated under the laws of Delaware, USA], with its principal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place of business at 105 Edgeview Dr, Ste 300, Broomfield, CO 80021 United States, and </w:t>
      </w:r>
      <w:r>
        <w:rPr>
          <w:rFonts w:ascii="Times New Roman" w:cs="Times New Roman" w:eastAsia="Times New Roman" w:hAnsi="Times New Roman"/>
          <w:sz w:val="20"/>
          <w:szCs w:val="20"/>
          <w:b w:val="1"/>
          <w:bCs w:val="1"/>
          <w:color w:val="auto"/>
        </w:rPr>
        <w:t>Network Access Associates Limited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OneWeb</w:t>
      </w:r>
      <w:r>
        <w:rPr>
          <w:rFonts w:ascii="Times New Roman" w:cs="Times New Roman" w:eastAsia="Times New Roman" w:hAnsi="Times New Roman"/>
          <w:sz w:val="20"/>
          <w:szCs w:val="20"/>
          <w:color w:val="auto"/>
        </w:rPr>
        <w:t xml:space="preserve">”), a company incorporated under the laws of England, with its principal place of business at </w:t>
      </w:r>
      <w:r>
        <w:rPr>
          <w:rFonts w:ascii="Times New Roman" w:cs="Times New Roman" w:eastAsia="Times New Roman" w:hAnsi="Times New Roman"/>
          <w:sz w:val="20"/>
          <w:szCs w:val="20"/>
          <w:b w:val="1"/>
          <w:bCs w:val="1"/>
          <w:color w:val="auto"/>
        </w:rPr>
        <w:t>West Works Building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195 Wood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Lane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London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W12 7FQ</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United Kingdom</w:t>
      </w:r>
      <w:r>
        <w:rPr>
          <w:rFonts w:ascii="Times New Roman" w:cs="Times New Roman" w:eastAsia="Times New Roman" w:hAnsi="Times New Roman"/>
          <w:sz w:val="20"/>
          <w:szCs w:val="20"/>
          <w:color w:val="auto"/>
        </w:rPr>
        <w:t>. OneWeb and Distribution Partner are referred to in this Agreement individually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Distribution Partner wishes to use internally for its own business purposes the OneWeb Services (as defined below) and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by OneWeb as a distributor of OneWeb Services for use by End Users, and OneWeb desires to so allow such use and authorize Distribution Partner, in each case subject to and in accordance with the terms and conditions set forth in this Agreement.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promises and of the mutual agreements and covenants hereinafter set forth and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receipt and sufficiency of which are hereby acknowledged, and intending to be legally bound, the Parties agree as follows:</w:t>
      </w:r>
    </w:p>
    <w:p>
      <w:pPr>
        <w:spacing w:after="0" w:line="116"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Exhibits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Exhibits are attached hereto and incorporated by this reference to this Agreement:</w:t>
      </w:r>
    </w:p>
    <w:p>
      <w:pPr>
        <w:spacing w:after="0" w:line="161"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1 (Distribution Partner’s Authorized Vertical Markets and Territories, Authorized OneWeb Services and Pricing);</w:t>
      </w:r>
    </w:p>
    <w:p>
      <w:pPr>
        <w:spacing w:after="0" w:line="16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2 (OneWeb Service Boundary, Service Levels and Description);</w:t>
      </w:r>
    </w:p>
    <w:p>
      <w:pPr>
        <w:spacing w:after="0" w:line="161" w:lineRule="exact"/>
        <w:rPr>
          <w:rFonts w:ascii="Times New Roman" w:cs="Times New Roman" w:eastAsia="Times New Roman" w:hAnsi="Times New Roman"/>
          <w:sz w:val="20"/>
          <w:szCs w:val="20"/>
          <w:color w:val="auto"/>
        </w:rPr>
      </w:pPr>
    </w:p>
    <w:p>
      <w:pPr>
        <w:ind w:left="760" w:hanging="752"/>
        <w:spacing w:after="0" w:line="268" w:lineRule="auto"/>
        <w:tabs>
          <w:tab w:leader="none" w:pos="7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3 (Distribution Partner’s Obligations to Sub-Distributor and End Users; and Required Flow-down Provisions in all Service Contracts); and</w:t>
      </w:r>
    </w:p>
    <w:p>
      <w:pPr>
        <w:spacing w:after="0" w:line="106"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4 (OneWeb Branding Guidelines).</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During the Term, OneWeb may - at any time and in its sole discretion - change, update and/or modify any of the foregoing Exhibits (each, an “</w:t>
      </w:r>
      <w:r>
        <w:rPr>
          <w:rFonts w:ascii="Times New Roman" w:cs="Times New Roman" w:eastAsia="Times New Roman" w:hAnsi="Times New Roman"/>
          <w:sz w:val="20"/>
          <w:szCs w:val="20"/>
          <w:b w:val="1"/>
          <w:bCs w:val="1"/>
          <w:color w:val="auto"/>
        </w:rPr>
        <w:t>Updated Exhibit</w:t>
      </w:r>
      <w:r>
        <w:rPr>
          <w:rFonts w:ascii="Times New Roman" w:cs="Times New Roman" w:eastAsia="Times New Roman" w:hAnsi="Times New Roman"/>
          <w:sz w:val="20"/>
          <w:szCs w:val="20"/>
          <w:color w:val="auto"/>
        </w:rPr>
        <w:t>”) by providing Distribution Partner a copy of any such Updated Exhibit in whole or in part with at least thirty (30) days’ written notice, which such Updated Exhibit shall immediately replace any current such Exhibit upon expiration of the thirty (30) days. Notwithstanding the foregoing, (i) [***]; (ii) subject to 1(d)(i) above OneWeb’s notice period shall be extended to at least ninety (90) days’ written notice for any change to Exhibit 1 that modifies, withdraws and/or retires Distribution Partner’s authorized OneWeb Services provided for therein; and (iii) unless otherwise required by applicable Laws, such Updated Exhibits shall not apply to any OneWeb Services provided by OneWeb under any current Orders with Distribution Partner or where Distribution Partner has given notice to OneWeb of a committed End User order for the purchase of OneWeb Approved Equipment, which will be activated within six (6) months of the date of notification, prior to the applicable modification date until the later of (x) expiration of the initial term or then current renewal term, as applicable, of such Order, or (y) the expiration of the notice periods set forth above.</w:t>
      </w:r>
    </w:p>
    <w:p>
      <w:pPr>
        <w:spacing w:after="0" w:line="131"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Definitions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specified herein, capitalized terms used in this Agreement shall have the meanings set forth in this Section: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Acceptable Use Policy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AUP</w:t>
      </w:r>
      <w:r>
        <w:rPr>
          <w:rFonts w:ascii="Times New Roman" w:cs="Times New Roman" w:eastAsia="Times New Roman" w:hAnsi="Times New Roman"/>
          <w:sz w:val="20"/>
          <w:szCs w:val="20"/>
          <w:color w:val="auto"/>
        </w:rPr>
        <w:t>”) means that definition as given to it in Exhibit 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5" w:name="page46"/>
    <w:bookmarkEnd w:id="45"/>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all laws, rules and regulations relating to the prevention of corruption, bribery, improper business practices or improper payments, gratuities or inducements, including, without limitation, any law, rules or regulations implementing the OECD Convention of Combating Bribery of Foreign Public Officials in International Business Transactions as well as the U.K. Bribery Act 2010 and, if Distribution Partner is located in the U.S. or WorldVu Development, LLC is the OneWeb entity executing this Agreement, the U.S. Foreign Corrupt Practices Act of 1977, as amended.</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 means the date notified to Distribution Partner by OneWeb that the OneWeb Services are available for use and distribution by Distribution Partner in a particular Vertical Market within a particular Territory consistent with and pursuant to the terms and conditions of this Agreement. For the avoidance of doubt, there may be multiple Commencement Dates under this Agreement.</w:t>
      </w:r>
    </w:p>
    <w:p>
      <w:pPr>
        <w:spacing w:after="0" w:line="1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any confidential or proprietary information of either Party that is clearly identified as confidential and/or proprietary by the disclosing Party or would otherwise be reasonably recognized from the surrounding facts and circumstances to be proprietary or confidential to the disclosing Party, including, without limitation, any Intellectual Property disclosed by the disclosing Party, the terms of this Agreement and any information of the disclosing Party concerning the operation, business, projections, market goals, pricing, financial affairs, products, or services. For the avoidance of doubt, OneWeb’s Confidential Information shall include, without limitation, the OneWeb Network, the OneWeb Services and all network data, details, statistics, metrics, measurements and any other information collected and generated therefrom.</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End Users</w:t>
      </w:r>
      <w:r>
        <w:rPr>
          <w:rFonts w:ascii="Times New Roman" w:cs="Times New Roman" w:eastAsia="Times New Roman" w:hAnsi="Times New Roman"/>
          <w:sz w:val="20"/>
          <w:szCs w:val="20"/>
          <w:color w:val="auto"/>
        </w:rPr>
        <w:t>” means Distribution Partner as an end user customer and/or Distribution Partner’s (or its Sub-Distributor’s) end user customers; who access and/or use the OneWeb Services from or through Distribution Partner or its Sub-Distributors, which includes, without limitation, Sub-Distributors that access and/or use the OneWeb Services.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 Fees</w:t>
      </w:r>
      <w:r>
        <w:rPr>
          <w:rFonts w:ascii="Times New Roman" w:cs="Times New Roman" w:eastAsia="Times New Roman" w:hAnsi="Times New Roman"/>
          <w:sz w:val="19"/>
          <w:szCs w:val="19"/>
          <w:color w:val="auto"/>
        </w:rPr>
        <w:t>” means all government permit fees, tariff fees and similar fees that either Party may incur with respect to this Agreement.</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all worldwide intellectual property, whether registered and unregistered, including, without limitation, inventions, patents, copyrights, trademarks, service marks, trade names, trade secrets, know-how, mask works, computer software, computer source code, ideas, processes, discoveries, methods, and all other forms of intellectual property of every kind and nature throughout the universe and however designated and any renewal rights, future rights or applications for registration relating thereto.</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means all applicable federal, state or local laws, rules, regulations, and/or restrictions, foreign or domestic, including, without limitation, those of the U.S. Federal Communications Commission, the U.S. regarding export control, with respect to Intellectual Property rights and concerning defamation, obscenity, privacy, and data protection.</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OneWeb Approved Equipment</w:t>
      </w:r>
      <w:r>
        <w:rPr>
          <w:rFonts w:ascii="Times New Roman" w:cs="Times New Roman" w:eastAsia="Times New Roman" w:hAnsi="Times New Roman"/>
          <w:sz w:val="20"/>
          <w:szCs w:val="20"/>
          <w:color w:val="auto"/>
        </w:rPr>
        <w:t>” means the OneWeb approved Type Certified antenna terminals as further outlined in this Agreement by OneWeb for use by Distribution Partner, Sub-Distributors and/or End User for purposes of transmitting and/or receiving mobility or fixed service-related data communications through the OneWeb Network or such other equipment as may be identified by OneWeb in its sole discretion upon notice to Distribution Partner.</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OneWeb Approved Equipment Data</w:t>
      </w:r>
      <w:r>
        <w:rPr>
          <w:rFonts w:ascii="Times New Roman" w:cs="Times New Roman" w:eastAsia="Times New Roman" w:hAnsi="Times New Roman"/>
          <w:sz w:val="20"/>
          <w:szCs w:val="20"/>
          <w:color w:val="auto"/>
        </w:rPr>
        <w:t>” means the OneWeb Approved Equipment data, details, statistics, metrics, measurements and any other information collected and generated therefrom related to the functioning, use and performance of the OneWeb Approved Equipment but excluding any End User communications transmitted to or from the OneWeb Services, the OneWeb Network and/or the OneWeb Approved Equipment by an End User.</w:t>
      </w:r>
    </w:p>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6" w:name="page47"/>
    <w:bookmarkEnd w:id="46"/>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OneWeb Marks</w:t>
      </w:r>
      <w:r>
        <w:rPr>
          <w:rFonts w:ascii="Times New Roman" w:cs="Times New Roman" w:eastAsia="Times New Roman" w:hAnsi="Times New Roman"/>
          <w:sz w:val="20"/>
          <w:szCs w:val="20"/>
          <w:color w:val="auto"/>
        </w:rPr>
        <w:t>” means OneWeb’s trademarks, tradenames, service marks and/or logos.</w:t>
      </w:r>
    </w:p>
    <w:p>
      <w:pPr>
        <w:spacing w:after="0" w:line="1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OneWeb Network</w:t>
      </w:r>
      <w:r>
        <w:rPr>
          <w:rFonts w:ascii="Times New Roman" w:cs="Times New Roman" w:eastAsia="Times New Roman" w:hAnsi="Times New Roman"/>
          <w:sz w:val="20"/>
          <w:szCs w:val="20"/>
          <w:color w:val="auto"/>
        </w:rPr>
        <w:t>” means OneWeb’s data transmission service, which is owned and operated by OneWeb, excluding the OneWeb Approved Equipment.</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OneWeb Services</w:t>
      </w:r>
      <w:r>
        <w:rPr>
          <w:rFonts w:ascii="Times New Roman" w:cs="Times New Roman" w:eastAsia="Times New Roman" w:hAnsi="Times New Roman"/>
          <w:sz w:val="20"/>
          <w:szCs w:val="20"/>
          <w:color w:val="auto"/>
        </w:rPr>
        <w:t>” means OneWeb’s satellite communication data services and/or products, as relating to Distribution Partner, specifically set forth in Exhibit 1 of this Agreement, which are generally described in Exhibit 2 of this Agreement, including, without limitation, those SLAs contained therein.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 written order form from Distribution Partner to OneWeb (a) requesting the purchase of the OneWeb Services; and (b) requiring OneWeb’s acceptance, in its sole discretion, which shall contain specific terms and conditions relevant to such order as agreed between the Parties (including, without limitation, its applicable term, which shall start from the Activation Date, and pricing).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PoP(s)</w:t>
      </w:r>
      <w:r>
        <w:rPr>
          <w:rFonts w:ascii="Times New Roman" w:cs="Times New Roman" w:eastAsia="Times New Roman" w:hAnsi="Times New Roman"/>
          <w:sz w:val="20"/>
          <w:szCs w:val="20"/>
          <w:color w:val="auto"/>
        </w:rPr>
        <w:t>” means any point-of-presence.</w:t>
      </w:r>
    </w:p>
    <w:p>
      <w:pPr>
        <w:spacing w:after="0" w:line="1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Prices</w:t>
      </w:r>
      <w:r>
        <w:rPr>
          <w:rFonts w:ascii="Times New Roman" w:cs="Times New Roman" w:eastAsia="Times New Roman" w:hAnsi="Times New Roman"/>
          <w:sz w:val="20"/>
          <w:szCs w:val="20"/>
          <w:color w:val="auto"/>
        </w:rPr>
        <w:t>” means the prices detailed in Exhibit 1 of this Agreement that are charged by OneWeb to Distribution Partner for the OneWeb Services.</w:t>
      </w:r>
    </w:p>
    <w:p>
      <w:pPr>
        <w:spacing w:after="0" w:line="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any laws, rules, regulations or executive orders relating to economic, financial, or trade sanctions implemented or enforced by: (a) the U.S. Government including, without limitation, the Office of Foreign Assets Control of the U.S. Department of the Treasury and the U.S. Department of State; (b) the United Kingdom including, without limitation, the Office of Financial Sanctions Implementation of Her Majesty’s Treasury; and/or (c) any other relevant governmental authority that implements or enforces economic, financial, or trade sanctions.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 Contract(s)</w:t>
      </w:r>
      <w:r>
        <w:rPr>
          <w:rFonts w:ascii="Times New Roman" w:cs="Times New Roman" w:eastAsia="Times New Roman" w:hAnsi="Times New Roman"/>
          <w:sz w:val="20"/>
          <w:szCs w:val="20"/>
          <w:color w:val="auto"/>
        </w:rPr>
        <w:t>” means either a contract between (a) Distribution Partner (or its Sub-Distributor) and each of its End Users for the provision of the OneWeb Services (indirectly or directly) to each such End User; or (b) Distribution Partner (or its Sub-Distributors) and one of its other Sub-Distributors to permit such Sub-Distributor to distribute the OneWeb Services (indirectly or directly).</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Sub-Distributor</w:t>
      </w:r>
      <w:r>
        <w:rPr>
          <w:rFonts w:ascii="Times New Roman" w:cs="Times New Roman" w:eastAsia="Times New Roman" w:hAnsi="Times New Roman"/>
          <w:sz w:val="20"/>
          <w:szCs w:val="20"/>
          <w:color w:val="auto"/>
        </w:rPr>
        <w:t>” means a person or entity who enters into a Service Contract with Distribution Partner (or any of its other sub-distributors) for the right to distribute the OneWeb Services. For the avoidance of doubt, a Sub-Distributor that also accesses and makes use of the OneWeb Services will be considered both an End User and a Sub-Distributor under this Agreement.</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System Data</w:t>
      </w:r>
      <w:r>
        <w:rPr>
          <w:rFonts w:ascii="Times New Roman" w:cs="Times New Roman" w:eastAsia="Times New Roman" w:hAnsi="Times New Roman"/>
          <w:sz w:val="19"/>
          <w:szCs w:val="19"/>
          <w:color w:val="auto"/>
        </w:rPr>
        <w:t>” means (a) all End User network data, details, statistics, metrics, measurements and other information collected and generated by the OneWeb Services, the OneWeb Network, and/or the OneWeb Approved Equipment but excluding any End User communications traffic transmitted to or from the OneWeb Services, the OneWeb Network and/or the OneWeb Approved Equipment by or for an End User; and (b) any initial, final, or intermediate product or output of the application of analytical or data processing techniques used to generate and analyze any of the foregoing End User information (whether done by OneWeb, Distribution Partner or by any other third party).</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taxes and duties (including, without limitation, business, sales, goods and services, universal service levies, charges, levies, withholding, customs duties, use and value-added taxes and any applicable penalties, interest and other additions thereto, but excluding taxes based on the net income of OneWeb) which are imposed by or under the authority of any local, state, national, or foreign government entity thereof with respect to or arising out of the provision of the OneWeb Services hereunder.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Territories</w:t>
      </w:r>
      <w:r>
        <w:rPr>
          <w:rFonts w:ascii="Times New Roman" w:cs="Times New Roman" w:eastAsia="Times New Roman" w:hAnsi="Times New Roman"/>
          <w:sz w:val="20"/>
          <w:szCs w:val="20"/>
          <w:color w:val="auto"/>
        </w:rPr>
        <w:t>” means Distribution Partner’s authorized territories provided in Exhibit 1 of this Agreement.</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7" w:name="page48"/>
    <w:bookmarkEnd w:id="47"/>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Vertical Market</w:t>
      </w:r>
      <w:r>
        <w:rPr>
          <w:rFonts w:ascii="Times New Roman" w:cs="Times New Roman" w:eastAsia="Times New Roman" w:hAnsi="Times New Roman"/>
          <w:sz w:val="20"/>
          <w:szCs w:val="20"/>
          <w:color w:val="auto"/>
        </w:rPr>
        <w:t>” means Distribution Partner’s authorized vertical market classification as relating to Distribution Partner, specifically set forth in Exhibit 1 of this Agreement, which are generally described in Exhibit 2 of this Agreement.</w:t>
      </w:r>
    </w:p>
    <w:p>
      <w:pPr>
        <w:spacing w:after="0" w:line="99"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Appointment and Acceptance; and Ordering Process</w:t>
      </w:r>
    </w:p>
    <w:p>
      <w:pPr>
        <w:spacing w:after="0" w:line="165" w:lineRule="exact"/>
        <w:rPr>
          <w:sz w:val="20"/>
          <w:szCs w:val="20"/>
          <w:color w:val="auto"/>
        </w:rPr>
      </w:pPr>
    </w:p>
    <w:p>
      <w:pPr>
        <w:jc w:val="both"/>
        <w:ind w:left="760" w:hanging="752"/>
        <w:spacing w:after="0" w:line="243" w:lineRule="auto"/>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and subject to the terms and conditions of this Agreement, (1) OneWeb appoints Distribution Partner on a non-exclusive basis as a direct (or indirect solely through a Sub-Distributor) distributor to purchase the OneWeb Services for resale to End Users (or where Distribution Partner is itself an End User) within only those Vertical Markets and for use within those Territories provided for in Exhibit 1 of this Agreement, which shall permit Distribution Partner to (i) integrate the OneWeb Services with Distribution Partner’s own value-added services and/or (ii) use the OneWeb Services internally for its own business purposes when Distribution Partner is itself an End User; and (2) Distribution Partner accepts such appointment and shall use commercially reasonable efforts, as agreed between OneWeb and Distribution Partner, to actively market, promote, offer and resell the OneWeb Services.</w:t>
      </w:r>
    </w:p>
    <w:p>
      <w:pPr>
        <w:spacing w:after="0" w:line="132" w:lineRule="exact"/>
        <w:rPr>
          <w:rFonts w:ascii="Times New Roman" w:cs="Times New Roman" w:eastAsia="Times New Roman" w:hAnsi="Times New Roman"/>
          <w:sz w:val="20"/>
          <w:szCs w:val="20"/>
          <w:color w:val="auto"/>
        </w:rPr>
      </w:pPr>
    </w:p>
    <w:p>
      <w:pPr>
        <w:jc w:val="both"/>
        <w:ind w:left="760" w:hanging="752"/>
        <w:spacing w:after="0" w:line="253" w:lineRule="auto"/>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Distribution Partner as a distributor in Section 3(a) (1) is limited to the resale of the OneWeb Services with the OneWeb Approved Equipment; and (2) does not permit direct or indirect use of the OneWeb Services by any person or entity other than End Users.</w:t>
      </w:r>
    </w:p>
    <w:p>
      <w:pPr>
        <w:spacing w:after="0" w:line="122" w:lineRule="exact"/>
        <w:rPr>
          <w:rFonts w:ascii="Times New Roman" w:cs="Times New Roman" w:eastAsia="Times New Roman" w:hAnsi="Times New Roman"/>
          <w:sz w:val="20"/>
          <w:szCs w:val="20"/>
          <w:color w:val="auto"/>
        </w:rPr>
      </w:pPr>
    </w:p>
    <w:p>
      <w:pPr>
        <w:jc w:val="both"/>
        <w:ind w:left="760" w:hanging="752"/>
        <w:spacing w:after="0" w:line="244" w:lineRule="auto"/>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Partner may order any of the OneWeb Services by submitting an order to OneWeb providing a minimum data set that is required to process such order, which will be detailed by OneWeb to Distribution Partner during the onboarding process. OneWeb may in its sole discretion, refuse to accept any Order (including, without limitation, due to the availability of capacity on the OneWeb Network and the availability of the OneWeb Approved Equipment required to deliver such offering). In the event of a conflict between a provision of this Agreement and a provision of an Order which is expressly stated to take precedence over this Agreement, such provision of the Order shall control to the extent of such conflict but in all other respects this Agreement shall remain in full force and effect.</w:t>
      </w:r>
    </w:p>
    <w:p>
      <w:pPr>
        <w:spacing w:after="0" w:line="129" w:lineRule="exact"/>
        <w:rPr>
          <w:rFonts w:ascii="Times New Roman" w:cs="Times New Roman" w:eastAsia="Times New Roman" w:hAnsi="Times New Roman"/>
          <w:sz w:val="20"/>
          <w:szCs w:val="20"/>
          <w:color w:val="auto"/>
        </w:rPr>
      </w:pPr>
    </w:p>
    <w:p>
      <w:pPr>
        <w:jc w:val="both"/>
        <w:ind w:left="760" w:hanging="752"/>
        <w:spacing w:after="0" w:line="253" w:lineRule="auto"/>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Distribution Partner gives advance notice of an End User order for the purchase of OneWeb Approved Equipment which is installed on aircraft for use with the OneWeb Services, OneWeb and Distribution Partner will review the availability of capacity and Distribution Partner’s advance requirements in connection with the End Users’ purchase of OneWeb Approved Equipment.</w:t>
      </w:r>
    </w:p>
    <w:p>
      <w:pPr>
        <w:spacing w:after="0" w:line="122" w:lineRule="exact"/>
        <w:rPr>
          <w:rFonts w:ascii="Times New Roman" w:cs="Times New Roman" w:eastAsia="Times New Roman" w:hAnsi="Times New Roman"/>
          <w:sz w:val="20"/>
          <w:szCs w:val="20"/>
          <w:color w:val="auto"/>
        </w:rPr>
      </w:pPr>
    </w:p>
    <w:p>
      <w:pPr>
        <w:jc w:val="both"/>
        <w:ind w:left="760" w:hanging="752"/>
        <w:spacing w:after="0" w:line="253" w:lineRule="auto"/>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limits OneWeb’s right to make other sales of any kind of the OneWeb Services or to appoint additional entities with a right to sell or offer for sale any or all of the OneWeb Services, including, without limitation, as resellers, distributors, sales representatives, and consultants.</w:t>
      </w:r>
    </w:p>
    <w:p>
      <w:pPr>
        <w:spacing w:after="0" w:line="122" w:lineRule="exact"/>
        <w:rPr>
          <w:rFonts w:ascii="Times New Roman" w:cs="Times New Roman" w:eastAsia="Times New Roman" w:hAnsi="Times New Roman"/>
          <w:sz w:val="20"/>
          <w:szCs w:val="20"/>
          <w:color w:val="auto"/>
        </w:rPr>
      </w:pPr>
    </w:p>
    <w:p>
      <w:pPr>
        <w:jc w:val="both"/>
        <w:ind w:left="760" w:hanging="752"/>
        <w:spacing w:after="0" w:line="253" w:lineRule="auto"/>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in this Agreement, Distribution Partner agrees that, prior to the corresponding Commencement Date for specific OneWeb Services, it shall not (1) commence activation requests with respect to OneWeb Services and/or (2) allow any End Users to use such OneWeb Services.</w:t>
      </w:r>
    </w:p>
    <w:p>
      <w:pPr>
        <w:spacing w:after="0" w:line="3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8" w:name="page49"/>
    <w:bookmarkEnd w:id="48"/>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3" w:lineRule="exact"/>
        <w:rPr>
          <w:sz w:val="20"/>
          <w:szCs w:val="20"/>
          <w:color w:val="auto"/>
        </w:rPr>
      </w:pPr>
    </w:p>
    <w:p>
      <w:pPr>
        <w:ind w:left="760" w:hanging="752"/>
        <w:spacing w:after="0"/>
        <w:tabs>
          <w:tab w:leader="none" w:pos="760" w:val="left"/>
        </w:tabs>
        <w:numPr>
          <w:ilvl w:val="0"/>
          <w:numId w:val="4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Obligations of the Parties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respectively agree to the following:</w:t>
      </w:r>
    </w:p>
    <w:p>
      <w:pPr>
        <w:spacing w:after="0" w:line="157"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Distribution Partner Obligations</w:t>
      </w:r>
      <w:r>
        <w:rPr>
          <w:rFonts w:ascii="Times New Roman" w:cs="Times New Roman" w:eastAsia="Times New Roman" w:hAnsi="Times New Roman"/>
          <w:sz w:val="20"/>
          <w:szCs w:val="20"/>
          <w:color w:val="auto"/>
        </w:rPr>
        <w:t>. Distribution Partner represents, warrants and covenants that it shall:</w:t>
      </w:r>
    </w:p>
    <w:p>
      <w:pPr>
        <w:spacing w:after="0" w:line="165"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advertise and/or promote the OneWeb Services, per the mutually agreed marketing plan, at its expense, (i) in accordance with Exhibit 4 of this Agreement and (ii) in a commercially reasonable, ethical, professional and lawful manner with no less than the level of care that it applies to the sale of any of its own value-added services and/or re-sale of any other third-party services;</w:t>
      </w:r>
    </w:p>
    <w:p>
      <w:pPr>
        <w:spacing w:after="0" w:line="124" w:lineRule="exact"/>
        <w:rPr>
          <w:rFonts w:ascii="Times New Roman" w:cs="Times New Roman" w:eastAsia="Times New Roman" w:hAnsi="Times New Roman"/>
          <w:sz w:val="20"/>
          <w:szCs w:val="20"/>
          <w:u w:val="single" w:color="auto"/>
          <w:color w:val="auto"/>
        </w:rPr>
      </w:pPr>
    </w:p>
    <w:p>
      <w:pPr>
        <w:jc w:val="both"/>
        <w:ind w:left="1500" w:hanging="743"/>
        <w:spacing w:after="0" w:line="242" w:lineRule="auto"/>
        <w:tabs>
          <w:tab w:leader="none" w:pos="1500" w:val="left"/>
        </w:tabs>
        <w:numPr>
          <w:ilvl w:val="1"/>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 solely responsible, at its own expense, for (i) any equipment, solutions, and charges related to the OneWeb Services traffic beyond the OneWeb service boundaries as defined in Exhibit 2 of this Agreement including, without limitation, any back office, PoP, End User equipment or co-location of equipment, and the OneWeb Approved Equipment; (ii) the content of any transmission from or to Distribution Partner’s associated OneWeb Approved Equipment or by or to its Sub-Distributors or End Users and made over the OneWeb Network, including, without limitation, any actual or alleged libel, obscenity, indecency, infringement of Intellectual Property rights, or breach of privacy or security content or information displayed or transmitted by Distribution Partner, Sub-Distributor and/or End User; (iii) staffing, operating, and maintaining a network operations center (“NOC”) to provide twenty-four (24) hours a day, seven (7) days a week support to its Sub-Distributor and End Users; (iv) complying, and performing all duties, in accordance with the AUP; and (v) having in place and maintaining throughout the Term commercially appropriate insurance coverage to meet its obligations under this Agreement and as required by Law;</w:t>
      </w:r>
    </w:p>
    <w:p>
      <w:pPr>
        <w:spacing w:after="0" w:line="132" w:lineRule="exact"/>
        <w:rPr>
          <w:rFonts w:ascii="Times New Roman" w:cs="Times New Roman" w:eastAsia="Times New Roman" w:hAnsi="Times New Roman"/>
          <w:sz w:val="20"/>
          <w:szCs w:val="20"/>
          <w:u w:val="single" w:color="auto"/>
          <w:color w:val="auto"/>
        </w:rPr>
      </w:pPr>
    </w:p>
    <w:p>
      <w:pPr>
        <w:jc w:val="both"/>
        <w:ind w:left="1500" w:hanging="743"/>
        <w:spacing w:after="0" w:line="253" w:lineRule="auto"/>
        <w:tabs>
          <w:tab w:leader="none" w:pos="1500" w:val="left"/>
        </w:tabs>
        <w:numPr>
          <w:ilvl w:val="1"/>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not (i) engage in any practices that may harm or be detrimental to OneWeb, the OneWeb Marks, OneWeb’s brand and/or the public image, reputation or goodwill of OneWeb and/or (ii) make any unauthorized representation and warranty, whether written or oral to any third party relating to any of the OneWeb Services;</w:t>
      </w:r>
    </w:p>
    <w:p>
      <w:pPr>
        <w:spacing w:after="0" w:line="122" w:lineRule="exact"/>
        <w:rPr>
          <w:rFonts w:ascii="Times New Roman" w:cs="Times New Roman" w:eastAsia="Times New Roman" w:hAnsi="Times New Roman"/>
          <w:sz w:val="20"/>
          <w:szCs w:val="20"/>
          <w:u w:val="single" w:color="auto"/>
          <w:color w:val="auto"/>
        </w:rPr>
      </w:pPr>
    </w:p>
    <w:p>
      <w:pPr>
        <w:ind w:left="1500" w:hanging="743"/>
        <w:spacing w:after="0" w:line="268" w:lineRule="auto"/>
        <w:tabs>
          <w:tab w:leader="none" w:pos="1500" w:val="left"/>
        </w:tabs>
        <w:numPr>
          <w:ilvl w:val="1"/>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comply with the current terms of Exhibit 3 of this Agreement: (i) with respect to its Sub-Distributors, End Users and Service Contracts and/or (ii) where Distribution Partner is itself an End User; and</w:t>
      </w:r>
    </w:p>
    <w:p>
      <w:pPr>
        <w:spacing w:after="0" w:line="106" w:lineRule="exact"/>
        <w:rPr>
          <w:rFonts w:ascii="Times New Roman" w:cs="Times New Roman" w:eastAsia="Times New Roman" w:hAnsi="Times New Roman"/>
          <w:sz w:val="20"/>
          <w:szCs w:val="20"/>
          <w:u w:val="single" w:color="auto"/>
          <w:color w:val="auto"/>
        </w:rPr>
      </w:pPr>
    </w:p>
    <w:p>
      <w:pPr>
        <w:jc w:val="both"/>
        <w:ind w:left="1500" w:hanging="743"/>
        <w:spacing w:after="0" w:line="243" w:lineRule="auto"/>
        <w:tabs>
          <w:tab w:leader="none" w:pos="1500" w:val="left"/>
        </w:tabs>
        <w:numPr>
          <w:ilvl w:val="1"/>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without limiting any of Distribution Partner’s obligations under the AUP, (i) develop and enforce the content and application of security policies designed to prevent unwanted or unauthorized activity or access to the OneWeb Services and/or the OneWeb Network; (ii) implement suitable data archiving or other housekeeping activities which minimize the effect of any breach of security to the OneWeb Services and/or the OneWeb Network; (iii) promptly notify OneWeb of any suspected security breach of any Distribution Partner system connected to (or providing access to) the OneWeb Services and/or the OneWeb Network (including, without limitation, the OneWeb Approved Equipment); and (iv) use commercially reasonable efforts to isolate any issues relating to an End User’s environment prior to reporting any issues with the OneWeb Services to OneWeb.</w:t>
      </w:r>
    </w:p>
    <w:p>
      <w:pPr>
        <w:spacing w:after="0" w:line="128" w:lineRule="exact"/>
        <w:rPr>
          <w:rFonts w:ascii="Times New Roman" w:cs="Times New Roman" w:eastAsia="Times New Roman" w:hAnsi="Times New Roman"/>
          <w:sz w:val="20"/>
          <w:szCs w:val="20"/>
          <w:u w:val="single" w:color="auto"/>
          <w:color w:val="auto"/>
        </w:rPr>
      </w:pPr>
    </w:p>
    <w:p>
      <w:pPr>
        <w:jc w:val="both"/>
        <w:ind w:left="760" w:hanging="752"/>
        <w:spacing w:after="0" w:line="275" w:lineRule="auto"/>
        <w:tabs>
          <w:tab w:leader="none" w:pos="76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OneWeb Obligations</w:t>
      </w:r>
      <w:r>
        <w:rPr>
          <w:rFonts w:ascii="Times New Roman" w:cs="Times New Roman" w:eastAsia="Times New Roman" w:hAnsi="Times New Roman"/>
          <w:sz w:val="19"/>
          <w:szCs w:val="19"/>
          <w:color w:val="auto"/>
        </w:rPr>
        <w:t>. Pursuant to the terms and conditions of this Agreement, OneWeb shall (1) provide and maintain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Distribution Partner, Sub-Distributors and End Users the availability of the OneWeb Services in accordance with the service levels set forth in Exhibit 2; (2) provide Distribution Partner with a customer guide which may include, without limitation, information on</w:t>
      </w:r>
    </w:p>
    <w:p>
      <w:pPr>
        <w:spacing w:after="0" w:line="3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9" w:name="page50"/>
    <w:bookmarkEnd w:id="49"/>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7"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raising and tracking Orders, escalation procedures, OneWeb’s key contact manager details, and a schedule of reviews, and that OneWeb will detail and provide to Distribution Partner’s key contract manager prior to the Commencement Date as may be updated by OneWeb from time to time; (3) make available for purchase by Distribution Partner, which may be through an authorized third party, the OneWeb Approved Equipment; (4) if requested by Distribution Partner, OneWeb shall from time to time provide product training to Distribution Partner to be reasonably agreed between the Parties and at Distribution Partner’s cost; and (5) OneWeb agrees to promptly notify Distribution Partner of any suspected security breaches of the OneWeb Network.</w:t>
      </w:r>
    </w:p>
    <w:p>
      <w:pPr>
        <w:spacing w:after="0" w:line="125" w:lineRule="exact"/>
        <w:rPr>
          <w:sz w:val="20"/>
          <w:szCs w:val="20"/>
          <w:color w:val="auto"/>
        </w:rPr>
      </w:pPr>
    </w:p>
    <w:p>
      <w:pPr>
        <w:jc w:val="both"/>
        <w:ind w:left="760" w:hanging="752"/>
        <w:spacing w:after="0" w:line="245"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Quarterly Reviews</w:t>
      </w:r>
      <w:r>
        <w:rPr>
          <w:rFonts w:ascii="Times New Roman" w:cs="Times New Roman" w:eastAsia="Times New Roman" w:hAnsi="Times New Roman"/>
          <w:sz w:val="20"/>
          <w:szCs w:val="20"/>
          <w:color w:val="auto"/>
        </w:rPr>
        <w:t>. Within ninety (90) days after the Effective Date, the Parties shall mutually agree to an agenda and schedule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quarterly review meetings to include, at a minimum: (1) date, time, and venue for meetings, which may be held virtually as required; (2) personnel required to attend the meetings; and (3) updates regarding the number of the OneWeb Approved Equipment activated, revenue generated, progress relative to the revenue commitments (if applicable) set forth in Exhibit 1 of this Agreement, rolling quarterly and annual forecasts for future activations and revenue, technical and NOC/End User/Sub-Distributor support issues and marketing activities.</w:t>
      </w:r>
    </w:p>
    <w:p>
      <w:pPr>
        <w:spacing w:after="0" w:line="128" w:lineRule="exact"/>
        <w:rPr>
          <w:rFonts w:ascii="Times New Roman" w:cs="Times New Roman" w:eastAsia="Times New Roman" w:hAnsi="Times New Roman"/>
          <w:sz w:val="20"/>
          <w:szCs w:val="20"/>
          <w:color w:val="auto"/>
        </w:rPr>
      </w:pPr>
    </w:p>
    <w:p>
      <w:pPr>
        <w:jc w:val="both"/>
        <w:ind w:left="760" w:hanging="752"/>
        <w:spacing w:after="0" w:line="250"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Key Personnel</w:t>
      </w:r>
      <w:r>
        <w:rPr>
          <w:rFonts w:ascii="Times New Roman" w:cs="Times New Roman" w:eastAsia="Times New Roman" w:hAnsi="Times New Roman"/>
          <w:sz w:val="20"/>
          <w:szCs w:val="20"/>
          <w:color w:val="auto"/>
        </w:rPr>
        <w:t>. Upon execution of this Agreement, each Party shall appoint a key contract manager responsible as the central point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contact to liaise with the other Party’s key contract manager to actively manage the relationship between the Parties, including addressing any issues arising under this Agreement (including, without limitation, being the initial point of contact to resolve any dispute, claim, or controversy between the Parties arising out of or relating to this Agreement).</w:t>
      </w:r>
    </w:p>
    <w:p>
      <w:pPr>
        <w:spacing w:after="0" w:line="120"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Prices, Invoicing and Payments</w:t>
      </w:r>
    </w:p>
    <w:p>
      <w:pPr>
        <w:spacing w:after="0" w:line="161" w:lineRule="exact"/>
        <w:rPr>
          <w:sz w:val="20"/>
          <w:szCs w:val="20"/>
          <w:color w:val="auto"/>
        </w:rPr>
      </w:pPr>
    </w:p>
    <w:p>
      <w:pPr>
        <w:jc w:val="both"/>
        <w:ind w:left="760" w:hanging="752"/>
        <w:spacing w:after="0" w:line="242" w:lineRule="auto"/>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Prices</w:t>
      </w:r>
      <w:r>
        <w:rPr>
          <w:rFonts w:ascii="Times New Roman" w:cs="Times New Roman" w:eastAsia="Times New Roman" w:hAnsi="Times New Roman"/>
          <w:sz w:val="20"/>
          <w:szCs w:val="20"/>
          <w:color w:val="auto"/>
        </w:rPr>
        <w:t>. The Prices to Distribution Partner for the OneWeb Services are exclusive of any applicable Taxes. All Taxes shall be borne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Distribution Partner and shall not be considered a part of, a deduction from, or an offset against such Prices except as required by applicable Law, in which case the sum payable by Distribution Partner from which such deduction or withholding is to be made shall be increased to the extent necessary to ensure that, after making such deduction or withholding, OneWeb receives and retains (free from any liability) a net sum equal to the sum it would have received but for such deduction or withholding being required. OneWeb is required to invoice Distribution Partner for all appropriate Taxes which OneWeb is obligated to collect. Additionally, Distribution Partner shall be responsible for any sales and use taxes due to a taxing jurisdiction on applicable products and services billed where OneWeb is not required by applicable Laws to collect such sales and use taxes. In compliance with this provision, Distribution Partner shall execute a Reseller Certificate as set forth in Exhibit 2, Attachment 1 (Reseller Certificate) of this Agreement.</w:t>
      </w:r>
    </w:p>
    <w:p>
      <w:pPr>
        <w:spacing w:after="0" w:line="13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Invoicing and Payments</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left="1500" w:hanging="743"/>
        <w:spacing w:after="0" w:line="243" w:lineRule="auto"/>
        <w:tabs>
          <w:tab w:leader="none" w:pos="1500" w:val="left"/>
        </w:tabs>
        <w:numPr>
          <w:ilvl w:val="1"/>
          <w:numId w:val="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OneWeb shall provide Distribution Partner with a monthly invoice, in advance and in U.S. dollars, due under an Order for the provision of the OneWeb Services to Distribution Partner after each applicable Activation Date (the “</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Charges</w:t>
      </w:r>
      <w:r>
        <w:rPr>
          <w:rFonts w:ascii="Times New Roman" w:cs="Times New Roman" w:eastAsia="Times New Roman" w:hAnsi="Times New Roman"/>
          <w:sz w:val="20"/>
          <w:szCs w:val="20"/>
          <w:color w:val="auto"/>
        </w:rPr>
        <w:t>”) and Distribution Partner shall pay the full amount of such invoice in U.S. dollars by electronic funds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by any other method which has been mutually agreed to by OneWeb and Distribution Partner in writing, within thirty (30) calendar days of the invoice date and (iii) without deduction or setoff. Distribution Partner may dispute the Charges in any invoice in good faith by notifying the OneWeb key contract manager within 15 days of the date of the invoice and may withhold payment of the disputed amount. Any such notice of dispute shall be in writing, shall include the bone fide reasons for the dispute and shall be sent in</w:t>
      </w:r>
    </w:p>
    <w:p>
      <w:pPr>
        <w:spacing w:after="0" w:line="3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0" w:name="page51"/>
    <w:bookmarkEnd w:id="50"/>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7" w:lineRule="exact"/>
        <w:rPr>
          <w:sz w:val="20"/>
          <w:szCs w:val="20"/>
          <w:color w:val="auto"/>
        </w:rPr>
      </w:pPr>
    </w:p>
    <w:p>
      <w:pPr>
        <w:ind w:left="1500" w:right="20"/>
        <w:spacing w:after="0" w:line="268" w:lineRule="auto"/>
        <w:rPr>
          <w:sz w:val="20"/>
          <w:szCs w:val="20"/>
          <w:color w:val="auto"/>
        </w:rPr>
      </w:pPr>
      <w:r>
        <w:rPr>
          <w:rFonts w:ascii="Times New Roman" w:cs="Times New Roman" w:eastAsia="Times New Roman" w:hAnsi="Times New Roman"/>
          <w:sz w:val="20"/>
          <w:szCs w:val="20"/>
          <w:color w:val="auto"/>
        </w:rPr>
        <w:t>accordance with the provisions of Section 13(a). Distribution Partner shall pay the undisputed amount of any invoice by the Payment Due date.</w:t>
      </w:r>
    </w:p>
    <w:p>
      <w:pPr>
        <w:spacing w:after="0" w:line="107" w:lineRule="exact"/>
        <w:rPr>
          <w:sz w:val="20"/>
          <w:szCs w:val="20"/>
          <w:color w:val="auto"/>
        </w:rPr>
      </w:pPr>
    </w:p>
    <w:p>
      <w:pPr>
        <w:jc w:val="both"/>
        <w:ind w:left="1500" w:hanging="743"/>
        <w:spacing w:after="0" w:line="249" w:lineRule="auto"/>
        <w:tabs>
          <w:tab w:leader="none" w:pos="1500" w:val="left"/>
        </w:tabs>
        <w:numPr>
          <w:ilvl w:val="1"/>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undisputed amounts remaining unpaid from Distribution Partner to OneWeb after the required due date shall be subjected to an additional late fee which shall be equivalent to ten percent (10%) per annum of the overdue balance. All payments made by Distribution Partner are non-refundable and shall be applied in the following priority: (i) late fees; (ii) overdue amounts; and (iii) remaining balance.</w:t>
      </w:r>
    </w:p>
    <w:p>
      <w:pPr>
        <w:spacing w:after="0" w:line="120"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4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Term, Termination, Suspension and Effect of Termination</w:t>
      </w:r>
    </w:p>
    <w:p>
      <w:pPr>
        <w:spacing w:after="0" w:line="161" w:lineRule="exact"/>
        <w:rPr>
          <w:sz w:val="20"/>
          <w:szCs w:val="20"/>
          <w:color w:val="auto"/>
        </w:rPr>
      </w:pPr>
    </w:p>
    <w:p>
      <w:pPr>
        <w:jc w:val="both"/>
        <w:ind w:left="760" w:hanging="752"/>
        <w:spacing w:after="0" w:line="247" w:lineRule="auto"/>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This Agreement commences on the Effective Date and, unless earlier terminated pursuant to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continue until the [***] anniversary of the first Commencement Date (the “</w:t>
      </w: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Following the Initial Term, this Agreement will automatically renew for successive one (1) year periods (each a “</w:t>
      </w:r>
      <w:r>
        <w:rPr>
          <w:rFonts w:ascii="Times New Roman" w:cs="Times New Roman" w:eastAsia="Times New Roman" w:hAnsi="Times New Roman"/>
          <w:sz w:val="20"/>
          <w:szCs w:val="20"/>
          <w:b w:val="1"/>
          <w:bCs w:val="1"/>
          <w:color w:val="auto"/>
        </w:rPr>
        <w:t>Renewal Term</w:t>
      </w:r>
      <w:r>
        <w:rPr>
          <w:rFonts w:ascii="Times New Roman" w:cs="Times New Roman" w:eastAsia="Times New Roman" w:hAnsi="Times New Roman"/>
          <w:sz w:val="20"/>
          <w:szCs w:val="20"/>
          <w:color w:val="auto"/>
        </w:rPr>
        <w:t>” and together with the Initial Term,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until one Party provides written notice to the other Party of its intent not to renew at least ninety (90) days prior to the end of the Initial Term or the then current Renewal Term.</w:t>
      </w:r>
    </w:p>
    <w:p>
      <w:pPr>
        <w:spacing w:after="0" w:line="124" w:lineRule="exact"/>
        <w:rPr>
          <w:rFonts w:ascii="Times New Roman" w:cs="Times New Roman" w:eastAsia="Times New Roman" w:hAnsi="Times New Roman"/>
          <w:sz w:val="20"/>
          <w:szCs w:val="20"/>
          <w:color w:val="auto"/>
        </w:rPr>
      </w:pPr>
    </w:p>
    <w:p>
      <w:pPr>
        <w:jc w:val="both"/>
        <w:ind w:left="760" w:hanging="752"/>
        <w:spacing w:after="0" w:line="267" w:lineRule="auto"/>
        <w:tabs>
          <w:tab w:leader="none" w:pos="76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for Breach</w:t>
      </w:r>
      <w:r>
        <w:rPr>
          <w:rFonts w:ascii="Times New Roman" w:cs="Times New Roman" w:eastAsia="Times New Roman" w:hAnsi="Times New Roman"/>
          <w:sz w:val="19"/>
          <w:szCs w:val="19"/>
          <w:color w:val="auto"/>
        </w:rPr>
        <w:t>. Either Party may, upon written notice to the other Party, terminate this Agreement in the event of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 breach of any of the terms and conditions of this Agreement by the other Party and such breach remains uncured (i) for more than ten (10) days following receipt of such written notice for any material failure to timely pay undisputed amounts, or within thirty (30)days following receipt of such written notice for any other breach unless the other Party agrees to a longer cure period.</w:t>
      </w:r>
    </w:p>
    <w:p>
      <w:pPr>
        <w:spacing w:after="0" w:line="124" w:lineRule="exact"/>
        <w:rPr>
          <w:rFonts w:ascii="Times New Roman" w:cs="Times New Roman" w:eastAsia="Times New Roman" w:hAnsi="Times New Roman"/>
          <w:sz w:val="19"/>
          <w:szCs w:val="19"/>
          <w:color w:val="auto"/>
        </w:rPr>
      </w:pPr>
    </w:p>
    <w:p>
      <w:pPr>
        <w:ind w:left="760" w:hanging="752"/>
        <w:spacing w:after="0"/>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w:t>
      </w:r>
    </w:p>
    <w:p>
      <w:pPr>
        <w:spacing w:after="0" w:line="143" w:lineRule="exact"/>
        <w:rPr>
          <w:rFonts w:ascii="Times New Roman" w:cs="Times New Roman" w:eastAsia="Times New Roman" w:hAnsi="Times New Roman"/>
          <w:sz w:val="20"/>
          <w:szCs w:val="20"/>
          <w:color w:val="auto"/>
        </w:rPr>
      </w:pPr>
    </w:p>
    <w:p>
      <w:pPr>
        <w:jc w:val="both"/>
        <w:ind w:left="760" w:hanging="752"/>
        <w:spacing w:after="0" w:line="247" w:lineRule="auto"/>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for Insolvency Rights</w:t>
      </w:r>
      <w:r>
        <w:rPr>
          <w:rFonts w:ascii="Times New Roman" w:cs="Times New Roman" w:eastAsia="Times New Roman" w:hAnsi="Times New Roman"/>
          <w:sz w:val="20"/>
          <w:szCs w:val="20"/>
          <w:color w:val="auto"/>
        </w:rPr>
        <w:t>. This Agreement may be terminated immediately by either Party upon written notice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Party in the event such other Party (1) ceases doing business in the ordinary course; or (2) files a petition in bankruptcy or is adjudicated bankrupt or insolvent, or files or has filed against it any petition under the insolvency or bankruptcy Law of any jurisdiction seeking any reorganization, composition, liquidation or similar relief; or (3) makes any general assignment for the benefit of its creditors; or (4) admits in writing its inability to pay its debts generally as they become due.</w:t>
      </w:r>
    </w:p>
    <w:p>
      <w:pPr>
        <w:spacing w:after="0" w:line="124"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p>
    <w:p>
      <w:pPr>
        <w:spacing w:after="0" w:line="161" w:lineRule="exact"/>
        <w:rPr>
          <w:rFonts w:ascii="Times New Roman" w:cs="Times New Roman" w:eastAsia="Times New Roman" w:hAnsi="Times New Roman"/>
          <w:sz w:val="20"/>
          <w:szCs w:val="20"/>
          <w:color w:val="auto"/>
        </w:rPr>
      </w:pPr>
    </w:p>
    <w:p>
      <w:pPr>
        <w:ind w:left="760" w:hanging="752"/>
        <w:spacing w:after="0" w:line="272" w:lineRule="auto"/>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Suspension</w:t>
      </w:r>
      <w:r>
        <w:rPr>
          <w:rFonts w:ascii="Times New Roman" w:cs="Times New Roman" w:eastAsia="Times New Roman" w:hAnsi="Times New Roman"/>
          <w:sz w:val="20"/>
          <w:szCs w:val="20"/>
          <w:color w:val="auto"/>
        </w:rPr>
        <w:t>. Without limiting OneWeb’s termination rights under Section 6 (Term; Termination and Suspension)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02" w:lineRule="exact"/>
        <w:rPr>
          <w:rFonts w:ascii="Times New Roman" w:cs="Times New Roman" w:eastAsia="Times New Roman" w:hAnsi="Times New Roman"/>
          <w:sz w:val="20"/>
          <w:szCs w:val="20"/>
          <w:color w:val="auto"/>
        </w:rPr>
      </w:pPr>
    </w:p>
    <w:p>
      <w:pPr>
        <w:ind w:left="1500" w:right="20" w:hanging="743"/>
        <w:spacing w:after="0" w:line="268" w:lineRule="auto"/>
        <w:tabs>
          <w:tab w:leader="none" w:pos="1500" w:val="left"/>
        </w:tabs>
        <w:numPr>
          <w:ilvl w:val="1"/>
          <w:numId w:val="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AUP Violation</w:t>
      </w:r>
      <w:r>
        <w:rPr>
          <w:rFonts w:ascii="Times New Roman" w:cs="Times New Roman" w:eastAsia="Times New Roman" w:hAnsi="Times New Roman"/>
          <w:sz w:val="20"/>
          <w:szCs w:val="20"/>
          <w:color w:val="auto"/>
        </w:rPr>
        <w:t>. OneWeb, in its sole discretion, may refuse to activate, deactivate or suspend any of the OneWeb Approved Equipment and/or the OneWeb Services which are in violation or suspected violation of the AUP.</w:t>
      </w:r>
    </w:p>
    <w:p>
      <w:pPr>
        <w:spacing w:after="0" w:line="106" w:lineRule="exact"/>
        <w:rPr>
          <w:rFonts w:ascii="Times New Roman" w:cs="Times New Roman" w:eastAsia="Times New Roman" w:hAnsi="Times New Roman"/>
          <w:sz w:val="20"/>
          <w:szCs w:val="20"/>
          <w:u w:val="single" w:color="auto"/>
          <w:color w:val="auto"/>
        </w:rPr>
      </w:pPr>
    </w:p>
    <w:p>
      <w:pPr>
        <w:jc w:val="both"/>
        <w:ind w:left="1500" w:hanging="743"/>
        <w:spacing w:after="0" w:line="249" w:lineRule="auto"/>
        <w:tabs>
          <w:tab w:leader="none" w:pos="1500" w:val="left"/>
        </w:tabs>
        <w:numPr>
          <w:ilvl w:val="1"/>
          <w:numId w:val="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Service Charges Default</w:t>
      </w:r>
      <w:r>
        <w:rPr>
          <w:rFonts w:ascii="Times New Roman" w:cs="Times New Roman" w:eastAsia="Times New Roman" w:hAnsi="Times New Roman"/>
          <w:sz w:val="20"/>
          <w:szCs w:val="20"/>
          <w:color w:val="auto"/>
        </w:rPr>
        <w:t>. OneWeb reserves the right to suspend Distribution Partner’s access to and use of the OneWeb Services (or any portion thereof) by its Sub-Distributors or End Users if any payment of undisputed amounts owed by Distribution Partner remains due for more than ten (10) days after OneWeb provided Distribution Partner written notice of the same to Distribution Partner.</w:t>
      </w:r>
    </w:p>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1" w:name="page52"/>
    <w:bookmarkEnd w:id="51"/>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3"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 of Termination or Expiration.</w:t>
      </w:r>
    </w:p>
    <w:p>
      <w:pPr>
        <w:spacing w:after="0" w:line="165"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the case of expiration of this Agreement, and notwithstanding anything contained in this Agreement to the contrary, (i) all current Orders with Distribution Partner will remain in effect through expiration of the initial term or then current renewal term as applicable, of all such Orders; and (ii) the terms and conditions of this Agreement will continue to apply to all such Orders.</w:t>
      </w:r>
    </w:p>
    <w:p>
      <w:pPr>
        <w:spacing w:after="0" w:line="124" w:lineRule="exact"/>
        <w:rPr>
          <w:rFonts w:ascii="Times New Roman" w:cs="Times New Roman" w:eastAsia="Times New Roman" w:hAnsi="Times New Roman"/>
          <w:sz w:val="20"/>
          <w:szCs w:val="20"/>
          <w:u w:val="single" w:color="auto"/>
          <w:color w:val="auto"/>
        </w:rPr>
      </w:pPr>
    </w:p>
    <w:p>
      <w:pPr>
        <w:jc w:val="both"/>
        <w:ind w:left="1500" w:hanging="743"/>
        <w:spacing w:after="0" w:line="244" w:lineRule="auto"/>
        <w:tabs>
          <w:tab w:leader="none" w:pos="1500" w:val="left"/>
        </w:tabs>
        <w:numPr>
          <w:ilvl w:val="1"/>
          <w:numId w:val="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Following the termination of this Agreement by OneWeb under Sections 6(b) (Termination for Breach) or 6(c) (Termination for Insolvency Rights), OneWeb may terminate all current Orders (or a portion thereof) without liability or obligation to Distribution Partner; and for any such terminated Orders may offer to provide the OneWeb Services directly or through another distribution channel partner to End Users and maintain End Users’ use of the OneWeb Services and/or the OneWeb Approved Equipment. Notwithstanding anything contained in this Agreement to the contrary, and as of the effective date of expiration or termination of this Agreement, Distribution Partner shall have no rights to any fees, compensation, commissions and/or similar payments from anyone as a result of OneWeb exercising its options above.</w:t>
      </w:r>
    </w:p>
    <w:p>
      <w:pPr>
        <w:spacing w:after="0" w:line="129" w:lineRule="exact"/>
        <w:rPr>
          <w:rFonts w:ascii="Times New Roman" w:cs="Times New Roman" w:eastAsia="Times New Roman" w:hAnsi="Times New Roman"/>
          <w:sz w:val="20"/>
          <w:szCs w:val="20"/>
          <w:u w:val="single" w:color="auto"/>
          <w:color w:val="auto"/>
        </w:rPr>
      </w:pPr>
    </w:p>
    <w:p>
      <w:pPr>
        <w:ind w:left="1500" w:hanging="743"/>
        <w:spacing w:after="0" w:line="268" w:lineRule="auto"/>
        <w:tabs>
          <w:tab w:leader="none" w:pos="1500" w:val="left"/>
        </w:tabs>
        <w:numPr>
          <w:ilvl w:val="1"/>
          <w:numId w:val="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Following the termination of this Agreement by Distribution Partner under Sections 6(b) (Termination for Breach) or 6(c) (Termination for Insolvency Rights), all current Orders shall immediately terminate.</w:t>
      </w:r>
    </w:p>
    <w:p>
      <w:pPr>
        <w:spacing w:after="0" w:line="106" w:lineRule="exact"/>
        <w:rPr>
          <w:rFonts w:ascii="Times New Roman" w:cs="Times New Roman" w:eastAsia="Times New Roman" w:hAnsi="Times New Roman"/>
          <w:sz w:val="20"/>
          <w:szCs w:val="20"/>
          <w:u w:val="single" w:color="auto"/>
          <w:color w:val="auto"/>
        </w:rPr>
      </w:pPr>
    </w:p>
    <w:p>
      <w:pPr>
        <w:ind w:left="1500" w:hanging="743"/>
        <w:spacing w:after="0"/>
        <w:tabs>
          <w:tab w:leader="none" w:pos="1500" w:val="left"/>
        </w:tabs>
        <w:numPr>
          <w:ilvl w:val="1"/>
          <w:numId w:val="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Upon the expiration or termination of this Agreement for any reason:</w:t>
      </w:r>
    </w:p>
    <w:p>
      <w:pPr>
        <w:spacing w:after="0" w:line="161" w:lineRule="exact"/>
        <w:rPr>
          <w:rFonts w:ascii="Times New Roman" w:cs="Times New Roman" w:eastAsia="Times New Roman" w:hAnsi="Times New Roman"/>
          <w:sz w:val="20"/>
          <w:szCs w:val="20"/>
          <w:u w:val="single" w:color="auto"/>
          <w:color w:val="auto"/>
        </w:rPr>
      </w:pPr>
    </w:p>
    <w:p>
      <w:pPr>
        <w:jc w:val="both"/>
        <w:ind w:left="2260" w:hanging="755"/>
        <w:spacing w:after="0" w:line="249" w:lineRule="auto"/>
        <w:tabs>
          <w:tab w:leader="none" w:pos="2260"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at its sole expense, provide the other Party the originals and all copies of any Confidential Information, Promotional Materials (as defined herein), and all demonstration equipment, advertising material, and other property of the Party, in whatever form, previously provided to such Party by the other Party as of such time; and</w:t>
      </w:r>
    </w:p>
    <w:p>
      <w:pPr>
        <w:spacing w:after="0" w:line="124"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Partner shall, at its sole expense, cease promoting, marketing, offering and reselling the OneWeb Services and no longer do business under the OneWeb name, which includes, without limitation, discontinuing all use of the OneWeb Marks or any advertising, slogans, trademarks, trade names, or other marks identified with OneWeb.</w:t>
      </w:r>
    </w:p>
    <w:p>
      <w:pPr>
        <w:spacing w:after="0" w:line="120" w:lineRule="exact"/>
        <w:rPr>
          <w:rFonts w:ascii="Times New Roman" w:cs="Times New Roman" w:eastAsia="Times New Roman" w:hAnsi="Times New Roman"/>
          <w:sz w:val="20"/>
          <w:szCs w:val="20"/>
          <w:color w:val="auto"/>
        </w:rPr>
      </w:pPr>
    </w:p>
    <w:p>
      <w:pPr>
        <w:jc w:val="both"/>
        <w:ind w:left="760" w:hanging="752"/>
        <w:spacing w:after="0" w:line="247" w:lineRule="auto"/>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 of Terms</w:t>
      </w:r>
      <w:r>
        <w:rPr>
          <w:rFonts w:ascii="Times New Roman" w:cs="Times New Roman" w:eastAsia="Times New Roman" w:hAnsi="Times New Roman"/>
          <w:sz w:val="20"/>
          <w:szCs w:val="20"/>
          <w:color w:val="auto"/>
        </w:rPr>
        <w:t>. The following provisions shall survive any expiration or termination of this Agreement: (1) Sections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(Definitions), 5 (Prices, Invoicing and Payments), 6(e)-(f), 8 (Confidentiality), 9(a) (OneWeb Intellectual Property), 10 (Indemnification Obligations), 11 (Disclaimer of Warranties and Limitation of Liabilities), 12 (Audit) and 13 (General); and (2) any other provisions of this Agreement which, by their nature, were intended by the Parties to survive any expiration or termination of this Agreement.</w:t>
      </w:r>
    </w:p>
    <w:p>
      <w:pPr>
        <w:spacing w:after="0" w:line="125"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Compliance with Laws</w:t>
      </w:r>
    </w:p>
    <w:p>
      <w:pPr>
        <w:spacing w:after="0" w:line="161" w:lineRule="exact"/>
        <w:rPr>
          <w:sz w:val="20"/>
          <w:szCs w:val="20"/>
          <w:color w:val="auto"/>
        </w:rPr>
      </w:pPr>
    </w:p>
    <w:p>
      <w:pPr>
        <w:jc w:val="both"/>
        <w:ind w:left="760" w:hanging="752"/>
        <w:spacing w:after="0" w:line="245"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Each Party represents, warrants and covenants to comply with all Laws (including, without limitation, Anti-Corruption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Sanctions and all applicable export control laws and regulations) in connection with its performance under this Agreement, including, without limitation, (1) obtaining and/or maintaining all regulatory and legal licenses and certifications, governmental or otherwise necessary for such Party’s performance under this Agreement, which includes, without limitation, the payment of any Government Fees; (2) furnishing to the other Party all documentation legally required in connection with the exportation or importation of the OneWeb</w:t>
      </w: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2" w:name="page53"/>
    <w:bookmarkEnd w:id="52"/>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7"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Services; and/or (3) complying with any conditions or restrictions on the provision of the OneWeb Services and/or the OneWeb Approved Equipment. For the avoidance of doubt, the payment of Government Fees relating to obtaining and/or maintaining all regulatory and legal licenses for (i) landing rights radio spectrum for the OneWeb satellite network portal will be OneWeb’s responsibility and (ii) the supply of the OneWeb Services to End Users will be Distribution Partner’s responsibility.</w:t>
      </w:r>
    </w:p>
    <w:p>
      <w:pPr>
        <w:spacing w:after="0" w:line="120" w:lineRule="exact"/>
        <w:rPr>
          <w:sz w:val="20"/>
          <w:szCs w:val="20"/>
          <w:color w:val="auto"/>
        </w:rPr>
      </w:pPr>
    </w:p>
    <w:p>
      <w:pPr>
        <w:jc w:val="both"/>
        <w:ind w:left="760" w:hanging="752"/>
        <w:spacing w:after="0" w:line="244"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Distribution Partner represents, warrants and covenants to not deliver, transfer, export, or re-export any of the OneWeb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hardware, software, technical data or other information, directly or indirectly, to any individual or entity that is: (1) designated or identified on any list of persons that are the subject or target of Sanctions, including, without limitation, the Specially Designated Nationals and Blocked Persons List, the Consolidated List of Persons, Groups and Entities Subject to EU Financial Sanctions and the Consolidated List of Financial Sanctions Targets in the UK; (2) located, organized or resident in a country or territory that is the subject of comprehensive Sanctions, including, as of the date hereof, Cuba, Iran, North Korea, Syria and the Crimea region of Ukraine; (3) owned or controlled by, or acting for on behalf of, any individual or entity described in the foregoing subsections (1) or (2); or (4) otherwise the subject or target of Sanctions.</w:t>
      </w:r>
    </w:p>
    <w:p>
      <w:pPr>
        <w:spacing w:after="0" w:line="125"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Confidentiality</w:t>
      </w:r>
    </w:p>
    <w:p>
      <w:pPr>
        <w:spacing w:after="0" w:line="165" w:lineRule="exact"/>
        <w:rPr>
          <w:sz w:val="20"/>
          <w:szCs w:val="20"/>
          <w:color w:val="auto"/>
        </w:rPr>
      </w:pPr>
    </w:p>
    <w:p>
      <w:pPr>
        <w:jc w:val="both"/>
        <w:ind w:left="760" w:hanging="752"/>
        <w:spacing w:after="0" w:line="242"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any Confidential Information disclosed to it by the other Party may be used solely for the performance of its duties hereunder and both Parties agree that all Confidential Information provided by the other is the exclusive property of the disclosing Party. Neither Party, its affiliates, employees, agents, or persons otherwise associated with either Party hereto, shall directly or indirectly, without the express prior written consent of the disclosing Party, use, furnish, give away, reveal, divulge, make known, sell, or transfer in any way Confidential Information of the disclosing Party, other than for the performance of its duties hereunder. Each Party will treat all Confidential Information of the other Party with the same degree of care as it accords to its own Confidential Information, but in no event with less than reasonable care. Each Party will only disclose Confidential Information of the other Party to those of its employees, advisors, consultants, subcontractors, representatives, shareholders, agents, and affiliated entities who have a need to know in connection with this Agreement and have previously agreed to obligations consistent with the terms of this Agreement, and each Party shall be responsible for any unauthorized use or disclosure of Confidential Information made by any of such recipients.</w:t>
      </w:r>
    </w:p>
    <w:p>
      <w:pPr>
        <w:spacing w:after="0" w:line="132" w:lineRule="exact"/>
        <w:rPr>
          <w:rFonts w:ascii="Times New Roman" w:cs="Times New Roman" w:eastAsia="Times New Roman" w:hAnsi="Times New Roman"/>
          <w:sz w:val="20"/>
          <w:szCs w:val="20"/>
          <w:color w:val="auto"/>
        </w:rPr>
      </w:pPr>
    </w:p>
    <w:p>
      <w:pPr>
        <w:jc w:val="both"/>
        <w:ind w:left="760" w:hanging="752"/>
        <w:spacing w:after="0" w:line="253"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agrees that if it is required by any regulatory authority or applicable law, or is served with any form of legal process that would require disclosure of any Confidential Information, it shall, if permitted by law, before taking any action, immediately notify the other Party which shall have the right to seek to quash or limit the scope of such process.</w:t>
      </w:r>
    </w:p>
    <w:p>
      <w:pPr>
        <w:spacing w:after="0" w:line="122" w:lineRule="exact"/>
        <w:rPr>
          <w:rFonts w:ascii="Times New Roman" w:cs="Times New Roman" w:eastAsia="Times New Roman" w:hAnsi="Times New Roman"/>
          <w:sz w:val="20"/>
          <w:szCs w:val="20"/>
          <w:color w:val="auto"/>
        </w:rPr>
      </w:pPr>
    </w:p>
    <w:p>
      <w:pPr>
        <w:jc w:val="both"/>
        <w:ind w:left="760" w:hanging="752"/>
        <w:spacing w:after="0" w:line="257" w:lineRule="auto"/>
        <w:tabs>
          <w:tab w:leader="none" w:pos="7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purposes of this Agreement, information shall not be considered to be Confidential Information if (1) the information is in or passed into the public domain other than by breach of this Agreement; (2) the receiving Party can demonstrate with documentary evidence that the information was either (i) in its rightful possession free of any obligation of confidentiality prior to its first receipt from the disclosing Party or (ii) independently developed without reliance on Confidential Information of the disclosing Party; or</w:t>
      </w:r>
    </w:p>
    <w:p>
      <w:pPr>
        <w:spacing w:after="0" w:line="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the information is disclosed to a receiving Party without restriction by a third party having the full right to disclose.</w:t>
      </w: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3" w:name="page54"/>
    <w:bookmarkEnd w:id="53"/>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3"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Intellectual Property and Use of Marks</w:t>
      </w:r>
    </w:p>
    <w:p>
      <w:pPr>
        <w:spacing w:after="0" w:line="161" w:lineRule="exact"/>
        <w:rPr>
          <w:sz w:val="20"/>
          <w:szCs w:val="20"/>
          <w:color w:val="auto"/>
        </w:rPr>
      </w:pPr>
    </w:p>
    <w:p>
      <w:pPr>
        <w:ind w:left="760" w:hanging="752"/>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OneWeb Intellectual Property.</w:t>
      </w:r>
    </w:p>
    <w:p>
      <w:pPr>
        <w:spacing w:after="0" w:line="165" w:lineRule="exact"/>
        <w:rPr>
          <w:rFonts w:ascii="Times New Roman" w:cs="Times New Roman" w:eastAsia="Times New Roman" w:hAnsi="Times New Roman"/>
          <w:sz w:val="20"/>
          <w:szCs w:val="20"/>
          <w:color w:val="auto"/>
        </w:rPr>
      </w:pPr>
    </w:p>
    <w:p>
      <w:pPr>
        <w:jc w:val="both"/>
        <w:ind w:left="1500" w:hanging="743"/>
        <w:spacing w:after="0" w:line="244" w:lineRule="auto"/>
        <w:tabs>
          <w:tab w:leader="none" w:pos="1500" w:val="left"/>
        </w:tabs>
        <w:numPr>
          <w:ilvl w:val="1"/>
          <w:numId w:val="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All Intellectual Property in relation to the OneWeb Marks, OneWeb Services, the OneWeb Network and all of OneWeb’s Confidential Information shall be and remain the right, title and property of OneWeb. Except for the express limited authorization right to use the OneWeb Marks in accordance with this Agreement, nothing in this Agreement grants Distribution Partner any (i) rights, title, or interest in and to any OneWeb Intellectual Property; (ii) any express or implied licenses relating to use of any OneWeb Intellectual Property; and/or (iii) rights to copy, modify, disassemble, decompile, reverse engineer, create derivative works of, or make any other attempt to discover or obtain the source code for any of the software or systems which deliver the OneWeb Service.</w:t>
      </w:r>
    </w:p>
    <w:p>
      <w:pPr>
        <w:spacing w:after="0" w:line="129" w:lineRule="exact"/>
        <w:rPr>
          <w:rFonts w:ascii="Times New Roman" w:cs="Times New Roman" w:eastAsia="Times New Roman" w:hAnsi="Times New Roman"/>
          <w:sz w:val="20"/>
          <w:szCs w:val="20"/>
          <w:u w:val="single" w:color="auto"/>
          <w:color w:val="auto"/>
        </w:rPr>
      </w:pPr>
    </w:p>
    <w:p>
      <w:pPr>
        <w:jc w:val="both"/>
        <w:ind w:left="1500" w:hanging="743"/>
        <w:spacing w:after="0" w:line="244" w:lineRule="auto"/>
        <w:tabs>
          <w:tab w:leader="none" w:pos="1500" w:val="left"/>
        </w:tabs>
        <w:numPr>
          <w:ilvl w:val="1"/>
          <w:numId w:val="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Distribution Partner hereby grants to OneWeb and/or its affiliates an irrevocable, perpetual, non-exclusive, royalty-free (for no additional remuneration whatsoever) license to (i) any of the OneWeb Approved Equipment Data for all purposes for which OneWeb and/or its affiliates do business; and (ii) any System Data in an anonymized manner (such that it does not identify any individual person’s details) for (A) all purposes for which OneWeb and/or its affiliates do business; and</w:t>
      </w:r>
    </w:p>
    <w:p>
      <w:pPr>
        <w:spacing w:after="0" w:line="3" w:lineRule="exact"/>
        <w:rPr>
          <w:rFonts w:ascii="Times New Roman" w:cs="Times New Roman" w:eastAsia="Times New Roman" w:hAnsi="Times New Roman"/>
          <w:sz w:val="20"/>
          <w:szCs w:val="20"/>
          <w:u w:val="single" w:color="auto"/>
          <w:color w:val="auto"/>
        </w:rPr>
      </w:pPr>
    </w:p>
    <w:p>
      <w:pPr>
        <w:ind w:left="150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 use for purposes of product and service enhancements and/or developments.</w:t>
      </w:r>
    </w:p>
    <w:p>
      <w:pPr>
        <w:spacing w:after="0" w:line="135"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Authorizations to Use Marks.</w:t>
      </w:r>
    </w:p>
    <w:p>
      <w:pPr>
        <w:spacing w:after="0" w:line="165" w:lineRule="exact"/>
        <w:rPr>
          <w:rFonts w:ascii="Times New Roman" w:cs="Times New Roman" w:eastAsia="Times New Roman" w:hAnsi="Times New Roman"/>
          <w:sz w:val="20"/>
          <w:szCs w:val="20"/>
          <w:color w:val="auto"/>
        </w:rPr>
      </w:pPr>
    </w:p>
    <w:p>
      <w:pPr>
        <w:jc w:val="both"/>
        <w:ind w:left="1500" w:hanging="743"/>
        <w:spacing w:after="0" w:line="253" w:lineRule="auto"/>
        <w:tabs>
          <w:tab w:leader="none" w:pos="1500" w:val="left"/>
        </w:tabs>
        <w:numPr>
          <w:ilvl w:val="1"/>
          <w:numId w:val="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accordance with and subject to Exhibit 4 of this Agreement, OneWeb authorizes Distribution Partner, solely in its promotion, marketing and resale of the OneWeb Services in accordance with this Agreement, to use the OneWeb Marks (the “</w:t>
      </w:r>
      <w:r>
        <w:rPr>
          <w:rFonts w:ascii="Times New Roman" w:cs="Times New Roman" w:eastAsia="Times New Roman" w:hAnsi="Times New Roman"/>
          <w:sz w:val="20"/>
          <w:szCs w:val="20"/>
          <w:b w:val="1"/>
          <w:bCs w:val="1"/>
          <w:color w:val="auto"/>
        </w:rPr>
        <w:t>Guidelines</w:t>
      </w:r>
      <w:r>
        <w:rPr>
          <w:rFonts w:ascii="Times New Roman" w:cs="Times New Roman" w:eastAsia="Times New Roman" w:hAnsi="Times New Roman"/>
          <w:sz w:val="20"/>
          <w:szCs w:val="20"/>
          <w:color w:val="auto"/>
        </w:rPr>
        <w:t>”).</w:t>
      </w:r>
    </w:p>
    <w:p>
      <w:pPr>
        <w:spacing w:after="0" w:line="122" w:lineRule="exact"/>
        <w:rPr>
          <w:rFonts w:ascii="Times New Roman" w:cs="Times New Roman" w:eastAsia="Times New Roman" w:hAnsi="Times New Roman"/>
          <w:sz w:val="20"/>
          <w:szCs w:val="20"/>
          <w:u w:val="single" w:color="auto"/>
          <w:color w:val="auto"/>
        </w:rPr>
      </w:pPr>
    </w:p>
    <w:p>
      <w:pPr>
        <w:jc w:val="both"/>
        <w:ind w:left="1500" w:hanging="743"/>
        <w:spacing w:after="0" w:line="253" w:lineRule="auto"/>
        <w:tabs>
          <w:tab w:leader="none" w:pos="1500" w:val="left"/>
        </w:tabs>
        <w:numPr>
          <w:ilvl w:val="1"/>
          <w:numId w:val="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OneWeb shall have the right to use Distribution Partner’s trademark, tradenames, service marks, and/or logos in the sale, distribution, or use of the OneWeb Services in accordance with Distribution Partner’s branding guidelines which such guidelines will be provided to OneWeb within ten (10) days of the Effective Date.</w:t>
      </w:r>
    </w:p>
    <w:p>
      <w:pPr>
        <w:spacing w:after="0" w:line="118" w:lineRule="exact"/>
        <w:rPr>
          <w:rFonts w:ascii="Times New Roman" w:cs="Times New Roman" w:eastAsia="Times New Roman" w:hAnsi="Times New Roman"/>
          <w:sz w:val="20"/>
          <w:szCs w:val="20"/>
          <w:u w:val="single" w:color="auto"/>
          <w:color w:val="auto"/>
        </w:rPr>
      </w:pPr>
    </w:p>
    <w:p>
      <w:pPr>
        <w:jc w:val="both"/>
        <w:ind w:left="760" w:hanging="752"/>
        <w:spacing w:after="0" w:line="244" w:lineRule="auto"/>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Distribution Partner’s Restrictions and Requirements</w:t>
      </w:r>
      <w:r>
        <w:rPr>
          <w:rFonts w:ascii="Times New Roman" w:cs="Times New Roman" w:eastAsia="Times New Roman" w:hAnsi="Times New Roman"/>
          <w:sz w:val="20"/>
          <w:szCs w:val="20"/>
          <w:color w:val="auto"/>
        </w:rPr>
        <w:t>. Distribution Partner shall (1) not grant, or purport to grant,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 entity any right, title or interest of any kind to any of OneWeb’s Intellectual Property; and (2) not at any time do, or knowingly permit to be done, any acts or omissions which would in any way challenge or impair the rights of OneWeb in and to any of OneWeb’s Intellectual Property, or which would affect the validity of any of OneWeb’s Intellectual Property (including, without limitation, using any trademarks, tradenames, service marks and/or logos confusingly similar to the OneWeb Marks). Distribution Partner agrees to execute all documents, and provide all information and materials, reasonably required by OneWeb to obtain, maintain, and renew registrations of any of OneWeb’s Intellectual Property and if requested by OneWeb, to record this Agreement (or a separate registered user agreement) with appropriate government authorities.</w:t>
      </w:r>
    </w:p>
    <w:p>
      <w:pPr>
        <w:spacing w:after="0" w:line="125" w:lineRule="exact"/>
        <w:rPr>
          <w:rFonts w:ascii="Times New Roman" w:cs="Times New Roman" w:eastAsia="Times New Roman" w:hAnsi="Times New Roman"/>
          <w:sz w:val="20"/>
          <w:szCs w:val="20"/>
          <w:color w:val="auto"/>
        </w:rPr>
      </w:pPr>
    </w:p>
    <w:p>
      <w:pPr>
        <w:jc w:val="both"/>
        <w:ind w:left="760" w:hanging="752"/>
        <w:spacing w:after="0" w:line="255" w:lineRule="auto"/>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Pursuit of Infringers</w:t>
      </w:r>
      <w:r>
        <w:rPr>
          <w:rFonts w:ascii="Times New Roman" w:cs="Times New Roman" w:eastAsia="Times New Roman" w:hAnsi="Times New Roman"/>
          <w:sz w:val="20"/>
          <w:szCs w:val="20"/>
          <w:color w:val="auto"/>
        </w:rPr>
        <w:t>. Distribution Partner shall (1) immediately notify OneWeb of any alleged infringements of OneWeb’s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Intellectual Property of which it becomes aware and (2) at OneWeb’s request, reasonably assist OneWeb in pursuing OneWeb’s legal rights against any such infringers.</w:t>
      </w:r>
    </w:p>
    <w:p>
      <w:pPr>
        <w:spacing w:after="0" w:line="116" w:lineRule="exact"/>
        <w:rPr>
          <w:sz w:val="20"/>
          <w:szCs w:val="20"/>
          <w:color w:val="auto"/>
        </w:rPr>
      </w:pPr>
    </w:p>
    <w:p>
      <w:pPr>
        <w:ind w:left="760" w:hanging="752"/>
        <w:spacing w:after="0"/>
        <w:tabs>
          <w:tab w:leader="none" w:pos="760" w:val="left"/>
        </w:tabs>
        <w:numPr>
          <w:ilvl w:val="0"/>
          <w:numId w:val="5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Indemnification Obligations</w:t>
      </w:r>
    </w:p>
    <w:p>
      <w:pPr>
        <w:spacing w:after="0" w:line="161"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Distribution Partner Indemnity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4" w:name="page55"/>
    <w:bookmarkEnd w:id="54"/>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3"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OneWeb Indemnity.</w:t>
      </w:r>
    </w:p>
    <w:p>
      <w:pPr>
        <w:spacing w:after="0" w:line="169"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20"/>
          <w:szCs w:val="20"/>
          <w:color w:val="auto"/>
        </w:rPr>
      </w:pPr>
    </w:p>
    <w:p>
      <w:pPr>
        <w:jc w:val="both"/>
        <w:ind w:left="760" w:hanging="752"/>
        <w:spacing w:after="0" w:line="241"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 Procedures</w:t>
      </w:r>
      <w:r>
        <w:rPr>
          <w:rFonts w:ascii="Times New Roman" w:cs="Times New Roman" w:eastAsia="Times New Roman" w:hAnsi="Times New Roman"/>
          <w:sz w:val="20"/>
          <w:szCs w:val="20"/>
          <w:color w:val="auto"/>
        </w:rPr>
        <w:t>. The Party seeking indemnification (the “</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shall promptly notify the other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of any claim for indemnity by providing written notice pursuant to this Agreement. With respect to any indemnifiable claim for which such notification is provided, the Indemnifying Party shall have the right to control and bear full responsibility for the defense of such claim (including, without limitation, any settlements). In connection with any indemnification hereunder, (1) the Indemnified Party shall at the cost of the Indemnifying Party, provide assistance and cooperation to the Indemnifying Party as is reasonably necessary for the defense or settlement of such claim, including, without limitation, the filing of all pleadings and other court processes, the provision of all relevant information and documents, and providing reasonable access to relevant employees; (2) the Indemnified Party shall not make any admissions, settlements, or compromises without the prior written consent of the Indemnifying Party; (3) the Indemnified Party shall have the right to participate in the defense of such claim with counsel of its choice at its own expense; and (4) the Indemnifying Party shall not, without the Indemnified Party’s consent (such consent not to be unreasonably withheld or delayed) agree to any settlement which (i) contains a stipulation to, or admission of, any liability or wrongdoing on behalf of the Indemnified Party; (ii) consents to any injunction against the Indemnified Party (except an injunction relating solely to the Indemnified Party’s continued use of any infringing materials); or (iii) requires any specific performance or non-pecuniary remedy by the Indemnified Party.</w:t>
      </w:r>
    </w:p>
    <w:p>
      <w:pPr>
        <w:spacing w:after="0" w:line="138" w:lineRule="exact"/>
        <w:rPr>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Disclaimer of Warranties and Limitation of Liability</w:t>
      </w:r>
    </w:p>
    <w:p>
      <w:pPr>
        <w:spacing w:after="0" w:line="161" w:lineRule="exact"/>
        <w:rPr>
          <w:sz w:val="20"/>
          <w:szCs w:val="20"/>
          <w:color w:val="auto"/>
        </w:rPr>
      </w:pPr>
    </w:p>
    <w:p>
      <w:pPr>
        <w:jc w:val="both"/>
        <w:ind w:left="760" w:hanging="752"/>
        <w:spacing w:after="0" w:line="244" w:lineRule="auto"/>
        <w:tabs>
          <w:tab w:leader="none" w:pos="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Disclaimer of Warranties</w:t>
      </w:r>
      <w:r>
        <w:rPr>
          <w:rFonts w:ascii="Times New Roman" w:cs="Times New Roman" w:eastAsia="Times New Roman" w:hAnsi="Times New Roman"/>
          <w:sz w:val="20"/>
          <w:szCs w:val="20"/>
          <w:color w:val="auto"/>
        </w:rPr>
        <w:t>. Except as expressly stated in this Agreement, the OneWeb Services, the OneWeb Marks, the OneWeb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Network and the OneWeb Approved Equipment is provided “AS IS” and “AS AVAILABLE” and, to the maximum extent permitted by applicable Law, OneWeb disclaims all, and there are no, other warranties (whether express, implied or statutory) or other standards of performance, guarantees, or any other terms implied by law, including, without limitation, any implied warranties of merchantability, fitness for a particular purpose, requirement or use, and any warranty arising out of a course of performance, dealing or trade usage. OneWeb does not warrant that use of any or all of the OneWeb Service, the OneWeb Network or the OneWeb Approved Equipment will meet Distribution Partner’s requirements, be uninterrupted or error free; provided, however, that the foregoing shall not modify or limit those SLAs contained in Exhibit 2 of this Agreement.</w:t>
      </w:r>
    </w:p>
    <w:p>
      <w:pPr>
        <w:spacing w:after="0" w:line="12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Limitation of Liability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20"/>
          <w:szCs w:val="20"/>
          <w:color w:val="auto"/>
        </w:rPr>
      </w:pPr>
    </w:p>
    <w:p>
      <w:pPr>
        <w:jc w:val="both"/>
        <w:ind w:left="760" w:hanging="752"/>
        <w:spacing w:after="0" w:line="242" w:lineRule="auto"/>
        <w:tabs>
          <w:tab w:leader="none" w:pos="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maximum extent permitted under applicable Law and except to the extent caused by gross negligence, willful misconduct or fraud, OneWeb and its affiliates shall have no liability under this Agreement and/or to Distribution Partner, Sub-Distributor or End User, nor shall Distribution Partner, Sub-Distributor or End User make any claim against OneWeb or its affiliates, for (1) injury, loss, or damage sustained by reason of any unavailability, delay, faultiness, use, or failure of the OneWeb Approved Equipment, the OneWeb Services, and/or the OneWeb Network; and/or (2) any acts or omissions of OneWeb or its affiliates made in response to (i) a violation or suspected violation of the AUP; and/or (ii) an emergency response or in compliance with a government order including, without limitation, interruption, deactivation, or diversion of the OneWeb Services. Notwithstanding the foregoing, nothing contained in this Section shall limit Distribution Partners rights under Exhibit 2 of this Agreement to Service SLA Credits (as defined herein) and/or termination for Chronic Performance Problems (as defined herein).</w:t>
      </w:r>
    </w:p>
    <w:p>
      <w:pPr>
        <w:spacing w:after="0" w:line="3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5" w:name="page56"/>
    <w:bookmarkEnd w:id="55"/>
    <w:p>
      <w:pPr>
        <w:jc w:val="center"/>
        <w:ind w:left="8" w:right="28"/>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7" w:lineRule="exact"/>
        <w:rPr>
          <w:sz w:val="20"/>
          <w:szCs w:val="20"/>
          <w:color w:val="auto"/>
        </w:rPr>
      </w:pPr>
    </w:p>
    <w:p>
      <w:pPr>
        <w:ind w:left="760" w:hanging="752"/>
        <w:spacing w:after="0" w:line="268" w:lineRule="auto"/>
        <w:tabs>
          <w:tab w:leader="none" w:pos="7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OneWeb shall maintain liability insurance from a reputable third-party insurer in an amount sufficient to cover the indemnities which it has granted under this Agreement.</w:t>
      </w:r>
    </w:p>
    <w:p>
      <w:pPr>
        <w:spacing w:after="0" w:line="103" w:lineRule="exact"/>
        <w:rPr>
          <w:sz w:val="20"/>
          <w:szCs w:val="20"/>
          <w:color w:val="auto"/>
        </w:rPr>
      </w:pPr>
    </w:p>
    <w:p>
      <w:pPr>
        <w:ind w:left="760" w:hanging="752"/>
        <w:spacing w:after="0"/>
        <w:tabs>
          <w:tab w:leader="none" w:pos="760" w:val="left"/>
        </w:tabs>
        <w:numPr>
          <w:ilvl w:val="0"/>
          <w:numId w:val="6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Audit</w:t>
      </w:r>
    </w:p>
    <w:p>
      <w:pPr>
        <w:spacing w:after="0" w:line="165" w:lineRule="exact"/>
        <w:rPr>
          <w:rFonts w:ascii="Times New Roman" w:cs="Times New Roman" w:eastAsia="Times New Roman" w:hAnsi="Times New Roman"/>
          <w:sz w:val="20"/>
          <w:szCs w:val="20"/>
          <w:b w:val="1"/>
          <w:bCs w:val="1"/>
          <w:u w:val="single" w:color="auto"/>
          <w:color w:val="auto"/>
        </w:rPr>
      </w:pPr>
    </w:p>
    <w:p>
      <w:pPr>
        <w:jc w:val="both"/>
        <w:ind w:left="760"/>
        <w:spacing w:after="0" w:line="246"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color w:val="auto"/>
        </w:rPr>
        <w:t>Distribution Partner shall retain all of its books and records with respect to each Sub-Distributor and End User, including, without limitation, the applicable Service Contracts for, at a minimum, the period of time such Sub-Distributor is distributing or End User is purchasing the OneWeb Services and for two (2) years after expiration of such period of time. OneWeb shall have the right, at its expense, and upon reasonable notice and during working hours, to examine Distribution Partner’s books and records to ascertain compliance with this Agreement and/or the OneWeb Services.</w:t>
      </w:r>
    </w:p>
    <w:p>
      <w:pPr>
        <w:spacing w:after="0" w:line="125" w:lineRule="exact"/>
        <w:rPr>
          <w:rFonts w:ascii="Times New Roman" w:cs="Times New Roman" w:eastAsia="Times New Roman" w:hAnsi="Times New Roman"/>
          <w:sz w:val="20"/>
          <w:szCs w:val="20"/>
          <w:b w:val="1"/>
          <w:bCs w:val="1"/>
          <w:u w:val="single" w:color="auto"/>
          <w:color w:val="auto"/>
        </w:rPr>
      </w:pPr>
    </w:p>
    <w:p>
      <w:pPr>
        <w:ind w:left="760" w:hanging="752"/>
        <w:spacing w:after="0"/>
        <w:tabs>
          <w:tab w:leader="none" w:pos="760" w:val="left"/>
        </w:tabs>
        <w:numPr>
          <w:ilvl w:val="0"/>
          <w:numId w:val="6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General</w:t>
      </w:r>
    </w:p>
    <w:p>
      <w:pPr>
        <w:spacing w:after="0" w:line="161" w:lineRule="exact"/>
        <w:rPr>
          <w:sz w:val="20"/>
          <w:szCs w:val="20"/>
          <w:color w:val="auto"/>
        </w:rPr>
      </w:pPr>
    </w:p>
    <w:p>
      <w:pPr>
        <w:jc w:val="both"/>
        <w:ind w:left="760" w:hanging="752"/>
        <w:spacing w:after="0" w:line="244" w:lineRule="auto"/>
        <w:tabs>
          <w:tab w:leader="none" w:pos="7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All notices permitted or required by this Agreement shall be deemed duly given when in writing and personally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Party being notified or when sent by an overnight delivery or courier service, by certified or registered mail (postage prepaid), or email transmission delivered to the address/contact information set forth in the introductory paragraph to this Agreement or to such other address as the Party to whom notice is to be given may have previously furnished to the other Party in the manner set forth herein. Notice so mailed will be deemed effective on the third business day following the date of deposit into the mail, on the date of personal delivery, on the business day after the date of deposit with an overnight delivery or courier service, or on the business day following email transmission. Notwithstanding the foregoing, all references to “written notice(s)” in this Agreement shall not permit email as a proper form of notice.</w:t>
      </w:r>
    </w:p>
    <w:p>
      <w:pPr>
        <w:sectPr>
          <w:pgSz w:w="11900" w:h="16838" w:orient="portrait"/>
          <w:cols w:equalWidth="0" w:num="1">
            <w:col w:w="11240"/>
          </w:cols>
          <w:pgMar w:left="320" w:top="764" w:right="339" w:bottom="1440" w:gutter="0" w:footer="0" w:header="0"/>
        </w:sectPr>
      </w:pP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u w:val="single" w:color="auto"/>
          <w:color w:val="auto"/>
        </w:rPr>
        <w:t>To Distribution Partner</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Gogo Business Aviation LLC</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105 Edgeview Drive, Suite 300</w:t>
      </w:r>
    </w:p>
    <w:p>
      <w:pPr>
        <w:ind w:left="100"/>
        <w:spacing w:after="0"/>
        <w:rPr>
          <w:sz w:val="20"/>
          <w:szCs w:val="20"/>
          <w:color w:val="auto"/>
        </w:rPr>
      </w:pPr>
      <w:r>
        <w:rPr>
          <w:rFonts w:ascii="Times New Roman" w:cs="Times New Roman" w:eastAsia="Times New Roman" w:hAnsi="Times New Roman"/>
          <w:sz w:val="20"/>
          <w:szCs w:val="20"/>
          <w:color w:val="auto"/>
        </w:rPr>
        <w:t>Broomfield, CO 80021</w:t>
      </w:r>
    </w:p>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p>
      <w:pPr>
        <w:ind w:left="100"/>
        <w:spacing w:after="0"/>
        <w:rPr>
          <w:sz w:val="20"/>
          <w:szCs w:val="20"/>
          <w:color w:val="auto"/>
        </w:rPr>
      </w:pPr>
      <w:r>
        <w:rPr>
          <w:rFonts w:ascii="Times New Roman" w:cs="Times New Roman" w:eastAsia="Times New Roman" w:hAnsi="Times New Roman"/>
          <w:sz w:val="20"/>
          <w:szCs w:val="20"/>
          <w:color w:val="auto"/>
        </w:rPr>
        <w:t>Attn: President</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With a copy to:</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Gogo Business Aviation LLC</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105 Edgeview Drive, Suite 300</w:t>
      </w:r>
    </w:p>
    <w:p>
      <w:pPr>
        <w:ind w:left="300"/>
        <w:spacing w:after="0"/>
        <w:rPr>
          <w:sz w:val="20"/>
          <w:szCs w:val="20"/>
          <w:color w:val="auto"/>
        </w:rPr>
      </w:pPr>
      <w:r>
        <w:rPr>
          <w:rFonts w:ascii="Times New Roman" w:cs="Times New Roman" w:eastAsia="Times New Roman" w:hAnsi="Times New Roman"/>
          <w:sz w:val="20"/>
          <w:szCs w:val="20"/>
          <w:color w:val="auto"/>
        </w:rPr>
        <w:t>Broomfield, CO 80021</w:t>
      </w:r>
    </w:p>
    <w:p>
      <w:pPr>
        <w:ind w:left="300"/>
        <w:spacing w:after="0"/>
        <w:rPr>
          <w:sz w:val="20"/>
          <w:szCs w:val="20"/>
          <w:color w:val="auto"/>
        </w:rPr>
      </w:pPr>
      <w:r>
        <w:rPr>
          <w:rFonts w:ascii="Times New Roman" w:cs="Times New Roman" w:eastAsia="Times New Roman" w:hAnsi="Times New Roman"/>
          <w:sz w:val="20"/>
          <w:szCs w:val="20"/>
          <w:color w:val="auto"/>
        </w:rPr>
        <w:t>United States of America</w:t>
      </w:r>
    </w:p>
    <w:p>
      <w:pPr>
        <w:ind w:left="30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Notices concerning unpaid amounts will also be sent to:</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Gogo Business Aviation LLC</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105 Edgeview Drive, Suite 300</w:t>
      </w:r>
    </w:p>
    <w:p>
      <w:pPr>
        <w:ind w:left="460"/>
        <w:spacing w:after="0"/>
        <w:rPr>
          <w:sz w:val="20"/>
          <w:szCs w:val="20"/>
          <w:color w:val="auto"/>
        </w:rPr>
      </w:pPr>
      <w:r>
        <w:rPr>
          <w:rFonts w:ascii="Times New Roman" w:cs="Times New Roman" w:eastAsia="Times New Roman" w:hAnsi="Times New Roman"/>
          <w:sz w:val="20"/>
          <w:szCs w:val="20"/>
          <w:color w:val="auto"/>
        </w:rPr>
        <w:t>Broomfield, CO 80021</w:t>
      </w:r>
    </w:p>
    <w:p>
      <w:pPr>
        <w:ind w:left="460"/>
        <w:spacing w:after="0"/>
        <w:rPr>
          <w:sz w:val="20"/>
          <w:szCs w:val="20"/>
          <w:color w:val="auto"/>
        </w:rPr>
      </w:pPr>
      <w:r>
        <w:rPr>
          <w:rFonts w:ascii="Times New Roman" w:cs="Times New Roman" w:eastAsia="Times New Roman" w:hAnsi="Times New Roman"/>
          <w:sz w:val="20"/>
          <w:szCs w:val="20"/>
          <w:color w:val="auto"/>
        </w:rPr>
        <w:t>United States of America</w:t>
      </w:r>
    </w:p>
    <w:p>
      <w:pPr>
        <w:ind w:left="460"/>
        <w:spacing w:after="0"/>
        <w:rPr>
          <w:sz w:val="20"/>
          <w:szCs w:val="20"/>
          <w:color w:val="auto"/>
        </w:rPr>
      </w:pPr>
      <w:r>
        <w:rPr>
          <w:rFonts w:ascii="Times New Roman" w:cs="Times New Roman" w:eastAsia="Times New Roman" w:hAnsi="Times New Roman"/>
          <w:sz w:val="20"/>
          <w:szCs w:val="20"/>
          <w:color w:val="auto"/>
        </w:rPr>
        <w:t>Attn: Controller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To OneWeb</w:t>
      </w:r>
      <w:r>
        <w:rPr>
          <w:rFonts w:ascii="Times New Roman" w:cs="Times New Roman" w:eastAsia="Times New Roman" w:hAnsi="Times New Roman"/>
          <w:sz w:val="20"/>
          <w:szCs w:val="20"/>
          <w:color w:val="auto"/>
        </w:rPr>
        <w:t>:</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Network Access Associates Limited</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West Works Building</w:t>
      </w:r>
    </w:p>
    <w:p>
      <w:pPr>
        <w:ind w:left="240"/>
        <w:spacing w:after="0"/>
        <w:rPr>
          <w:sz w:val="20"/>
          <w:szCs w:val="20"/>
          <w:color w:val="auto"/>
        </w:rPr>
      </w:pPr>
      <w:r>
        <w:rPr>
          <w:rFonts w:ascii="Times New Roman" w:cs="Times New Roman" w:eastAsia="Times New Roman" w:hAnsi="Times New Roman"/>
          <w:sz w:val="20"/>
          <w:szCs w:val="20"/>
          <w:color w:val="auto"/>
        </w:rPr>
        <w:t>195 Wood Lane</w:t>
      </w:r>
    </w:p>
    <w:p>
      <w:pPr>
        <w:ind w:left="240"/>
        <w:spacing w:after="0"/>
        <w:rPr>
          <w:sz w:val="20"/>
          <w:szCs w:val="20"/>
          <w:color w:val="auto"/>
        </w:rPr>
      </w:pPr>
      <w:r>
        <w:rPr>
          <w:rFonts w:ascii="Times New Roman" w:cs="Times New Roman" w:eastAsia="Times New Roman" w:hAnsi="Times New Roman"/>
          <w:sz w:val="20"/>
          <w:szCs w:val="20"/>
          <w:color w:val="auto"/>
        </w:rPr>
        <w:t>London, W12 7FQ</w:t>
      </w:r>
    </w:p>
    <w:p>
      <w:pPr>
        <w:ind w:left="240"/>
        <w:spacing w:after="0"/>
        <w:rPr>
          <w:sz w:val="20"/>
          <w:szCs w:val="20"/>
          <w:color w:val="auto"/>
        </w:rPr>
      </w:pPr>
      <w:r>
        <w:rPr>
          <w:rFonts w:ascii="Times New Roman" w:cs="Times New Roman" w:eastAsia="Times New Roman" w:hAnsi="Times New Roman"/>
          <w:sz w:val="20"/>
          <w:szCs w:val="20"/>
          <w:color w:val="auto"/>
        </w:rPr>
        <w:t>United Kingdom</w:t>
      </w:r>
    </w:p>
    <w:p>
      <w:pPr>
        <w:ind w:left="24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3371" w:lineRule="exact"/>
        <w:rPr>
          <w:sz w:val="20"/>
          <w:szCs w:val="20"/>
          <w:color w:val="auto"/>
        </w:rPr>
      </w:pPr>
    </w:p>
    <w:p>
      <w:pPr>
        <w:sectPr>
          <w:pgSz w:w="11900" w:h="16838" w:orient="portrait"/>
          <w:cols w:equalWidth="0" w:num="2">
            <w:col w:w="4780" w:space="720"/>
            <w:col w:w="5740"/>
          </w:cols>
          <w:pgMar w:left="320" w:top="764" w:right="339" w:bottom="1440" w:gutter="0" w:footer="0" w:header="0"/>
          <w:type w:val="continuous"/>
        </w:sectPr>
      </w:pPr>
    </w:p>
    <w:p>
      <w:pPr>
        <w:jc w:val="both"/>
        <w:ind w:left="760" w:hanging="752"/>
        <w:spacing w:after="0" w:line="255"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Jurisdiction</w:t>
      </w:r>
      <w:r>
        <w:rPr>
          <w:rFonts w:ascii="Times New Roman" w:cs="Times New Roman" w:eastAsia="Times New Roman" w:hAnsi="Times New Roman"/>
          <w:sz w:val="20"/>
          <w:szCs w:val="20"/>
          <w:color w:val="auto"/>
        </w:rPr>
        <w:t>. This Agreement will be governed by, construed and enforced in all respects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New York, USA without regard to any conflict of law provisions. The Parties agree that provisions of the United Nations Convention on</w:t>
      </w:r>
    </w:p>
    <w:p>
      <w:pPr>
        <w:spacing w:after="0" w:line="3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56" w:name="page57"/>
    <w:bookmarkEnd w:id="56"/>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7"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Contracts for the International Sale of Goods shall not apply to this Agreement and are hereby expressly and entirely excluded. The Parties hereby irrevocably submit to the exclusive jurisdiction of the state and federal courts resident in the borough of Manhattan of New York, USA for all litigation arising out of or relating to this Agreement. The Parties agree that service of any process will be deemed sufficient upon actual delivery of such process at the address provided herein. Each Party waives any right to a jury trial in any proceeding arising out of or related to this Agreement.</w:t>
      </w:r>
    </w:p>
    <w:p>
      <w:pPr>
        <w:spacing w:after="0" w:line="125" w:lineRule="exact"/>
        <w:rPr>
          <w:sz w:val="20"/>
          <w:szCs w:val="20"/>
          <w:color w:val="auto"/>
        </w:rPr>
      </w:pPr>
    </w:p>
    <w:p>
      <w:pPr>
        <w:jc w:val="both"/>
        <w:ind w:left="760" w:hanging="752"/>
        <w:spacing w:after="0" w:line="255" w:lineRule="auto"/>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Injunctive Relief</w:t>
      </w:r>
      <w:r>
        <w:rPr>
          <w:rFonts w:ascii="Times New Roman" w:cs="Times New Roman" w:eastAsia="Times New Roman" w:hAnsi="Times New Roman"/>
          <w:sz w:val="20"/>
          <w:szCs w:val="20"/>
          <w:color w:val="auto"/>
        </w:rPr>
        <w:t>. Nothing in this Agreement shall be deemed to prohibit or restrict either Party from (1) seeking injunctive relief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(2) seeking such other rights and remedies as it may have at law or equity for any actual or threatened breach of any provision of this Agreement relating to a Party’s Confidential Information or Intellectual Property.</w:t>
      </w:r>
    </w:p>
    <w:p>
      <w:pPr>
        <w:spacing w:after="0" w:line="116"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w:t>
      </w:r>
    </w:p>
    <w:p>
      <w:pPr>
        <w:spacing w:after="0" w:line="165" w:lineRule="exact"/>
        <w:rPr>
          <w:rFonts w:ascii="Times New Roman" w:cs="Times New Roman" w:eastAsia="Times New Roman" w:hAnsi="Times New Roman"/>
          <w:sz w:val="20"/>
          <w:szCs w:val="20"/>
          <w:color w:val="auto"/>
        </w:rPr>
      </w:pPr>
    </w:p>
    <w:p>
      <w:pPr>
        <w:jc w:val="both"/>
        <w:ind w:left="1500" w:hanging="743"/>
        <w:spacing w:after="0" w:line="245" w:lineRule="auto"/>
        <w:tabs>
          <w:tab w:leader="none" w:pos="1500" w:val="left"/>
        </w:tabs>
        <w:numPr>
          <w:ilvl w:val="1"/>
          <w:numId w:val="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Subject as set out in Section 13(d)(2) below, Distribution Partner shall not assign any of its rights or obligations hereunder without the prior written consent of OneWeb, which consent shall not be unreasonably withheld, conditioned or delayed. Distribution Partner may assign its interest hereunder to a successor company upon written notice to OneWeb; provided, however, that in the event of a change of control of Distribution Partner or assignment to an entity that is a competitor of OneWeb or which has a material adverse effect on OneWeb’s interests, OneWeb may in its absolute discretion terminate this Agreement.</w:t>
      </w:r>
    </w:p>
    <w:p>
      <w:pPr>
        <w:spacing w:after="0" w:line="128" w:lineRule="exact"/>
        <w:rPr>
          <w:rFonts w:ascii="Times New Roman" w:cs="Times New Roman" w:eastAsia="Times New Roman" w:hAnsi="Times New Roman"/>
          <w:sz w:val="20"/>
          <w:szCs w:val="20"/>
          <w:u w:val="single" w:color="auto"/>
          <w:color w:val="auto"/>
        </w:rPr>
      </w:pPr>
    </w:p>
    <w:p>
      <w:pPr>
        <w:jc w:val="both"/>
        <w:ind w:left="1500" w:hanging="743"/>
        <w:spacing w:after="0" w:line="243" w:lineRule="auto"/>
        <w:tabs>
          <w:tab w:leader="none" w:pos="1500" w:val="left"/>
        </w:tabs>
        <w:numPr>
          <w:ilvl w:val="1"/>
          <w:numId w:val="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OneWeb may, by written notice to the Distribution Partner, assign its interest hereunder, whether by contingent assignment, grant of security interests, sale of assets, merger, or any other form of transfer; provided that, (i) the assignee or transferee agrees in writing to assume all obligations and liabilities of OneWeb hereunder, and (ii) subject to the ability of the successor company to (a) make show its ability to fulfill the obligations of OneWeb hereunder if requested in a written notice by Distribution Partner and (b) not have a material adverse effect on Distribution Partner’s interests; and (iii) the assignee or transferee demonstrates its ability to fulfill the assigned Party’s obligations under this Agreement. In the event of an assignment by OneWeb to an entity that is a competitor of Distribution Partner, Distribution Partner may in its absolute discretion terminate this Agreement.</w:t>
      </w:r>
    </w:p>
    <w:p>
      <w:pPr>
        <w:spacing w:after="0" w:line="132" w:lineRule="exact"/>
        <w:rPr>
          <w:rFonts w:ascii="Times New Roman" w:cs="Times New Roman" w:eastAsia="Times New Roman" w:hAnsi="Times New Roman"/>
          <w:sz w:val="20"/>
          <w:szCs w:val="20"/>
          <w:u w:val="single" w:color="auto"/>
          <w:color w:val="auto"/>
        </w:rPr>
      </w:pPr>
    </w:p>
    <w:p>
      <w:pPr>
        <w:ind w:left="1500" w:hanging="743"/>
        <w:spacing w:after="0" w:line="268" w:lineRule="auto"/>
        <w:tabs>
          <w:tab w:leader="none" w:pos="1500" w:val="left"/>
        </w:tabs>
        <w:numPr>
          <w:ilvl w:val="1"/>
          <w:numId w:val="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assignment in violation of Section 13(d) (Assignment) of this Agreement shall void. Subject to the foregoing, this Agreement shall be binding upon and inure to the benefit of the successors and assigns of the Parties.</w:t>
      </w:r>
    </w:p>
    <w:p>
      <w:pPr>
        <w:spacing w:after="0" w:line="102" w:lineRule="exact"/>
        <w:rPr>
          <w:rFonts w:ascii="Times New Roman" w:cs="Times New Roman" w:eastAsia="Times New Roman" w:hAnsi="Times New Roman"/>
          <w:sz w:val="20"/>
          <w:szCs w:val="20"/>
          <w:u w:val="single" w:color="auto"/>
          <w:color w:val="auto"/>
        </w:rPr>
      </w:pPr>
    </w:p>
    <w:p>
      <w:pPr>
        <w:jc w:val="both"/>
        <w:ind w:left="760" w:hanging="752"/>
        <w:spacing w:after="0" w:line="243" w:lineRule="auto"/>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Incorporation by Reference; Entire Agreement; Severability; Amendments and Waivers</w:t>
      </w:r>
      <w:r>
        <w:rPr>
          <w:rFonts w:ascii="Times New Roman" w:cs="Times New Roman" w:eastAsia="Times New Roman" w:hAnsi="Times New Roman"/>
          <w:sz w:val="20"/>
          <w:szCs w:val="20"/>
          <w:color w:val="auto"/>
        </w:rPr>
        <w:t>. The attachments (including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Exhibits and other OneWeb documents referenced herein) to this Agreement constitute a material part of this Agreement and are incorporated herein by their reference in this Agreement as if restated in full. This Agreement constitutes the entire agreement between the Parties with respect to its subject matter, and supersedes all other agreements, understandings, and contracts whether oral or written with respect thereto. If any provision of this Agreement shall be held to be invalid or unenforceable, the other provisions shall remain in full force and effect. Except as provided for in this Agreement, no modification, change, amendment or waiver of any term to this Agreement shall be of any force or effect unless in writing and signed by authorized representatives of both Parties. The waiver or failure of either Party to exercise any right provided for in this Agreement shall not be deemed a waiver of any further right hereunder under such provision or any other provisions.</w:t>
      </w:r>
    </w:p>
    <w:p>
      <w:pPr>
        <w:spacing w:after="0" w:line="129" w:lineRule="exact"/>
        <w:rPr>
          <w:rFonts w:ascii="Times New Roman" w:cs="Times New Roman" w:eastAsia="Times New Roman" w:hAnsi="Times New Roman"/>
          <w:sz w:val="20"/>
          <w:szCs w:val="20"/>
          <w:color w:val="auto"/>
        </w:rPr>
      </w:pPr>
    </w:p>
    <w:p>
      <w:pPr>
        <w:ind w:left="760" w:hanging="752"/>
        <w:spacing w:after="0" w:line="272" w:lineRule="auto"/>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Publicity</w:t>
      </w:r>
      <w:r>
        <w:rPr>
          <w:rFonts w:ascii="Times New Roman" w:cs="Times New Roman" w:eastAsia="Times New Roman" w:hAnsi="Times New Roman"/>
          <w:sz w:val="20"/>
          <w:szCs w:val="20"/>
          <w:color w:val="auto"/>
        </w:rPr>
        <w:t>. Except as otherwise provided for herein, no Party will issue or cause the publication of any press release or other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announcement with respect to this Agreement or the transactions</w:t>
      </w:r>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7"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contemplated hereby without the prior written consent of the other Party hereto. Notwithstanding the foregoing, nothing herein will prohibit any Party from issuing or causing publication of any such press release or public announcement to the extent that such disclosure is upon advice of counsel required by law or stock exchange rules, in which case the Party making such determination will, if practicable in the circumstances, use reasonable efforts to allow the other Party reasonable time to comment on such release or announcement in advance of its issuance.</w:t>
      </w:r>
    </w:p>
    <w:p>
      <w:pPr>
        <w:spacing w:after="0" w:line="125" w:lineRule="exact"/>
        <w:rPr>
          <w:sz w:val="20"/>
          <w:szCs w:val="20"/>
          <w:color w:val="auto"/>
        </w:rPr>
      </w:pPr>
    </w:p>
    <w:p>
      <w:pPr>
        <w:ind w:left="760" w:right="20" w:hanging="752"/>
        <w:spacing w:after="0" w:line="272"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Cumulative Remedies</w:t>
      </w:r>
      <w:r>
        <w:rPr>
          <w:rFonts w:ascii="Times New Roman" w:cs="Times New Roman" w:eastAsia="Times New Roman" w:hAnsi="Times New Roman"/>
          <w:sz w:val="20"/>
          <w:szCs w:val="20"/>
          <w:color w:val="auto"/>
        </w:rPr>
        <w:t>. All remedies provided in accordance with this Agreement are cumulative and are in addition to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rights of the Parties except as are expressly limited by the terms of this Agreement.</w:t>
      </w:r>
    </w:p>
    <w:p>
      <w:pPr>
        <w:spacing w:after="0" w:line="98" w:lineRule="exact"/>
        <w:rPr>
          <w:rFonts w:ascii="Times New Roman" w:cs="Times New Roman" w:eastAsia="Times New Roman" w:hAnsi="Times New Roman"/>
          <w:sz w:val="20"/>
          <w:szCs w:val="20"/>
          <w:color w:val="auto"/>
        </w:rPr>
      </w:pPr>
    </w:p>
    <w:p>
      <w:pPr>
        <w:jc w:val="both"/>
        <w:ind w:left="760" w:hanging="752"/>
        <w:spacing w:after="0" w:line="263" w:lineRule="auto"/>
        <w:tabs>
          <w:tab w:leader="none" w:pos="76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Force Majeure</w:t>
      </w:r>
      <w:r>
        <w:rPr>
          <w:rFonts w:ascii="Times New Roman" w:cs="Times New Roman" w:eastAsia="Times New Roman" w:hAnsi="Times New Roman"/>
          <w:sz w:val="19"/>
          <w:szCs w:val="19"/>
          <w:color w:val="auto"/>
        </w:rPr>
        <w:t>. Save for payment obligations under this Agreement, neither Party shall be in default, responsible or held liable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this Agreement for any delay in performance or for non-performance caused by circumstances beyond it’s reasonable control, including, without limitation, acts of God, fire, flood, war, government action, terrorism in any form, delays in customs, accident, labor trouble, shortages, or inability to obtain materials, equipment or transportation from suppliers or subcontractors; provided, however, that the affected Party provides the other Party written notice as soon as possible of the existence of such circumstance.</w:t>
      </w:r>
    </w:p>
    <w:p>
      <w:pPr>
        <w:spacing w:after="0" w:line="110" w:lineRule="exact"/>
        <w:rPr>
          <w:rFonts w:ascii="Times New Roman" w:cs="Times New Roman" w:eastAsia="Times New Roman" w:hAnsi="Times New Roman"/>
          <w:sz w:val="19"/>
          <w:szCs w:val="19"/>
          <w:color w:val="auto"/>
        </w:rPr>
      </w:pPr>
    </w:p>
    <w:p>
      <w:pPr>
        <w:jc w:val="both"/>
        <w:ind w:left="760" w:hanging="752"/>
        <w:spacing w:after="0" w:line="243"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Relationship of the Parties and No Third Party Beneficiary</w:t>
      </w:r>
      <w:r>
        <w:rPr>
          <w:rFonts w:ascii="Times New Roman" w:cs="Times New Roman" w:eastAsia="Times New Roman" w:hAnsi="Times New Roman"/>
          <w:sz w:val="20"/>
          <w:szCs w:val="20"/>
          <w:color w:val="auto"/>
        </w:rPr>
        <w:t>. Neither the making of this Agreement nor the performance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hereunder shall be construed to constitute either Party as the agent, employee or legal representative of the other for any purpose, nor shall this Agreement be deemed to establish a joint venture or partnership between OneWeb and Distribution Partner or to create any relationship between the Parties hereto other than that of independent contractors. Neither Party hereto shall have any right or authority to create any obligation, warranty, representation, or responsibility, express or implied, on behalf of the other Party nor to bind the other Party in any manner whatsoever. Nothing in this Agreement grants any person (including, without limitation, all Sub-Distributors and End Users of Distribution Partner) other than the Parties hereto any benefit or legal or equitable right, remedy, or claim, express or implied, except as expressly provided herein and no such person will be deemed a third party beneficiary under or by reason of this Agreement.</w:t>
      </w:r>
    </w:p>
    <w:p>
      <w:pPr>
        <w:spacing w:after="0" w:line="129" w:lineRule="exact"/>
        <w:rPr>
          <w:rFonts w:ascii="Times New Roman" w:cs="Times New Roman" w:eastAsia="Times New Roman" w:hAnsi="Times New Roman"/>
          <w:sz w:val="20"/>
          <w:szCs w:val="20"/>
          <w:color w:val="auto"/>
        </w:rPr>
      </w:pPr>
    </w:p>
    <w:p>
      <w:pPr>
        <w:jc w:val="both"/>
        <w:ind w:left="760" w:hanging="752"/>
        <w:spacing w:after="0" w:line="255"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Independent Legal Advice</w:t>
      </w:r>
      <w:r>
        <w:rPr>
          <w:rFonts w:ascii="Times New Roman" w:cs="Times New Roman" w:eastAsia="Times New Roman" w:hAnsi="Times New Roman"/>
          <w:sz w:val="20"/>
          <w:szCs w:val="20"/>
          <w:color w:val="auto"/>
        </w:rPr>
        <w:t>. The Parties acknowledge that (1) they have received, have had ample time to read, and have read,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fully understand its provisions; and (2) they have had an adequate opportunity to be advised by legal and other advisors of their own choice.</w:t>
      </w:r>
    </w:p>
    <w:p>
      <w:pPr>
        <w:spacing w:after="0" w:line="116" w:lineRule="exact"/>
        <w:rPr>
          <w:rFonts w:ascii="Times New Roman" w:cs="Times New Roman" w:eastAsia="Times New Roman" w:hAnsi="Times New Roman"/>
          <w:sz w:val="20"/>
          <w:szCs w:val="20"/>
          <w:color w:val="auto"/>
        </w:rPr>
      </w:pPr>
    </w:p>
    <w:p>
      <w:pPr>
        <w:jc w:val="both"/>
        <w:ind w:left="760" w:hanging="752"/>
        <w:spacing w:after="0" w:line="250"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 and Interpretation</w:t>
      </w:r>
      <w:r>
        <w:rPr>
          <w:rFonts w:ascii="Times New Roman" w:cs="Times New Roman" w:eastAsia="Times New Roman" w:hAnsi="Times New Roman"/>
          <w:sz w:val="20"/>
          <w:szCs w:val="20"/>
          <w:color w:val="auto"/>
        </w:rPr>
        <w:t>. This Agreement may be executed electronically and in two (2) or more counterparts,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taken together constitute one single contract between the Parties. The titles and headings of the Sections of this Agreement are for reference only and shall not be deemed to modify the substantive provisions of this Agreement. The singular or plural number as used in this Agreement shall each be deemed to include the other wherever the context so indicates.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ONEWEB</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DISTRIBUTION PARTNER AGREEMENT</w:t>
      </w:r>
    </w:p>
    <w:p>
      <w:pPr>
        <w:spacing w:after="0" w:line="13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IN WITNESS WHEREOF, the authorized representatives of both Parties have executed this Agreement on the date indicated below as of the Effective Date.</w:t>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Network Access Associates Ltd.</w:t>
      </w: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/s/ Neil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-10795</wp:posOffset>
            </wp:positionV>
            <wp:extent cx="9512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Neil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33051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Printed Name</w:t>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33051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Title</w:t>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5/19/2022</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-140970</wp:posOffset>
            </wp:positionV>
            <wp:extent cx="33051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Gogo Business Aviation, LLC.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-10795</wp:posOffset>
            </wp:positionV>
            <wp:extent cx="10350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29628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Printed Name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29628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5/21/2022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329628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740"/>
          </w:cols>
          <w:pgMar w:left="320" w:top="764" w:right="3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59" w:name="page60"/>
    <w:bookmarkEnd w:id="59"/>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Distribution Partner’s Authorized Vertical Markets and Territories, Authorized OneWeb Services and Pricing</w:t>
      </w:r>
    </w:p>
    <w:p>
      <w:pPr>
        <w:spacing w:after="0" w:line="81" w:lineRule="exact"/>
        <w:rPr>
          <w:sz w:val="20"/>
          <w:szCs w:val="20"/>
          <w:color w:val="auto"/>
        </w:rPr>
      </w:pPr>
    </w:p>
    <w:p>
      <w:pPr>
        <w:ind w:left="760" w:hanging="752"/>
        <w:spacing w:after="0" w:line="272" w:lineRule="auto"/>
        <w:tabs>
          <w:tab w:leader="none" w:pos="760" w:val="left"/>
        </w:tabs>
        <w:numPr>
          <w:ilvl w:val="0"/>
          <w:numId w:val="6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Unless otherwise specified herein, capitalized terms used in this Exhibit 1 shall have the meanings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and/or this Agreement:</w:t>
      </w:r>
    </w:p>
    <w:p>
      <w:pPr>
        <w:spacing w:after="0" w:line="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Activation Date</w:t>
      </w:r>
      <w:r>
        <w:rPr>
          <w:rFonts w:ascii="Times New Roman" w:cs="Times New Roman" w:eastAsia="Times New Roman" w:hAnsi="Times New Roman"/>
          <w:sz w:val="20"/>
          <w:szCs w:val="20"/>
          <w:color w:val="auto"/>
        </w:rPr>
        <w:t>” means the later of the date for each Specific Site in an Order that is either (i) the applicable Commencement Date; or (ii) the earlier of (a) the date such Specific Site is activated by Distribution Partner or (b) the agreed to Latest Billing Start Date as indicated in an Order for such Specific Site, which if not specified is the date that is ninety (90) days after signature of an Order.</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Activation Fee</w:t>
      </w:r>
      <w:r>
        <w:rPr>
          <w:rFonts w:ascii="Times New Roman" w:cs="Times New Roman" w:eastAsia="Times New Roman" w:hAnsi="Times New Roman"/>
          <w:sz w:val="20"/>
          <w:szCs w:val="20"/>
          <w:color w:val="auto"/>
        </w:rPr>
        <w:t>” means fee charged for the assignment of a chargeable OneWeb Service to the OneWeb Approved Equipment.</w:t>
      </w:r>
    </w:p>
    <w:p>
      <w:pPr>
        <w:spacing w:after="0" w:line="16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Auto-Renewal Term</w:t>
      </w:r>
      <w:r>
        <w:rPr>
          <w:rFonts w:ascii="Times New Roman" w:cs="Times New Roman" w:eastAsia="Times New Roman" w:hAnsi="Times New Roman"/>
          <w:sz w:val="20"/>
          <w:szCs w:val="20"/>
          <w:color w:val="auto"/>
        </w:rPr>
        <w:t>” means the applicable auto-renewal term for each Specific Site in an Order for a given Market Offer that will apply after expiration of such Specific Site’s then current applicable term or the Minimum Service Duration, unless either Party provides written notice to the other Party no less than sixty (60) days prior to the end of such applicable term of its intent not to renew an Order.</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Deactivation Fee</w:t>
      </w:r>
      <w:r>
        <w:rPr>
          <w:rFonts w:ascii="Times New Roman" w:cs="Times New Roman" w:eastAsia="Times New Roman" w:hAnsi="Times New Roman"/>
          <w:sz w:val="20"/>
          <w:szCs w:val="20"/>
          <w:color w:val="auto"/>
        </w:rPr>
        <w:t>” means the fee for the removal of a chargeable OneWeb Service from the OneWeb Approved Equipment.</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Early Termination Fee</w:t>
      </w:r>
      <w:r>
        <w:rPr>
          <w:rFonts w:ascii="Times New Roman" w:cs="Times New Roman" w:eastAsia="Times New Roman" w:hAnsi="Times New Roman"/>
          <w:sz w:val="20"/>
          <w:szCs w:val="20"/>
          <w:color w:val="auto"/>
        </w:rPr>
        <w:t>” means an early termination fee in lieu of payment for the OneWeb Services.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 Offer(s)</w:t>
      </w:r>
      <w:r>
        <w:rPr>
          <w:rFonts w:ascii="Times New Roman" w:cs="Times New Roman" w:eastAsia="Times New Roman" w:hAnsi="Times New Roman"/>
          <w:sz w:val="20"/>
          <w:szCs w:val="20"/>
          <w:color w:val="auto"/>
        </w:rPr>
        <w:t>” means those specific market offers for the OneWeb Services.</w:t>
      </w:r>
    </w:p>
    <w:p>
      <w:pPr>
        <w:spacing w:after="0" w:line="161"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Service Duration</w:t>
      </w:r>
      <w:r>
        <w:rPr>
          <w:rFonts w:ascii="Times New Roman" w:cs="Times New Roman" w:eastAsia="Times New Roman" w:hAnsi="Times New Roman"/>
          <w:sz w:val="20"/>
          <w:szCs w:val="20"/>
          <w:color w:val="auto"/>
        </w:rPr>
        <w:t>” means that minimum term for each Specific Site in an Order for a given Market Offer as calculated from the applicable Activation Date of the OneWeb Service to the end of the applicable minimum term.</w:t>
      </w:r>
    </w:p>
    <w:p>
      <w:pPr>
        <w:spacing w:after="0" w:line="99"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Terminal Specification</w:t>
      </w:r>
      <w:r>
        <w:rPr>
          <w:rFonts w:ascii="Times New Roman" w:cs="Times New Roman" w:eastAsia="Times New Roman" w:hAnsi="Times New Roman"/>
          <w:sz w:val="20"/>
          <w:szCs w:val="20"/>
          <w:color w:val="auto"/>
        </w:rPr>
        <w:t>” means the minimum specifications for a given Market Offer that must be met with regards to the OneWeb Approved Equipment.</w:t>
      </w:r>
    </w:p>
    <w:p>
      <w:pPr>
        <w:spacing w:after="0" w:line="99"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Monthly Recurring Charge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MRC</w:t>
      </w:r>
      <w:r>
        <w:rPr>
          <w:rFonts w:ascii="Times New Roman" w:cs="Times New Roman" w:eastAsia="Times New Roman" w:hAnsi="Times New Roman"/>
          <w:sz w:val="20"/>
          <w:szCs w:val="20"/>
          <w:color w:val="auto"/>
        </w:rPr>
        <w:t>”) means the fixed monthly charges for use of the OneWeb Services that Distribution Partner shall be charged - and is responsible - for regardless of actual usage of the OneWeb Services in a given month.</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Overage Charges</w:t>
      </w:r>
      <w:r>
        <w:rPr>
          <w:rFonts w:ascii="Times New Roman" w:cs="Times New Roman" w:eastAsia="Times New Roman" w:hAnsi="Times New Roman"/>
          <w:sz w:val="20"/>
          <w:szCs w:val="20"/>
          <w:color w:val="auto"/>
        </w:rPr>
        <w:t>” means charges incurred under a Volume Plan for any data used over the specified Volume Allowance.</w:t>
      </w:r>
    </w:p>
    <w:p>
      <w:pPr>
        <w:spacing w:after="0" w:line="161" w:lineRule="exact"/>
        <w:rPr>
          <w:sz w:val="20"/>
          <w:szCs w:val="20"/>
          <w:color w:val="auto"/>
        </w:rPr>
      </w:pPr>
    </w:p>
    <w:p>
      <w:pPr>
        <w:jc w:val="both"/>
        <w:ind w:right="20"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 SLA Credit Cap</w:t>
      </w:r>
      <w:r>
        <w:rPr>
          <w:rFonts w:ascii="Times New Roman" w:cs="Times New Roman" w:eastAsia="Times New Roman" w:hAnsi="Times New Roman"/>
          <w:sz w:val="20"/>
          <w:szCs w:val="20"/>
          <w:color w:val="auto"/>
        </w:rPr>
        <w:t>” means the monthly credit cap for the Service SLA as a % of the Site Connectivity MRC for each Specific Site on the Market Offer.</w:t>
      </w:r>
    </w:p>
    <w:p>
      <w:pPr>
        <w:spacing w:after="0" w:line="99"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Suspension Fee</w:t>
      </w:r>
      <w:r>
        <w:rPr>
          <w:rFonts w:ascii="Times New Roman" w:cs="Times New Roman" w:eastAsia="Times New Roman" w:hAnsi="Times New Roman"/>
          <w:sz w:val="20"/>
          <w:szCs w:val="20"/>
          <w:color w:val="auto"/>
        </w:rPr>
        <w:t>” means the fee charged for the temporary pausing by Distribution Partner of the delivery of the OneWeb Service to any of the OneWeb Approved Equipment.</w:t>
      </w:r>
    </w:p>
    <w:p>
      <w:pPr>
        <w:spacing w:after="0" w:line="99" w:lineRule="exact"/>
        <w:rPr>
          <w:sz w:val="20"/>
          <w:szCs w:val="20"/>
          <w:color w:val="auto"/>
        </w:rPr>
      </w:pPr>
    </w:p>
    <w:p>
      <w:pPr>
        <w:ind w:left="760" w:hanging="752"/>
        <w:spacing w:after="0"/>
        <w:tabs>
          <w:tab w:leader="none" w:pos="760" w:val="left"/>
        </w:tabs>
        <w:numPr>
          <w:ilvl w:val="0"/>
          <w:numId w:val="7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Authorized Vertical Markets and Territories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120" w:type="dxa"/>
            <w:vAlign w:val="bottom"/>
            <w:tcBorders>
              <w:top w:val="single" w:sz="8" w:color="auto"/>
              <w:left w:val="single" w:sz="8" w:color="auto"/>
              <w:right w:val="single" w:sz="8" w:color="auto"/>
            </w:tcBorders>
            <w:gridSpan w:val="3"/>
          </w:tcPr>
          <w:p>
            <w:pPr>
              <w:ind w:left="120"/>
              <w:spacing w:after="0" w:line="216" w:lineRule="exact"/>
              <w:rPr>
                <w:sz w:val="20"/>
                <w:szCs w:val="20"/>
                <w:color w:val="auto"/>
              </w:rPr>
            </w:pPr>
            <w:r>
              <w:rPr>
                <w:rFonts w:ascii="Times New Roman" w:cs="Times New Roman" w:eastAsia="Times New Roman" w:hAnsi="Times New Roman"/>
                <w:sz w:val="20"/>
                <w:szCs w:val="20"/>
                <w:b w:val="1"/>
                <w:bCs w:val="1"/>
                <w:color w:val="auto"/>
              </w:rPr>
              <w:t>Vertical Market</w:t>
            </w:r>
          </w:p>
        </w:tc>
        <w:tc>
          <w:tcPr>
            <w:tcW w:w="3980" w:type="dxa"/>
            <w:vAlign w:val="bottom"/>
            <w:tcBorders>
              <w:top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6"/>
              </w:rPr>
              <w:t>Territories*</w:t>
            </w:r>
          </w:p>
        </w:tc>
        <w:tc>
          <w:tcPr>
            <w:tcW w:w="80" w:type="dxa"/>
            <w:vAlign w:val="bottom"/>
            <w:tcBorders>
              <w:top w:val="single" w:sz="8" w:color="auto"/>
            </w:tcBorders>
          </w:tcPr>
          <w:p>
            <w:pPr>
              <w:spacing w:after="0"/>
              <w:rPr>
                <w:sz w:val="18"/>
                <w:szCs w:val="18"/>
                <w:color w:val="auto"/>
              </w:rPr>
            </w:pPr>
          </w:p>
        </w:tc>
        <w:tc>
          <w:tcPr>
            <w:tcW w:w="40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Additional Terms and Conditions</w:t>
            </w: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20" w:type="dxa"/>
            <w:vAlign w:val="bottom"/>
            <w:tcBorders>
              <w:top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0"/>
        </w:trPr>
        <w:tc>
          <w:tcPr>
            <w:tcW w:w="3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Commercial Aviation</w:t>
            </w:r>
          </w:p>
        </w:tc>
        <w:tc>
          <w:tcPr>
            <w:tcW w:w="1480" w:type="dxa"/>
            <w:vAlign w:val="bottom"/>
            <w:tcBorders>
              <w:bottom w:val="single" w:sz="8" w:color="auto"/>
            </w:tcBorders>
          </w:tcPr>
          <w:p>
            <w:pPr>
              <w:spacing w:after="0"/>
              <w:rPr>
                <w:sz w:val="21"/>
                <w:szCs w:val="21"/>
                <w:color w:val="auto"/>
              </w:rPr>
            </w:pPr>
          </w:p>
        </w:tc>
        <w:tc>
          <w:tcPr>
            <w:tcW w:w="2500" w:type="dxa"/>
            <w:vAlign w:val="bottom"/>
            <w:tcBorders>
              <w:bottom w:val="single" w:sz="8" w:color="auto"/>
              <w:right w:val="single" w:sz="8" w:color="auto"/>
            </w:tcBorders>
            <w:gridSpan w:val="2"/>
          </w:tcPr>
          <w:p>
            <w:pPr>
              <w:jc w:val="center"/>
              <w:ind w:right="152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r>
      <w:tr>
        <w:trPr>
          <w:trHeight w:val="250"/>
        </w:trPr>
        <w:tc>
          <w:tcPr>
            <w:tcW w:w="3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Commercial Fixed</w:t>
            </w:r>
          </w:p>
        </w:tc>
        <w:tc>
          <w:tcPr>
            <w:tcW w:w="1480" w:type="dxa"/>
            <w:vAlign w:val="bottom"/>
            <w:tcBorders>
              <w:bottom w:val="single" w:sz="8" w:color="auto"/>
            </w:tcBorders>
          </w:tcPr>
          <w:p>
            <w:pPr>
              <w:spacing w:after="0"/>
              <w:rPr>
                <w:sz w:val="21"/>
                <w:szCs w:val="21"/>
                <w:color w:val="auto"/>
              </w:rPr>
            </w:pPr>
          </w:p>
        </w:tc>
        <w:tc>
          <w:tcPr>
            <w:tcW w:w="2500" w:type="dxa"/>
            <w:vAlign w:val="bottom"/>
            <w:tcBorders>
              <w:bottom w:val="single" w:sz="8" w:color="auto"/>
              <w:right w:val="single" w:sz="8" w:color="auto"/>
            </w:tcBorders>
            <w:gridSpan w:val="2"/>
          </w:tcPr>
          <w:p>
            <w:pPr>
              <w:jc w:val="center"/>
              <w:ind w:right="152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r>
      <w:tr>
        <w:trPr>
          <w:trHeight w:val="250"/>
        </w:trPr>
        <w:tc>
          <w:tcPr>
            <w:tcW w:w="3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Commercial Maritime</w:t>
            </w:r>
          </w:p>
        </w:tc>
        <w:tc>
          <w:tcPr>
            <w:tcW w:w="1480" w:type="dxa"/>
            <w:vAlign w:val="bottom"/>
            <w:tcBorders>
              <w:bottom w:val="single" w:sz="8" w:color="auto"/>
            </w:tcBorders>
          </w:tcPr>
          <w:p>
            <w:pPr>
              <w:spacing w:after="0"/>
              <w:rPr>
                <w:sz w:val="21"/>
                <w:szCs w:val="21"/>
                <w:color w:val="auto"/>
              </w:rPr>
            </w:pPr>
          </w:p>
        </w:tc>
        <w:tc>
          <w:tcPr>
            <w:tcW w:w="2500" w:type="dxa"/>
            <w:vAlign w:val="bottom"/>
            <w:tcBorders>
              <w:bottom w:val="single" w:sz="8" w:color="auto"/>
              <w:right w:val="single" w:sz="8" w:color="auto"/>
            </w:tcBorders>
            <w:gridSpan w:val="2"/>
          </w:tcPr>
          <w:p>
            <w:pPr>
              <w:jc w:val="center"/>
              <w:ind w:right="1520"/>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r>
      <w:tr>
        <w:trPr>
          <w:trHeight w:val="250"/>
        </w:trPr>
        <w:tc>
          <w:tcPr>
            <w:tcW w:w="3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Civil Government</w:t>
            </w:r>
          </w:p>
        </w:tc>
        <w:tc>
          <w:tcPr>
            <w:tcW w:w="2380" w:type="dxa"/>
            <w:vAlign w:val="bottom"/>
            <w:tcBorders>
              <w:bottom w:val="single" w:sz="8" w:color="auto"/>
            </w:tcBorders>
            <w:gridSpan w:val="2"/>
          </w:tcPr>
          <w:p>
            <w:pPr>
              <w:jc w:val="center"/>
              <w:ind w:left="148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r>
      <w:tr>
        <w:trPr>
          <w:trHeight w:val="250"/>
        </w:trPr>
        <w:tc>
          <w:tcPr>
            <w:tcW w:w="31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Military Government</w:t>
            </w:r>
          </w:p>
        </w:tc>
        <w:tc>
          <w:tcPr>
            <w:tcW w:w="2380" w:type="dxa"/>
            <w:vAlign w:val="bottom"/>
            <w:gridSpan w:val="2"/>
          </w:tcPr>
          <w:p>
            <w:pPr>
              <w:jc w:val="center"/>
              <w:ind w:left="148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r>
      <w:tr>
        <w:trPr>
          <w:trHeight w:val="478"/>
        </w:trPr>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980" w:type="dxa"/>
            <w:vAlign w:val="bottom"/>
            <w:gridSpan w:val="3"/>
          </w:tcPr>
          <w:p>
            <w:pPr>
              <w:jc w:val="right"/>
              <w:ind w:right="1480"/>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931"/>
        </w:trPr>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0" w:name="page61"/>
    <w:bookmarkEnd w:id="60"/>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4860" cy="1841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34860" cy="184150"/>
                    </a:xfrm>
                    <a:prstGeom prst="rect">
                      <a:avLst/>
                    </a:prstGeom>
                    <a:noFill/>
                  </pic:spPr>
                </pic:pic>
              </a:graphicData>
            </a:graphic>
          </wp:anchor>
        </w:drawing>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Private Aviation</w:t>
            </w:r>
          </w:p>
        </w:tc>
        <w:tc>
          <w:tcPr>
            <w:tcW w:w="4040" w:type="dxa"/>
            <w:vAlign w:val="bottom"/>
          </w:tcPr>
          <w:p>
            <w:pPr>
              <w:ind w:left="1700"/>
              <w:spacing w:after="0"/>
              <w:rPr>
                <w:sz w:val="20"/>
                <w:szCs w:val="20"/>
                <w:color w:val="auto"/>
              </w:rPr>
            </w:pPr>
            <w:r>
              <w:rPr>
                <w:rFonts w:ascii="Times New Roman" w:cs="Times New Roman" w:eastAsia="Times New Roman" w:hAnsi="Times New Roman"/>
                <w:sz w:val="20"/>
                <w:szCs w:val="20"/>
                <w:color w:val="auto"/>
              </w:rPr>
              <w:t>Global</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66" w:lineRule="auto"/>
        <w:rPr>
          <w:sz w:val="20"/>
          <w:szCs w:val="20"/>
          <w:color w:val="auto"/>
        </w:rPr>
      </w:pPr>
      <w:r>
        <w:rPr>
          <w:rFonts w:ascii="Times New Roman" w:cs="Times New Roman" w:eastAsia="Times New Roman" w:hAnsi="Times New Roman"/>
          <w:sz w:val="20"/>
          <w:szCs w:val="20"/>
          <w:color w:val="auto"/>
        </w:rPr>
        <w:t>Territories and Vertical markets are subject to i) the Commencement Date notice, ii) authorizations and restrictions relevant to any Service Plan, iii) applicable Law and all provisions outlined in this Agreement, including Sanctions; and iv) may be geofenced.</w:t>
      </w:r>
    </w:p>
    <w:p>
      <w:pPr>
        <w:spacing w:after="0" w:line="105" w:lineRule="exact"/>
        <w:rPr>
          <w:sz w:val="20"/>
          <w:szCs w:val="20"/>
          <w:color w:val="auto"/>
        </w:rPr>
      </w:pPr>
    </w:p>
    <w:p>
      <w:pPr>
        <w:ind w:left="760" w:right="6980" w:hanging="752"/>
        <w:spacing w:after="0" w:line="410" w:lineRule="auto"/>
        <w:tabs>
          <w:tab w:leader="none" w:pos="760" w:val="left"/>
        </w:tabs>
        <w:numPr>
          <w:ilvl w:val="0"/>
          <w:numId w:val="7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 xml:space="preserve">Authorized OneWeb Services and Pricing </w:t>
      </w:r>
      <w:r>
        <w:rPr>
          <w:rFonts w:ascii="Times New Roman" w:cs="Times New Roman" w:eastAsia="Times New Roman" w:hAnsi="Times New Roman"/>
          <w:sz w:val="20"/>
          <w:szCs w:val="20"/>
          <w:b w:val="1"/>
          <w:bCs w:val="1"/>
          <w:color w:val="auto"/>
        </w:rPr>
        <w:t>[***]</w:t>
      </w:r>
    </w:p>
    <w:p>
      <w:pPr>
        <w:ind w:left="760" w:hanging="3"/>
        <w:spacing w:after="0" w:line="268" w:lineRule="auto"/>
        <w:tabs>
          <w:tab w:leader="none" w:pos="102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OneWeb Services and each of their attributes that comprise a Market Offer are further defined in Exhibit 2 of this Agreement.</w:t>
      </w:r>
    </w:p>
    <w:p>
      <w:pPr>
        <w:spacing w:after="0" w:line="107"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20"/>
          <w:szCs w:val="20"/>
          <w:color w:val="auto"/>
        </w:rPr>
        <w:t>OneWeb and Distribution Partner agree to review and discuss new service plans and charges for OneWeb Services from time to time or at the request of the Distribution Partner.</w:t>
      </w:r>
    </w:p>
    <w:p>
      <w:pPr>
        <w:spacing w:after="0" w:line="103" w:lineRule="exact"/>
        <w:rPr>
          <w:sz w:val="20"/>
          <w:szCs w:val="20"/>
          <w:color w:val="auto"/>
        </w:rPr>
      </w:pPr>
    </w:p>
    <w:p>
      <w:pPr>
        <w:ind w:left="760" w:hanging="752"/>
        <w:spacing w:after="0"/>
        <w:tabs>
          <w:tab w:leader="none" w:pos="760" w:val="left"/>
        </w:tabs>
        <w:numPr>
          <w:ilvl w:val="0"/>
          <w:numId w:val="7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Target Performance Review</w:t>
      </w:r>
    </w:p>
    <w:p>
      <w:pPr>
        <w:spacing w:after="0" w:line="161" w:lineRule="exact"/>
        <w:rPr>
          <w:rFonts w:ascii="Times New Roman" w:cs="Times New Roman" w:eastAsia="Times New Roman" w:hAnsi="Times New Roman"/>
          <w:sz w:val="20"/>
          <w:szCs w:val="20"/>
          <w:b w:val="1"/>
          <w:bCs w:val="1"/>
          <w:u w:val="single" w:color="auto"/>
          <w:color w:val="auto"/>
        </w:rPr>
      </w:pPr>
    </w:p>
    <w:p>
      <w:pPr>
        <w:ind w:left="760"/>
        <w:spacing w:after="0"/>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4.1</w:t>
      </w:r>
      <w:r>
        <w:rPr>
          <w:rFonts w:ascii="Times New Roman" w:cs="Times New Roman" w:eastAsia="Times New Roman" w:hAnsi="Times New Roman"/>
          <w:sz w:val="19"/>
          <w:szCs w:val="19"/>
          <w:b w:val="1"/>
          <w:bCs w:val="1"/>
          <w:color w:val="auto"/>
        </w:rPr>
        <w:t>Target Forecast</w:t>
      </w:r>
    </w:p>
    <w:p>
      <w:pPr>
        <w:spacing w:after="0" w:line="165" w:lineRule="exact"/>
        <w:rPr>
          <w:rFonts w:ascii="Times New Roman" w:cs="Times New Roman" w:eastAsia="Times New Roman" w:hAnsi="Times New Roman"/>
          <w:sz w:val="20"/>
          <w:szCs w:val="20"/>
          <w:b w:val="1"/>
          <w:bCs w:val="1"/>
          <w:u w:val="single" w:color="auto"/>
          <w:color w:val="auto"/>
        </w:rPr>
      </w:pPr>
    </w:p>
    <w:p>
      <w:pPr>
        <w:ind w:left="760"/>
        <w:spacing w:after="0" w:line="268"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color w:val="auto"/>
        </w:rPr>
        <w:t>The table below shows the Distribution Partner’s forecast, year by year, of both (i) the number of OneWeb Service plans that will be active at the end of the applicable year and (ii) Service Charges payable.</w:t>
      </w:r>
    </w:p>
    <w:p>
      <w:pPr>
        <w:spacing w:after="0" w:line="106" w:lineRule="exact"/>
        <w:rPr>
          <w:rFonts w:ascii="Times New Roman" w:cs="Times New Roman" w:eastAsia="Times New Roman" w:hAnsi="Times New Roman"/>
          <w:sz w:val="20"/>
          <w:szCs w:val="20"/>
          <w:b w:val="1"/>
          <w:bCs w:val="1"/>
          <w:u w:val="single" w:color="auto"/>
          <w:color w:val="auto"/>
        </w:rPr>
      </w:pPr>
    </w:p>
    <w:p>
      <w:pPr>
        <w:ind w:left="760" w:right="500"/>
        <w:spacing w:after="0" w:line="408"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color w:val="auto"/>
        </w:rPr>
        <w:t>This forecast will be used by OneWeb as a metric against which to measure Distribution Partner’s performance over the Term. [***]</w:t>
      </w:r>
    </w:p>
    <w:p>
      <w:pPr>
        <w:jc w:val="both"/>
        <w:ind w:left="760"/>
        <w:spacing w:after="0" w:line="253" w:lineRule="auto"/>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color w:val="auto"/>
        </w:rPr>
        <w:t>The forecast above begins on the later of the Commencement Date and earlier of i) first date of availability of production versions of approved OneWeb Approved Equipment as submitted by Distribution Partner, or ii) [***]. (“</w:t>
      </w:r>
      <w:r>
        <w:rPr>
          <w:rFonts w:ascii="Times New Roman" w:cs="Times New Roman" w:eastAsia="Times New Roman" w:hAnsi="Times New Roman"/>
          <w:sz w:val="20"/>
          <w:szCs w:val="20"/>
          <w:b w:val="1"/>
          <w:bCs w:val="1"/>
          <w:color w:val="auto"/>
        </w:rPr>
        <w:t>Forecast Start Date</w:t>
      </w:r>
      <w:r>
        <w:rPr>
          <w:rFonts w:ascii="Times New Roman" w:cs="Times New Roman" w:eastAsia="Times New Roman" w:hAnsi="Times New Roman"/>
          <w:sz w:val="20"/>
          <w:szCs w:val="20"/>
          <w:color w:val="auto"/>
        </w:rPr>
        <w:t>”). Each successive year commences on each successive anniversary thereof.</w:t>
      </w:r>
    </w:p>
    <w:p>
      <w:pPr>
        <w:spacing w:after="0" w:line="118" w:lineRule="exact"/>
        <w:rPr>
          <w:rFonts w:ascii="Times New Roman" w:cs="Times New Roman" w:eastAsia="Times New Roman" w:hAnsi="Times New Roman"/>
          <w:sz w:val="20"/>
          <w:szCs w:val="20"/>
          <w:b w:val="1"/>
          <w:bCs w:val="1"/>
          <w:u w:val="single" w:color="auto"/>
          <w:color w:val="auto"/>
        </w:rPr>
      </w:pPr>
    </w:p>
    <w:p>
      <w:pPr>
        <w:ind w:left="760"/>
        <w:spacing w:after="0"/>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4.2</w:t>
      </w:r>
      <w:r>
        <w:rPr>
          <w:rFonts w:ascii="Times New Roman" w:cs="Times New Roman" w:eastAsia="Times New Roman" w:hAnsi="Times New Roman"/>
          <w:sz w:val="19"/>
          <w:szCs w:val="19"/>
          <w:b w:val="1"/>
          <w:bCs w:val="1"/>
          <w:color w:val="auto"/>
        </w:rPr>
        <w:t>Performance Review</w:t>
      </w:r>
    </w:p>
    <w:p>
      <w:pPr>
        <w:spacing w:after="0" w:line="165"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20"/>
          <w:szCs w:val="20"/>
          <w:color w:val="auto"/>
        </w:rPr>
        <w:t>Distribution Partner performance against forecast to be reviewed as part of the quarterly reviews referred to in Section 4(b)(c) of this Agreement. Forecast deviations will be measured following the end of each forecast year.</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Reasonable adjustments may be required to take into account:</w:t>
      </w:r>
    </w:p>
    <w:p>
      <w:pPr>
        <w:spacing w:after="0" w:line="161" w:lineRule="exact"/>
        <w:rPr>
          <w:sz w:val="20"/>
          <w:szCs w:val="20"/>
          <w:color w:val="auto"/>
        </w:rPr>
      </w:pPr>
    </w:p>
    <w:p>
      <w:pPr>
        <w:ind w:left="2260" w:hanging="755"/>
        <w:spacing w:after="0"/>
        <w:tabs>
          <w:tab w:leader="none" w:pos="22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relevant gaps in market access for regulatory reasons; and</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OneWeb rejection of Orders</w:t>
      </w:r>
    </w:p>
    <w:p>
      <w:pPr>
        <w:spacing w:after="0" w:line="157"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Effect of Performance Outcomes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At the end of each forecast year:</w:t>
      </w:r>
    </w:p>
    <w:p>
      <w:pPr>
        <w:spacing w:after="0" w:line="161" w:lineRule="exact"/>
        <w:rPr>
          <w:sz w:val="20"/>
          <w:szCs w:val="20"/>
          <w:color w:val="auto"/>
        </w:rPr>
      </w:pPr>
    </w:p>
    <w:p>
      <w:pPr>
        <w:jc w:val="both"/>
        <w:ind w:left="2260" w:hanging="755"/>
        <w:spacing w:after="0" w:line="253" w:lineRule="auto"/>
        <w:tabs>
          <w:tab w:leader="none" w:pos="22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Distribution Partner is operating below the [***]% Threshold, OneWeb may formally request an explanation and DP will provide an appropriate business plan, within 60 days of the end of the year, setting out mitigation to improve forecast levels.</w:t>
      </w:r>
    </w:p>
    <w:p>
      <w:pPr>
        <w:spacing w:after="0" w:line="118" w:lineRule="exact"/>
        <w:rPr>
          <w:rFonts w:ascii="Times New Roman" w:cs="Times New Roman" w:eastAsia="Times New Roman" w:hAnsi="Times New Roman"/>
          <w:sz w:val="20"/>
          <w:szCs w:val="20"/>
          <w:color w:val="auto"/>
        </w:rPr>
      </w:pPr>
    </w:p>
    <w:p>
      <w:pPr>
        <w:ind w:left="2260" w:hanging="755"/>
        <w:spacing w:after="0" w:line="272" w:lineRule="auto"/>
        <w:tabs>
          <w:tab w:leader="none" w:pos="22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Distribution Partner is operating below [***]% of the forecast (the “</w:t>
      </w:r>
      <w:r>
        <w:rPr>
          <w:rFonts w:ascii="Times New Roman" w:cs="Times New Roman" w:eastAsia="Times New Roman" w:hAnsi="Times New Roman"/>
          <w:sz w:val="20"/>
          <w:szCs w:val="20"/>
          <w:b w:val="1"/>
          <w:bCs w:val="1"/>
          <w:color w:val="auto"/>
        </w:rPr>
        <w:t>Minimum Sales Threshold</w:t>
      </w:r>
      <w:r>
        <w:rPr>
          <w:rFonts w:ascii="Times New Roman" w:cs="Times New Roman" w:eastAsia="Times New Roman" w:hAnsi="Times New Roman"/>
          <w:sz w:val="20"/>
          <w:szCs w:val="20"/>
          <w:color w:val="auto"/>
        </w:rPr>
        <w:t>”) during Year 2 or following, the parties will confer on</w:t>
      </w:r>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1" w:name="page62"/>
    <w:bookmarkEnd w:id="61"/>
    <w:p>
      <w:pPr>
        <w:jc w:val="cente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jc w:val="both"/>
        <w:ind w:left="2180"/>
        <w:spacing w:after="0" w:line="253" w:lineRule="auto"/>
        <w:rPr>
          <w:sz w:val="20"/>
          <w:szCs w:val="20"/>
          <w:color w:val="auto"/>
        </w:rPr>
      </w:pPr>
      <w:r>
        <w:rPr>
          <w:rFonts w:ascii="Times New Roman" w:cs="Times New Roman" w:eastAsia="Times New Roman" w:hAnsi="Times New Roman"/>
          <w:sz w:val="20"/>
          <w:szCs w:val="20"/>
          <w:color w:val="auto"/>
        </w:rPr>
        <w:t>appropriate mitigations to improve performance to above the Minimum Sales Threshold by the end of the year following the year the Minimum Sales Threshold was not met. If the Minimum Threshold is not met during the timeframe described above then:</w:t>
      </w:r>
    </w:p>
    <w:p>
      <w:pPr>
        <w:spacing w:after="0" w:line="122" w:lineRule="exact"/>
        <w:rPr>
          <w:sz w:val="20"/>
          <w:szCs w:val="20"/>
          <w:color w:val="auto"/>
        </w:rPr>
      </w:pPr>
    </w:p>
    <w:p>
      <w:pPr>
        <w:ind w:left="2180" w:hanging="470"/>
        <w:spacing w:after="0"/>
        <w:tabs>
          <w:tab w:leader="none" w:pos="21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OneWeb and Distribution Partner may agree on a new forecast, relative to market conditions; or</w:t>
      </w:r>
    </w:p>
    <w:p>
      <w:pPr>
        <w:spacing w:after="0" w:line="161" w:lineRule="exact"/>
        <w:rPr>
          <w:rFonts w:ascii="Times New Roman" w:cs="Times New Roman" w:eastAsia="Times New Roman" w:hAnsi="Times New Roman"/>
          <w:sz w:val="20"/>
          <w:szCs w:val="20"/>
          <w:color w:val="auto"/>
        </w:rPr>
      </w:pPr>
    </w:p>
    <w:p>
      <w:pPr>
        <w:ind w:left="2180" w:hanging="470"/>
        <w:spacing w:after="0"/>
        <w:tabs>
          <w:tab w:leader="none" w:pos="21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591820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4" w:right="339" w:bottom="1440" w:gutter="0" w:footer="0" w:header="0"/>
        </w:sectPr>
      </w:pPr>
    </w:p>
    <w:bookmarkStart w:id="62" w:name="page63"/>
    <w:bookmarkEnd w:id="62"/>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OneWeb Service Boundary, Service Levels and Description</w:t>
      </w:r>
    </w:p>
    <w:p>
      <w:pPr>
        <w:spacing w:after="0" w:line="81" w:lineRule="exact"/>
        <w:rPr>
          <w:sz w:val="20"/>
          <w:szCs w:val="20"/>
          <w:color w:val="auto"/>
        </w:rPr>
      </w:pPr>
    </w:p>
    <w:p>
      <w:pPr>
        <w:ind w:left="760" w:hanging="752"/>
        <w:spacing w:after="0"/>
        <w:tabs>
          <w:tab w:leader="none" w:pos="760" w:val="left"/>
        </w:tabs>
        <w:numPr>
          <w:ilvl w:val="0"/>
          <w:numId w:val="7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DEFINITIONS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specified herein, capitalized terms used in this Exhibit 2 shall have the meanings set forth in this Section and/or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APIs</w:t>
      </w:r>
      <w:r>
        <w:rPr>
          <w:rFonts w:ascii="Times New Roman" w:cs="Times New Roman" w:eastAsia="Times New Roman" w:hAnsi="Times New Roman"/>
          <w:sz w:val="19"/>
          <w:szCs w:val="19"/>
          <w:color w:val="auto"/>
        </w:rPr>
        <w:t>” means OneWeb’s industry standard application program interface that uses HTTP requests to GET, PUT, POST and DELETE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data.</w:t>
      </w:r>
    </w:p>
    <w:p>
      <w:pPr>
        <w:spacing w:after="0" w:line="13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Chronic Performance Problem</w:t>
      </w:r>
      <w:r>
        <w:rPr>
          <w:rFonts w:ascii="Times New Roman" w:cs="Times New Roman" w:eastAsia="Times New Roman" w:hAnsi="Times New Roman"/>
          <w:sz w:val="20"/>
          <w:szCs w:val="20"/>
          <w:color w:val="auto"/>
        </w:rPr>
        <w:t>” means, for the same affected OneWeb Approved Equipment, any three (3) months within a six (6) month rolling period where Distribution Partner receives the Service SLA Credit or OneWeb deviates from any of the Network Performance Metrics, which shall only be effective and applicable for End Users in a given Territory after the third full month from an applicable Commencement Date.</w:t>
      </w:r>
    </w:p>
    <w:p>
      <w:pPr>
        <w:spacing w:after="0" w:line="120"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Committed Information Rate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CIR</w:t>
      </w:r>
      <w:r>
        <w:rPr>
          <w:rFonts w:ascii="Times New Roman" w:cs="Times New Roman" w:eastAsia="Times New Roman" w:hAnsi="Times New Roman"/>
          <w:sz w:val="20"/>
          <w:szCs w:val="20"/>
          <w:color w:val="auto"/>
        </w:rPr>
        <w:t>”) means the rate of all IP packets (header and payload) to or from active OneWeb Approved Equipment, as applicable, as sampled at the PoP.</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Digital Products</w:t>
      </w:r>
      <w:r>
        <w:rPr>
          <w:rFonts w:ascii="Times New Roman" w:cs="Times New Roman" w:eastAsia="Times New Roman" w:hAnsi="Times New Roman"/>
          <w:sz w:val="20"/>
          <w:szCs w:val="20"/>
          <w:color w:val="auto"/>
        </w:rPr>
        <w:t>” mean OneWeb’s applications.</w:t>
      </w:r>
    </w:p>
    <w:p>
      <w:pPr>
        <w:spacing w:after="0" w:line="1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Dynamic Volume Allowance</w:t>
      </w:r>
      <w:r>
        <w:rPr>
          <w:rFonts w:ascii="Times New Roman" w:cs="Times New Roman" w:eastAsia="Times New Roman" w:hAnsi="Times New Roman"/>
          <w:sz w:val="20"/>
          <w:szCs w:val="20"/>
          <w:color w:val="auto"/>
        </w:rPr>
        <w:t>” means the aggregate total Volume Allowance equal to the sum of all of each active Specific Site’s designated Volume Allowance in a given Market Offer. For the avoidance of doubt, when a Specific Site is activated during the applicable billing cycle, the Dynamic Volume Allowance for the remainder of the applicable billing cycle shall increase by a proportion of such Specific Site’s designated Volume Allowance in a given Market Offer based the remaining days left in the applicable billing cycle.</w:t>
      </w:r>
    </w:p>
    <w:p>
      <w:pPr>
        <w:spacing w:after="0" w:line="120" w:lineRule="exact"/>
        <w:rPr>
          <w:sz w:val="20"/>
          <w:szCs w:val="20"/>
          <w:color w:val="auto"/>
        </w:rPr>
      </w:pPr>
    </w:p>
    <w:p>
      <w:pPr>
        <w:jc w:val="both"/>
        <w:ind w:right="20" w:firstLine="50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Emergency Maintenance</w:t>
      </w:r>
      <w:r>
        <w:rPr>
          <w:rFonts w:ascii="Times New Roman" w:cs="Times New Roman" w:eastAsia="Times New Roman" w:hAnsi="Times New Roman"/>
          <w:sz w:val="20"/>
          <w:szCs w:val="20"/>
          <w:color w:val="auto"/>
        </w:rPr>
        <w:t>” means unscheduled downtime of the OneWeb Services and/or the OneWeb Network (or any portion thereof) outside of Planned Maintenance due to urgent and/or emergency maintenance. OneWeb may carry out Emergency Maintenance without advance notice to Distribution Partner.</w:t>
      </w:r>
    </w:p>
    <w:p>
      <w:pPr>
        <w:spacing w:after="0" w:line="11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Fixed Volume Allowance</w:t>
      </w:r>
      <w:r>
        <w:rPr>
          <w:rFonts w:ascii="Times New Roman" w:cs="Times New Roman" w:eastAsia="Times New Roman" w:hAnsi="Times New Roman"/>
          <w:sz w:val="20"/>
          <w:szCs w:val="20"/>
          <w:color w:val="auto"/>
        </w:rPr>
        <w:t>” means a fixed and set total Volume Allowance in the aggregate as provided for in Exhibit 1 in a Multi-Site Fixed Aggregate Volume Plan.</w:t>
      </w:r>
    </w:p>
    <w:p>
      <w:pPr>
        <w:spacing w:after="0" w:line="99"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Home PoP</w:t>
      </w:r>
      <w:r>
        <w:rPr>
          <w:rFonts w:ascii="Times New Roman" w:cs="Times New Roman" w:eastAsia="Times New Roman" w:hAnsi="Times New Roman"/>
          <w:sz w:val="20"/>
          <w:szCs w:val="20"/>
          <w:color w:val="auto"/>
        </w:rPr>
        <w:t>” means a PoP designated as the end of the service boundary for the OneWeb Service at the OneWeb PoP which is Distribution Partner’s designated Interconnection Service Type.</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Interconnection Service Type(s)</w:t>
      </w:r>
      <w:r>
        <w:rPr>
          <w:rFonts w:ascii="Times New Roman" w:cs="Times New Roman" w:eastAsia="Times New Roman" w:hAnsi="Times New Roman"/>
          <w:sz w:val="20"/>
          <w:szCs w:val="20"/>
          <w:color w:val="auto"/>
        </w:rPr>
        <w:t>” means the following three (3) interconnection service types supported by the OneWeb Network: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Cross Connects and (B) Cloud Interconnect as each of the foregoing is defined below in Section 3C of this Exhibit 2.</w:t>
      </w:r>
    </w:p>
    <w:p>
      <w:pPr>
        <w:spacing w:after="0" w:line="135"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Information Rate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MIR</w:t>
      </w:r>
      <w:r>
        <w:rPr>
          <w:rFonts w:ascii="Times New Roman" w:cs="Times New Roman" w:eastAsia="Times New Roman" w:hAnsi="Times New Roman"/>
          <w:sz w:val="20"/>
          <w:szCs w:val="20"/>
          <w:color w:val="auto"/>
        </w:rPr>
        <w:t>”) means the peak rate of all IP packets (header and payload) to or from active OneWeb Approved Equipment, as applicable, as sampled at the PoP.</w:t>
      </w:r>
    </w:p>
    <w:p>
      <w:pPr>
        <w:spacing w:after="0" w:line="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Multi-Site Dynamic Aggregate Volume Plan</w:t>
      </w:r>
      <w:r>
        <w:rPr>
          <w:rFonts w:ascii="Times New Roman" w:cs="Times New Roman" w:eastAsia="Times New Roman" w:hAnsi="Times New Roman"/>
          <w:sz w:val="20"/>
          <w:szCs w:val="20"/>
          <w:color w:val="auto"/>
        </w:rPr>
        <w:t>” means a Volume Plan that allows for a number of Specific Sites - up to the maximum number allowed provided for in Exhibit 1 of this Agreement and all of which have the same Market Offer - to share a Dynamic Volume Allowance.</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Multi-Site Fixed Aggregate Volume Plan</w:t>
      </w:r>
      <w:r>
        <w:rPr>
          <w:rFonts w:ascii="Times New Roman" w:cs="Times New Roman" w:eastAsia="Times New Roman" w:hAnsi="Times New Roman"/>
          <w:sz w:val="20"/>
          <w:szCs w:val="20"/>
          <w:color w:val="auto"/>
        </w:rPr>
        <w:t>” means a Volume Plan that allows for a number of total available Specific Sites that may be in use consuming bandwidth and the total available Specific Sites that are concurrently in use consuming bandwidth - up to the maximum number allowed for each as provided</w:t>
      </w:r>
    </w:p>
    <w:p>
      <w:pPr>
        <w:spacing w:after="0" w:line="3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3" w:name="page64"/>
    <w:bookmarkEnd w:id="63"/>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for in Exhibit 1 of this Agreement and all of which are within the same Market Offer - to share a Fixed Volume Allowance.</w:t>
      </w:r>
    </w:p>
    <w:p>
      <w:pPr>
        <w:spacing w:after="0" w:line="157" w:lineRule="exact"/>
        <w:rPr>
          <w:sz w:val="20"/>
          <w:szCs w:val="20"/>
          <w:color w:val="auto"/>
        </w:rPr>
      </w:pPr>
    </w:p>
    <w:p>
      <w:pPr>
        <w:jc w:val="both"/>
        <w:ind w:right="20"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Named Authorized User</w:t>
      </w:r>
      <w:r>
        <w:rPr>
          <w:rFonts w:ascii="Times New Roman" w:cs="Times New Roman" w:eastAsia="Times New Roman" w:hAnsi="Times New Roman"/>
          <w:sz w:val="20"/>
          <w:szCs w:val="20"/>
          <w:color w:val="auto"/>
        </w:rPr>
        <w:t>” means a current employee of Distribution Partner with a validly registered and up-to-date account to access the Digital Products.</w:t>
      </w:r>
    </w:p>
    <w:p>
      <w:pPr>
        <w:spacing w:after="0" w:line="9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Planned Maintenance</w:t>
      </w:r>
      <w:r>
        <w:rPr>
          <w:rFonts w:ascii="Times New Roman" w:cs="Times New Roman" w:eastAsia="Times New Roman" w:hAnsi="Times New Roman"/>
          <w:sz w:val="20"/>
          <w:szCs w:val="20"/>
          <w:color w:val="auto"/>
        </w:rPr>
        <w:t>” means preventative maintenance, planned outages and/or expansion of the OneWeb Services or the OneWeb Network as may be necessary to maintain the OneWeb Service and/or the OneWeb Network in satisfactory operating condition, to provide additional system capacity, or to protect the overall performance of the OneWeb Service and/or the OneWeb Network. OneWeb will endeavor to give Distribution Partner at least ten (10) calendar days’ prior notice before carrying out any Planned Maintenance.</w:t>
      </w:r>
    </w:p>
    <w:p>
      <w:pPr>
        <w:spacing w:after="0" w:line="120"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Reference OneWeb Approved Equipment</w:t>
      </w:r>
      <w:r>
        <w:rPr>
          <w:rFonts w:ascii="Times New Roman" w:cs="Times New Roman" w:eastAsia="Times New Roman" w:hAnsi="Times New Roman"/>
          <w:sz w:val="20"/>
          <w:szCs w:val="20"/>
          <w:color w:val="auto"/>
        </w:rPr>
        <w:t>” means the OneWeb Approved Equipment owned and managed by OneWeb for the purpose of monitoring and management.</w:t>
      </w:r>
    </w:p>
    <w:p>
      <w:pPr>
        <w:spacing w:after="0" w:line="99"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 Level(s)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SLA</w:t>
      </w:r>
      <w:r>
        <w:rPr>
          <w:rFonts w:ascii="Times New Roman" w:cs="Times New Roman" w:eastAsia="Times New Roman" w:hAnsi="Times New Roman"/>
          <w:sz w:val="20"/>
          <w:szCs w:val="20"/>
          <w:color w:val="auto"/>
        </w:rPr>
        <w:t>”) means those required minimum OneWeb Service levels and/or Network Performance Metrics defined and provided for in Section 4 of this Exhibit 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Single Site Volume Plan</w:t>
      </w:r>
      <w:r>
        <w:rPr>
          <w:rFonts w:ascii="Times New Roman" w:cs="Times New Roman" w:eastAsia="Times New Roman" w:hAnsi="Times New Roman"/>
          <w:sz w:val="20"/>
          <w:szCs w:val="20"/>
          <w:color w:val="auto"/>
        </w:rPr>
        <w:t>” means a Volume Plan that allows for a single Specific Site to utilize a Volume Allowance.</w:t>
      </w:r>
    </w:p>
    <w:p>
      <w:pPr>
        <w:spacing w:after="0" w:line="161"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Site Connectivity Access Type</w:t>
      </w:r>
      <w:r>
        <w:rPr>
          <w:rFonts w:ascii="Times New Roman" w:cs="Times New Roman" w:eastAsia="Times New Roman" w:hAnsi="Times New Roman"/>
          <w:sz w:val="20"/>
          <w:szCs w:val="20"/>
          <w:color w:val="auto"/>
        </w:rPr>
        <w:t>” means the following three (3) site connectivity access types supported by the OneWeb Network: (A) IP Access, (B) Business Access and (C) IPVPN as each of the foregoing is defined below in Section 3A of this Exhibit 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Specific Site</w:t>
      </w:r>
      <w:r>
        <w:rPr>
          <w:rFonts w:ascii="Times New Roman" w:cs="Times New Roman" w:eastAsia="Times New Roman" w:hAnsi="Times New Roman"/>
          <w:sz w:val="20"/>
          <w:szCs w:val="20"/>
          <w:color w:val="auto"/>
        </w:rPr>
        <w:t>” means the specific site where the OneWeb Approved Equipment is located.</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Unlimited Plan</w:t>
      </w:r>
      <w:r>
        <w:rPr>
          <w:rFonts w:ascii="Times New Roman" w:cs="Times New Roman" w:eastAsia="Times New Roman" w:hAnsi="Times New Roman"/>
          <w:sz w:val="20"/>
          <w:szCs w:val="20"/>
          <w:color w:val="auto"/>
        </w:rPr>
        <w:t>” means a OneWeb Service plan with access to unlimited data (i.e., no Volume Allowance).</w:t>
      </w:r>
    </w:p>
    <w:p>
      <w:pPr>
        <w:spacing w:after="0" w:line="161"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Vertical Market</w:t>
      </w:r>
      <w:r>
        <w:rPr>
          <w:rFonts w:ascii="Times New Roman" w:cs="Times New Roman" w:eastAsia="Times New Roman" w:hAnsi="Times New Roman"/>
          <w:sz w:val="20"/>
          <w:szCs w:val="20"/>
          <w:color w:val="auto"/>
        </w:rPr>
        <w:t>” as specifically identified on Exhibit 1 of this Agreement as it relates to Distribution Partner shall generally mean the following:</w:t>
      </w:r>
    </w:p>
    <w:p>
      <w:pPr>
        <w:spacing w:after="0" w:line="99" w:lineRule="exact"/>
        <w:rPr>
          <w:sz w:val="20"/>
          <w:szCs w:val="20"/>
          <w:color w:val="auto"/>
        </w:rPr>
      </w:pPr>
    </w:p>
    <w:p>
      <w:pPr>
        <w:ind w:left="760" w:hanging="752"/>
        <w:spacing w:after="0"/>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Aviation</w:t>
      </w:r>
      <w:r>
        <w:rPr>
          <w:rFonts w:ascii="Times New Roman" w:cs="Times New Roman" w:eastAsia="Times New Roman" w:hAnsi="Times New Roman"/>
          <w:sz w:val="20"/>
          <w:szCs w:val="20"/>
          <w:color w:val="auto"/>
        </w:rPr>
        <w:t>” means commercial air transport for the purpose of providing inflight connectivity services;</w:t>
      </w:r>
    </w:p>
    <w:p>
      <w:pPr>
        <w:spacing w:after="0" w:line="161" w:lineRule="exact"/>
        <w:rPr>
          <w:rFonts w:ascii="Times New Roman" w:cs="Times New Roman" w:eastAsia="Times New Roman" w:hAnsi="Times New Roman"/>
          <w:sz w:val="20"/>
          <w:szCs w:val="20"/>
          <w:color w:val="auto"/>
        </w:rPr>
      </w:pPr>
    </w:p>
    <w:p>
      <w:pPr>
        <w:ind w:left="760" w:hanging="752"/>
        <w:spacing w:after="0" w:line="272"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Fixed</w:t>
      </w:r>
      <w:r>
        <w:rPr>
          <w:rFonts w:ascii="Times New Roman" w:cs="Times New Roman" w:eastAsia="Times New Roman" w:hAnsi="Times New Roman"/>
          <w:sz w:val="20"/>
          <w:szCs w:val="20"/>
          <w:color w:val="auto"/>
        </w:rPr>
        <w:t>” means fixed markets including, without limitation, enterprise, community connectivity broadband, and remote outpost;</w:t>
      </w:r>
    </w:p>
    <w:p>
      <w:pPr>
        <w:spacing w:after="0" w:line="98" w:lineRule="exact"/>
        <w:rPr>
          <w:rFonts w:ascii="Times New Roman" w:cs="Times New Roman" w:eastAsia="Times New Roman" w:hAnsi="Times New Roman"/>
          <w:sz w:val="20"/>
          <w:szCs w:val="20"/>
          <w:color w:val="auto"/>
        </w:rPr>
      </w:pPr>
    </w:p>
    <w:p>
      <w:pPr>
        <w:ind w:left="760" w:hanging="752"/>
        <w:spacing w:after="0" w:line="272"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Maritime</w:t>
      </w:r>
      <w:r>
        <w:rPr>
          <w:rFonts w:ascii="Times New Roman" w:cs="Times New Roman" w:eastAsia="Times New Roman" w:hAnsi="Times New Roman"/>
          <w:sz w:val="20"/>
          <w:szCs w:val="20"/>
          <w:color w:val="auto"/>
        </w:rPr>
        <w:t>” means merchant and cargo vessels, passenger vessels, offshore platforms, supply vessels, work boats, fisheries and any other type of marinized commercial platform floating or anchored with or without a hull;</w:t>
      </w:r>
    </w:p>
    <w:p>
      <w:pPr>
        <w:spacing w:after="0" w:line="98" w:lineRule="exact"/>
        <w:rPr>
          <w:rFonts w:ascii="Times New Roman" w:cs="Times New Roman" w:eastAsia="Times New Roman" w:hAnsi="Times New Roman"/>
          <w:sz w:val="20"/>
          <w:szCs w:val="20"/>
          <w:color w:val="auto"/>
        </w:rPr>
      </w:pPr>
    </w:p>
    <w:p>
      <w:pPr>
        <w:ind w:left="760" w:hanging="752"/>
        <w:spacing w:after="0" w:line="272"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Civil Government</w:t>
      </w:r>
      <w:r>
        <w:rPr>
          <w:rFonts w:ascii="Times New Roman" w:cs="Times New Roman" w:eastAsia="Times New Roman" w:hAnsi="Times New Roman"/>
          <w:sz w:val="20"/>
          <w:szCs w:val="20"/>
          <w:color w:val="auto"/>
        </w:rPr>
        <w:t>” means any civil government market including, without limitation, civil government buildings facilities, schools and universities, research facilities, weather stations, first responders, police and border control;</w:t>
      </w:r>
    </w:p>
    <w:p>
      <w:pPr>
        <w:spacing w:after="0" w:line="98" w:lineRule="exact"/>
        <w:rPr>
          <w:rFonts w:ascii="Times New Roman" w:cs="Times New Roman" w:eastAsia="Times New Roman" w:hAnsi="Times New Roman"/>
          <w:sz w:val="20"/>
          <w:szCs w:val="20"/>
          <w:color w:val="auto"/>
        </w:rPr>
      </w:pPr>
    </w:p>
    <w:p>
      <w:pPr>
        <w:ind w:left="760" w:hanging="752"/>
        <w:spacing w:after="0" w:line="272"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Military Government</w:t>
      </w:r>
      <w:r>
        <w:rPr>
          <w:rFonts w:ascii="Times New Roman" w:cs="Times New Roman" w:eastAsia="Times New Roman" w:hAnsi="Times New Roman"/>
          <w:sz w:val="20"/>
          <w:szCs w:val="20"/>
          <w:color w:val="auto"/>
        </w:rPr>
        <w:t>” means any military government market including, without limitation, defense and military government applications; and</w:t>
      </w:r>
    </w:p>
    <w:p>
      <w:pPr>
        <w:spacing w:after="0" w:line="98" w:lineRule="exact"/>
        <w:rPr>
          <w:rFonts w:ascii="Times New Roman" w:cs="Times New Roman" w:eastAsia="Times New Roman" w:hAnsi="Times New Roman"/>
          <w:sz w:val="20"/>
          <w:szCs w:val="20"/>
          <w:color w:val="auto"/>
        </w:rPr>
      </w:pPr>
    </w:p>
    <w:p>
      <w:pPr>
        <w:jc w:val="both"/>
        <w:ind w:left="760" w:hanging="752"/>
        <w:spacing w:after="0" w:line="255"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 Aviation</w:t>
      </w:r>
      <w:r>
        <w:rPr>
          <w:rFonts w:ascii="Times New Roman" w:cs="Times New Roman" w:eastAsia="Times New Roman" w:hAnsi="Times New Roman"/>
          <w:sz w:val="20"/>
          <w:szCs w:val="20"/>
          <w:color w:val="auto"/>
        </w:rPr>
        <w:t>” means fixed wing aircraft, including, without limitation, turboprop, private and business jets, non-passenger jets and non-governmental aircraft operated by individuals and businesses including those categorized under Part 23, Part 91, Part 91K, Part 135, and other</w:t>
      </w:r>
    </w:p>
    <w:p>
      <w:pPr>
        <w:spacing w:after="0" w:line="3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4" w:name="page65"/>
    <w:bookmarkEnd w:id="64"/>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20"/>
          <w:szCs w:val="20"/>
          <w:color w:val="auto"/>
        </w:rPr>
        <w:t>FAA/EASA or equivalent operators, corporate jets, and other jets designated for private/business use, but excludes scheduled commercial airlines.</w:t>
      </w:r>
    </w:p>
    <w:p>
      <w:pPr>
        <w:spacing w:after="0" w:line="103"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Volume Allowance</w:t>
      </w:r>
      <w:r>
        <w:rPr>
          <w:rFonts w:ascii="Times New Roman" w:cs="Times New Roman" w:eastAsia="Times New Roman" w:hAnsi="Times New Roman"/>
          <w:sz w:val="20"/>
          <w:szCs w:val="20"/>
          <w:color w:val="auto"/>
        </w:rPr>
        <w:t>” means the monthly amount of all IP packets (header and payload) in GB to and from the OneWeb Approved Equipment as measured at the OneWeb PoP provided for in Exhibit 1 of this Agreement that is included in the MRC.</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Volume Plan</w:t>
      </w:r>
      <w:r>
        <w:rPr>
          <w:rFonts w:ascii="Times New Roman" w:cs="Times New Roman" w:eastAsia="Times New Roman" w:hAnsi="Times New Roman"/>
          <w:sz w:val="20"/>
          <w:szCs w:val="20"/>
          <w:color w:val="auto"/>
        </w:rPr>
        <w:t>” means a OneWeb Service plan with an aggregate Volume Allowance.</w:t>
      </w:r>
    </w:p>
    <w:p>
      <w:pPr>
        <w:spacing w:after="0" w:line="161" w:lineRule="exact"/>
        <w:rPr>
          <w:sz w:val="20"/>
          <w:szCs w:val="20"/>
          <w:color w:val="auto"/>
        </w:rPr>
      </w:pPr>
    </w:p>
    <w:p>
      <w:pPr>
        <w:ind w:left="760" w:hanging="752"/>
        <w:spacing w:after="0"/>
        <w:tabs>
          <w:tab w:leader="none" w:pos="760" w:val="left"/>
        </w:tabs>
        <w:numPr>
          <w:ilvl w:val="0"/>
          <w:numId w:val="7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SERVICE MANAGEMENT BOUNDARY</w:t>
      </w:r>
    </w:p>
    <w:p>
      <w:pPr>
        <w:spacing w:after="0" w:line="16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As illustrated in the below figure, OneWeb’s demarcation service management boundary (SMB) for OneWeb’s role and responsibility as it relates to the OneWeb Services is the OneWeb facing interfaces on the OneWeb Approved Equipment and at the Home PoP. The actual physical demarcation points of such OneWeb interface will be agreed by OneWeb and Distribution Partner during the Interconnect Service Type stage (discussed below in more detail in Section 3C of this Exhibit 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ONEWEB SERVICE DESCRIPTIONS</w:t>
      </w:r>
    </w:p>
    <w:p>
      <w:pPr>
        <w:spacing w:after="0" w:line="165" w:lineRule="exact"/>
        <w:rPr>
          <w:rFonts w:ascii="Times New Roman" w:cs="Times New Roman" w:eastAsia="Times New Roman" w:hAnsi="Times New Roman"/>
          <w:sz w:val="20"/>
          <w:szCs w:val="20"/>
          <w:b w:val="1"/>
          <w:bCs w:val="1"/>
          <w:u w:val="single" w:color="auto"/>
          <w:color w:val="auto"/>
        </w:rPr>
      </w:pPr>
    </w:p>
    <w:p>
      <w:pPr>
        <w:ind w:left="760"/>
        <w:spacing w:after="0"/>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color w:val="auto"/>
        </w:rPr>
        <w:t>OneWeb offers the following two (2) OneWeb Service plans:</w:t>
      </w:r>
    </w:p>
    <w:p>
      <w:pPr>
        <w:spacing w:after="0" w:line="161" w:lineRule="exact"/>
        <w:rPr>
          <w:rFonts w:ascii="Times New Roman" w:cs="Times New Roman" w:eastAsia="Times New Roman" w:hAnsi="Times New Roman"/>
          <w:sz w:val="20"/>
          <w:szCs w:val="20"/>
          <w:b w:val="1"/>
          <w:bCs w:val="1"/>
          <w:u w:val="single" w:color="auto"/>
          <w:color w:val="auto"/>
        </w:rPr>
      </w:pPr>
    </w:p>
    <w:p>
      <w:pPr>
        <w:ind w:left="1500" w:hanging="743"/>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Unlimited Plans; and</w:t>
      </w:r>
    </w:p>
    <w:p>
      <w:pPr>
        <w:spacing w:after="0" w:line="161" w:lineRule="exact"/>
        <w:rPr>
          <w:rFonts w:ascii="Times New Roman" w:cs="Times New Roman" w:eastAsia="Times New Roman" w:hAnsi="Times New Roman"/>
          <w:sz w:val="20"/>
          <w:szCs w:val="20"/>
          <w:color w:val="auto"/>
        </w:rPr>
      </w:pPr>
    </w:p>
    <w:p>
      <w:pPr>
        <w:ind w:left="1500" w:hanging="743"/>
        <w:spacing w:after="0" w:line="268" w:lineRule="auto"/>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Volume Plans consisting of a Single Site Volume Plan, a Multi-Site Dynamic Aggregate Volume Plan or a Multi-Site Fixed Aggregate Volume Plan.</w:t>
      </w:r>
    </w:p>
    <w:p>
      <w:pPr>
        <w:spacing w:after="0" w:line="107"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Both a Multi-Site Dynamic Aggregate Volume Plan and Multi-Site Fixed Aggregate Volume Plan become active upon the Activation Date of the first Specific Site within such plan and this establishes the applicable billing cycle for such plan going forward. Thereafter, or at the same time such first Specific Site is activated, additional Specific Sites may be activated under each such plan up to the maximum number allowed for such plan provided for in Exhibit 1 of this Agreement.</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Example Plans: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OneWeb Services fall into the following categories (as described herein):</w:t>
      </w:r>
    </w:p>
    <w:p>
      <w:pPr>
        <w:spacing w:after="0" w:line="161" w:lineRule="exact"/>
        <w:rPr>
          <w:sz w:val="20"/>
          <w:szCs w:val="20"/>
          <w:color w:val="auto"/>
        </w:rPr>
      </w:pPr>
    </w:p>
    <w:p>
      <w:pPr>
        <w:ind w:left="1500" w:hanging="743"/>
        <w:spacing w:after="0"/>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Site Connectivity Access Types;</w:t>
      </w:r>
    </w:p>
    <w:p>
      <w:pPr>
        <w:spacing w:after="0" w:line="16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Slice; and</w:t>
      </w:r>
    </w:p>
    <w:p>
      <w:pPr>
        <w:spacing w:after="0" w:line="16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Interconnect Service Type.</w:t>
      </w:r>
    </w:p>
    <w:p>
      <w:pPr>
        <w:spacing w:after="0" w:line="15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Site Connectivity Access Types.</w:t>
      </w:r>
    </w:p>
    <w:p>
      <w:pPr>
        <w:spacing w:after="0" w:line="165" w:lineRule="exact"/>
        <w:rPr>
          <w:sz w:val="20"/>
          <w:szCs w:val="20"/>
          <w:color w:val="auto"/>
        </w:rPr>
      </w:pPr>
    </w:p>
    <w:p>
      <w:pPr>
        <w:ind w:left="1500" w:hanging="743"/>
        <w:spacing w:after="0"/>
        <w:tabs>
          <w:tab w:leader="none" w:pos="1500" w:val="left"/>
        </w:tabs>
        <w:numPr>
          <w:ilvl w:val="0"/>
          <w:numId w:val="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Description of Site Connectivity Access Types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u w:val="single" w:color="auto"/>
          <w:color w:val="auto"/>
        </w:rPr>
      </w:pPr>
    </w:p>
    <w:p>
      <w:pPr>
        <w:ind w:left="2260" w:hanging="749"/>
        <w:spacing w:after="0" w:line="268" w:lineRule="auto"/>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u w:val="single" w:color="auto"/>
          <w:color w:val="auto"/>
        </w:rPr>
        <w:t>IP Access</w:t>
      </w:r>
      <w:r>
        <w:rPr>
          <w:rFonts w:ascii="Times New Roman" w:cs="Times New Roman" w:eastAsia="Times New Roman" w:hAnsi="Times New Roman"/>
          <w:sz w:val="20"/>
          <w:szCs w:val="20"/>
          <w:color w:val="auto"/>
        </w:rPr>
        <w:t>” provides an End User with a single Best Effort (as defined below) quality of service with no/equal traffic prioritization.</w:t>
      </w:r>
    </w:p>
    <w:p>
      <w:pPr>
        <w:spacing w:after="0" w:line="106" w:lineRule="exact"/>
        <w:rPr>
          <w:rFonts w:ascii="Times New Roman" w:cs="Times New Roman" w:eastAsia="Times New Roman" w:hAnsi="Times New Roman"/>
          <w:sz w:val="20"/>
          <w:szCs w:val="20"/>
          <w:u w:val="single" w:color="auto"/>
          <w:color w:val="auto"/>
        </w:rPr>
      </w:pPr>
    </w:p>
    <w:p>
      <w:pPr>
        <w:ind w:left="2260" w:hanging="755"/>
        <w:spacing w:after="0" w:line="268" w:lineRule="auto"/>
        <w:tabs>
          <w:tab w:leader="none" w:pos="22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Access</w:t>
      </w:r>
      <w:r>
        <w:rPr>
          <w:rFonts w:ascii="Times New Roman" w:cs="Times New Roman" w:eastAsia="Times New Roman" w:hAnsi="Times New Roman"/>
          <w:sz w:val="20"/>
          <w:szCs w:val="20"/>
          <w:color w:val="auto"/>
        </w:rPr>
        <w:t>” provides the following two (2) levels of priority: (a) high priority connectivity of EF for e.g., Voice Over IP (VOIP) services; and (b) Best Effort connectivity for all other data traffic.</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5" w:name="page66"/>
    <w:bookmarkEnd w:id="65"/>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jc w:val="both"/>
        <w:ind w:left="2260" w:hanging="755"/>
        <w:spacing w:after="0" w:line="249" w:lineRule="auto"/>
        <w:tabs>
          <w:tab w:leader="none" w:pos="22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IPVPN</w:t>
      </w:r>
      <w:r>
        <w:rPr>
          <w:rFonts w:ascii="Times New Roman" w:cs="Times New Roman" w:eastAsia="Times New Roman" w:hAnsi="Times New Roman"/>
          <w:sz w:val="20"/>
          <w:szCs w:val="20"/>
          <w:color w:val="auto"/>
        </w:rPr>
        <w:t>” (a) enables End Users to connect remote business sites easily and cost effectively where multiple business critical applications and services require specific support; and (b) ensures committed quality of service with two (2) levels of priority traffic (as discussed below) in addition to Best Effort connectivity for all other data traffic.</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following are other key terms with respect to each of the Site Connectivity Access Types:</w:t>
      </w:r>
    </w:p>
    <w:p>
      <w:pPr>
        <w:spacing w:after="0" w:line="161" w:lineRule="exact"/>
        <w:rPr>
          <w:sz w:val="20"/>
          <w:szCs w:val="20"/>
          <w:color w:val="auto"/>
        </w:rPr>
      </w:pPr>
    </w:p>
    <w:p>
      <w:pPr>
        <w:ind w:left="2260" w:hanging="755"/>
        <w:spacing w:after="0"/>
        <w:tabs>
          <w:tab w:leader="none" w:pos="22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Site Connectivity Access Type must be assigned to a Network Slice; and</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Site Connectivity Access Types may be assigned independently to multiple Network Slices.</w:t>
      </w:r>
    </w:p>
    <w:p>
      <w:pPr>
        <w:spacing w:after="0" w:line="161" w:lineRule="exact"/>
        <w:rPr>
          <w:rFonts w:ascii="Times New Roman" w:cs="Times New Roman" w:eastAsia="Times New Roman" w:hAnsi="Times New Roman"/>
          <w:sz w:val="20"/>
          <w:szCs w:val="20"/>
          <w:color w:val="auto"/>
        </w:rPr>
      </w:pPr>
    </w:p>
    <w:p>
      <w:pPr>
        <w:ind w:left="1500" w:hanging="743"/>
        <w:spacing w:after="0" w:line="268" w:lineRule="auto"/>
        <w:tabs>
          <w:tab w:leader="none" w:pos="1500" w:val="left"/>
        </w:tabs>
        <w:numPr>
          <w:ilvl w:val="0"/>
          <w:numId w:val="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Traffic Prioritization</w:t>
      </w:r>
      <w:r>
        <w:rPr>
          <w:rFonts w:ascii="Times New Roman" w:cs="Times New Roman" w:eastAsia="Times New Roman" w:hAnsi="Times New Roman"/>
          <w:sz w:val="20"/>
          <w:szCs w:val="20"/>
          <w:color w:val="auto"/>
        </w:rPr>
        <w:t>: The OneWeb Network shall support the following three (3) classes of traffic prioritization, which will vary as supported per Site Connectivity Access Type as indicated in the table below:</w:t>
      </w:r>
    </w:p>
    <w:p>
      <w:pPr>
        <w:spacing w:after="0" w:line="103" w:lineRule="exact"/>
        <w:rPr>
          <w:sz w:val="20"/>
          <w:szCs w:val="20"/>
          <w:color w:val="auto"/>
        </w:rPr>
      </w:pPr>
    </w:p>
    <w:p>
      <w:pPr>
        <w:ind w:left="2260" w:hanging="755"/>
        <w:spacing w:after="0"/>
        <w:tabs>
          <w:tab w:leader="none" w:pos="22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Expedited Forwarding (“</w:t>
      </w:r>
      <w:r>
        <w:rPr>
          <w:rFonts w:ascii="Times New Roman" w:cs="Times New Roman" w:eastAsia="Times New Roman" w:hAnsi="Times New Roman"/>
          <w:sz w:val="20"/>
          <w:szCs w:val="20"/>
          <w:b w:val="1"/>
          <w:bCs w:val="1"/>
          <w:color w:val="auto"/>
        </w:rPr>
        <w:t>EF</w:t>
      </w:r>
      <w:r>
        <w:rPr>
          <w:rFonts w:ascii="Times New Roman" w:cs="Times New Roman" w:eastAsia="Times New Roman" w:hAnsi="Times New Roman"/>
          <w:sz w:val="20"/>
          <w:szCs w:val="20"/>
          <w:color w:val="auto"/>
        </w:rPr>
        <w:t>”): dedicated bearer with highest priority delivery;</w:t>
      </w:r>
    </w:p>
    <w:p>
      <w:pPr>
        <w:spacing w:after="0" w:line="161" w:lineRule="exact"/>
        <w:rPr>
          <w:sz w:val="20"/>
          <w:szCs w:val="20"/>
          <w:color w:val="auto"/>
        </w:rPr>
      </w:pPr>
    </w:p>
    <w:p>
      <w:pPr>
        <w:ind w:left="2260" w:hanging="755"/>
        <w:spacing w:after="0"/>
        <w:tabs>
          <w:tab w:leader="none" w:pos="22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Assured Forwarding (“</w:t>
      </w:r>
      <w:r>
        <w:rPr>
          <w:rFonts w:ascii="Times New Roman" w:cs="Times New Roman" w:eastAsia="Times New Roman" w:hAnsi="Times New Roman"/>
          <w:sz w:val="20"/>
          <w:szCs w:val="20"/>
          <w:b w:val="1"/>
          <w:bCs w:val="1"/>
          <w:color w:val="auto"/>
        </w:rPr>
        <w:t>AF</w:t>
      </w:r>
      <w:r>
        <w:rPr>
          <w:rFonts w:ascii="Times New Roman" w:cs="Times New Roman" w:eastAsia="Times New Roman" w:hAnsi="Times New Roman"/>
          <w:sz w:val="20"/>
          <w:szCs w:val="20"/>
          <w:color w:val="auto"/>
        </w:rPr>
        <w:t>”): dedicated bearer with high priority delivery; and</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Best Effort (“</w:t>
      </w:r>
      <w:r>
        <w:rPr>
          <w:rFonts w:ascii="Times New Roman" w:cs="Times New Roman" w:eastAsia="Times New Roman" w:hAnsi="Times New Roman"/>
          <w:sz w:val="20"/>
          <w:szCs w:val="20"/>
          <w:b w:val="1"/>
          <w:bCs w:val="1"/>
          <w:color w:val="auto"/>
        </w:rPr>
        <w:t>BE</w:t>
      </w:r>
      <w:r>
        <w:rPr>
          <w:rFonts w:ascii="Times New Roman" w:cs="Times New Roman" w:eastAsia="Times New Roman" w:hAnsi="Times New Roman"/>
          <w:sz w:val="20"/>
          <w:szCs w:val="20"/>
          <w:color w:val="auto"/>
        </w:rPr>
        <w:t>”): default bearer with default forwarding class (which is the lowest traffic prioritization level).</w:t>
      </w:r>
    </w:p>
    <w:p>
      <w:pPr>
        <w:spacing w:after="0" w:line="165"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Where the Site Connectivity Access Type provides multiple levels of priority, these are defined as additional Classes of Service (“</w:t>
      </w:r>
      <w:r>
        <w:rPr>
          <w:rFonts w:ascii="Times New Roman" w:cs="Times New Roman" w:eastAsia="Times New Roman" w:hAnsi="Times New Roman"/>
          <w:sz w:val="20"/>
          <w:szCs w:val="20"/>
          <w:b w:val="1"/>
          <w:bCs w:val="1"/>
          <w:color w:val="auto"/>
        </w:rPr>
        <w:t>CoS</w:t>
      </w:r>
      <w:r>
        <w:rPr>
          <w:rFonts w:ascii="Times New Roman" w:cs="Times New Roman" w:eastAsia="Times New Roman" w:hAnsi="Times New Roman"/>
          <w:sz w:val="20"/>
          <w:szCs w:val="20"/>
          <w:color w:val="auto"/>
        </w:rPr>
        <w:t>”). End Users shall be responsible for marking traffic with the right CoS in both the forward and the reverse path. OneWeb shall preserve these CoS markings between the OneWeb Approved Equipment (Customer Edge handover point) and the PoP (Provider Edge handover point).</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164"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600" w:type="dxa"/>
            <w:vAlign w:val="bottom"/>
            <w:tcBorders>
              <w:top w:val="single" w:sz="8" w:color="auto"/>
              <w:left w:val="single" w:sz="8" w:color="auto"/>
            </w:tcBorders>
          </w:tcPr>
          <w:p>
            <w:pPr>
              <w:spacing w:after="0"/>
              <w:rPr>
                <w:sz w:val="18"/>
                <w:szCs w:val="18"/>
                <w:color w:val="auto"/>
              </w:rPr>
            </w:pPr>
          </w:p>
        </w:tc>
        <w:tc>
          <w:tcPr>
            <w:tcW w:w="1560" w:type="dxa"/>
            <w:vAlign w:val="bottom"/>
            <w:tcBorders>
              <w:top w:val="single" w:sz="8" w:color="auto"/>
              <w:right w:val="single" w:sz="8" w:color="auto"/>
            </w:tcBorders>
            <w:gridSpan w:val="3"/>
          </w:tcPr>
          <w:p>
            <w:pPr>
              <w:ind w:left="240"/>
              <w:spacing w:after="0" w:line="216" w:lineRule="exact"/>
              <w:rPr>
                <w:sz w:val="20"/>
                <w:szCs w:val="20"/>
                <w:color w:val="auto"/>
              </w:rPr>
            </w:pPr>
            <w:r>
              <w:rPr>
                <w:rFonts w:ascii="Times New Roman" w:cs="Times New Roman" w:eastAsia="Times New Roman" w:hAnsi="Times New Roman"/>
                <w:sz w:val="20"/>
                <w:szCs w:val="20"/>
                <w:b w:val="1"/>
                <w:bCs w:val="1"/>
                <w:color w:val="auto"/>
              </w:rPr>
              <w:t>Class</w:t>
            </w:r>
          </w:p>
        </w:tc>
        <w:tc>
          <w:tcPr>
            <w:tcW w:w="92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gridSpan w:val="3"/>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auto"/>
              </w:rPr>
              <w:t>IP Access</w:t>
            </w:r>
          </w:p>
        </w:tc>
        <w:tc>
          <w:tcPr>
            <w:tcW w:w="2640" w:type="dxa"/>
            <w:vAlign w:val="bottom"/>
            <w:tcBorders>
              <w:top w:val="single" w:sz="8" w:color="auto"/>
              <w:right w:val="single" w:sz="8" w:color="auto"/>
            </w:tcBorders>
            <w:gridSpan w:val="3"/>
          </w:tcPr>
          <w:p>
            <w:pPr>
              <w:ind w:left="620"/>
              <w:spacing w:after="0" w:line="216" w:lineRule="exact"/>
              <w:rPr>
                <w:sz w:val="20"/>
                <w:szCs w:val="20"/>
                <w:color w:val="auto"/>
              </w:rPr>
            </w:pPr>
            <w:r>
              <w:rPr>
                <w:rFonts w:ascii="Times New Roman" w:cs="Times New Roman" w:eastAsia="Times New Roman" w:hAnsi="Times New Roman"/>
                <w:sz w:val="20"/>
                <w:szCs w:val="20"/>
                <w:b w:val="1"/>
                <w:bCs w:val="1"/>
                <w:color w:val="auto"/>
              </w:rPr>
              <w:t>Business Access</w:t>
            </w:r>
          </w:p>
        </w:tc>
        <w:tc>
          <w:tcPr>
            <w:tcW w:w="1060" w:type="dxa"/>
            <w:vAlign w:val="bottom"/>
            <w:tcBorders>
              <w:top w:val="single" w:sz="8" w:color="auto"/>
            </w:tcBorders>
          </w:tcPr>
          <w:p>
            <w:pPr>
              <w:spacing w:after="0"/>
              <w:rPr>
                <w:sz w:val="18"/>
                <w:szCs w:val="18"/>
                <w:color w:val="auto"/>
              </w:rPr>
            </w:pPr>
          </w:p>
        </w:tc>
        <w:tc>
          <w:tcPr>
            <w:tcW w:w="17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IPVPN</w:t>
            </w:r>
          </w:p>
        </w:tc>
      </w:tr>
      <w:tr>
        <w:trPr>
          <w:trHeight w:val="34"/>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50"/>
        </w:trPr>
        <w:tc>
          <w:tcPr>
            <w:tcW w:w="6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EF</w:t>
            </w:r>
          </w:p>
        </w:tc>
        <w:tc>
          <w:tcPr>
            <w:tcW w:w="2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Supported</w:t>
            </w:r>
          </w:p>
        </w:tc>
        <w:tc>
          <w:tcPr>
            <w:tcW w:w="282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Supported</w:t>
            </w:r>
          </w:p>
        </w:tc>
      </w:tr>
      <w:tr>
        <w:trPr>
          <w:trHeight w:val="266"/>
        </w:trPr>
        <w:tc>
          <w:tcPr>
            <w:tcW w:w="6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AF</w:t>
            </w:r>
          </w:p>
        </w:tc>
        <w:tc>
          <w:tcPr>
            <w:tcW w:w="2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w:t>
            </w: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26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N/A</w:t>
            </w:r>
          </w:p>
        </w:tc>
        <w:tc>
          <w:tcPr>
            <w:tcW w:w="282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Supported</w:t>
            </w:r>
          </w:p>
        </w:tc>
      </w:tr>
      <w:tr>
        <w:trPr>
          <w:trHeight w:val="230"/>
        </w:trPr>
        <w:tc>
          <w:tcPr>
            <w:tcW w:w="6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BE</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Supported</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Supported</w:t>
            </w:r>
          </w:p>
        </w:tc>
        <w:tc>
          <w:tcPr>
            <w:tcW w:w="282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Supported</w:t>
            </w:r>
          </w:p>
        </w:tc>
      </w:tr>
    </w:tbl>
    <w:p>
      <w:pPr>
        <w:spacing w:after="0" w:line="132" w:lineRule="exact"/>
        <w:rPr>
          <w:sz w:val="20"/>
          <w:szCs w:val="20"/>
          <w:color w:val="auto"/>
        </w:rPr>
      </w:pPr>
    </w:p>
    <w:p>
      <w:pPr>
        <w:ind w:left="760" w:hanging="752"/>
        <w:spacing w:after="0"/>
        <w:tabs>
          <w:tab w:leader="none" w:pos="760"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Network Slice</w:t>
      </w:r>
      <w:r>
        <w:rPr>
          <w:rFonts w:ascii="Times New Roman" w:cs="Times New Roman" w:eastAsia="Times New Roman" w:hAnsi="Times New Roman"/>
          <w:sz w:val="19"/>
          <w:szCs w:val="19"/>
          <w:color w:val="auto"/>
        </w:rPr>
        <w:t>. OneWeb shall provide one or more Network Slices to create a logical grouping of Site Connectivity Access Types.</w:t>
      </w:r>
    </w:p>
    <w:p>
      <w:pPr>
        <w:spacing w:after="0" w:line="176" w:lineRule="exact"/>
        <w:rPr>
          <w:rFonts w:ascii="Times New Roman" w:cs="Times New Roman" w:eastAsia="Times New Roman" w:hAnsi="Times New Roman"/>
          <w:sz w:val="19"/>
          <w:szCs w:val="19"/>
          <w:b w:val="1"/>
          <w:bCs w:val="1"/>
          <w:color w:val="auto"/>
        </w:rPr>
      </w:pPr>
    </w:p>
    <w:p>
      <w:pPr>
        <w:ind w:left="1500" w:hanging="743"/>
        <w:spacing w:after="0"/>
        <w:tabs>
          <w:tab w:leader="none" w:pos="1500" w:val="left"/>
        </w:tabs>
        <w:numPr>
          <w:ilvl w:val="1"/>
          <w:numId w:val="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Services Support</w:t>
      </w:r>
      <w:r>
        <w:rPr>
          <w:rFonts w:ascii="Times New Roman" w:cs="Times New Roman" w:eastAsia="Times New Roman" w:hAnsi="Times New Roman"/>
          <w:sz w:val="20"/>
          <w:szCs w:val="20"/>
          <w:color w:val="auto"/>
        </w:rPr>
        <w:t>: The following services shall be supported by OneWeb per Network Slice:</w:t>
      </w:r>
    </w:p>
    <w:p>
      <w:pPr>
        <w:spacing w:after="0" w:line="161" w:lineRule="exact"/>
        <w:rPr>
          <w:rFonts w:ascii="Times New Roman" w:cs="Times New Roman" w:eastAsia="Times New Roman" w:hAnsi="Times New Roman"/>
          <w:sz w:val="20"/>
          <w:szCs w:val="20"/>
          <w:u w:val="single" w:color="auto"/>
          <w:color w:val="auto"/>
        </w:rPr>
      </w:pPr>
    </w:p>
    <w:p>
      <w:pPr>
        <w:ind w:left="2260" w:right="20" w:hanging="755"/>
        <w:spacing w:after="0" w:line="268" w:lineRule="auto"/>
        <w:tabs>
          <w:tab w:leader="none" w:pos="2260"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Isolated IP addressing, such that overlapping ranges may be supported among different End User groups, each using their own Network Slice;</w:t>
      </w:r>
    </w:p>
    <w:p>
      <w:pPr>
        <w:spacing w:after="0" w:line="106"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pooling, such that allowances may be shared among End Users on the same Network Slice; and</w:t>
      </w:r>
    </w:p>
    <w:p>
      <w:pPr>
        <w:spacing w:after="0" w:line="161" w:lineRule="exact"/>
        <w:rPr>
          <w:rFonts w:ascii="Times New Roman" w:cs="Times New Roman" w:eastAsia="Times New Roman" w:hAnsi="Times New Roman"/>
          <w:sz w:val="20"/>
          <w:szCs w:val="20"/>
          <w:color w:val="auto"/>
        </w:rPr>
      </w:pPr>
    </w:p>
    <w:p>
      <w:pPr>
        <w:ind w:left="2260" w:hanging="755"/>
        <w:spacing w:after="0" w:line="268" w:lineRule="auto"/>
        <w:tabs>
          <w:tab w:leader="none" w:pos="2260"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Routing optimization, such that different Network Slices may be used to ‘home’ traffic for different End User groups to their preferred Home PoP.</w:t>
      </w:r>
    </w:p>
    <w:p>
      <w:pPr>
        <w:spacing w:after="0" w:line="106"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Constraints</w:t>
      </w:r>
      <w:r>
        <w:rPr>
          <w:rFonts w:ascii="Times New Roman" w:cs="Times New Roman" w:eastAsia="Times New Roman" w:hAnsi="Times New Roman"/>
          <w:sz w:val="20"/>
          <w:szCs w:val="20"/>
          <w:color w:val="auto"/>
        </w:rPr>
        <w:t>: The following constraints shall apply to each Network Slice:</w:t>
      </w:r>
    </w:p>
    <w:p>
      <w:pPr>
        <w:spacing w:after="0" w:line="161" w:lineRule="exact"/>
        <w:rPr>
          <w:rFonts w:ascii="Times New Roman" w:cs="Times New Roman" w:eastAsia="Times New Roman" w:hAnsi="Times New Roman"/>
          <w:sz w:val="20"/>
          <w:szCs w:val="20"/>
          <w:u w:val="single" w:color="auto"/>
          <w:color w:val="auto"/>
        </w:rPr>
      </w:pPr>
    </w:p>
    <w:p>
      <w:pPr>
        <w:ind w:left="2260" w:hanging="755"/>
        <w:spacing w:after="0"/>
        <w:tabs>
          <w:tab w:leader="none" w:pos="2260" w:val="left"/>
        </w:tabs>
        <w:numPr>
          <w:ilvl w:val="2"/>
          <w:numId w:val="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 Network Slice shall support one Interconnect Service Type at one PoP location;</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ind w:left="2260" w:hanging="755"/>
        <w:spacing w:after="0" w:line="268" w:lineRule="auto"/>
        <w:tabs>
          <w:tab w:leader="none" w:pos="2260" w:val="left"/>
        </w:tabs>
        <w:numPr>
          <w:ilvl w:val="2"/>
          <w:numId w:val="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OneWeb shall allocate each Distribution Partner with a set number (to be agreed to during onboarding) of Network Slices that they can set-up and used for groups of End Users;</w:t>
      </w:r>
    </w:p>
    <w:p>
      <w:pPr>
        <w:spacing w:after="0" w:line="106" w:lineRule="exact"/>
        <w:rPr>
          <w:rFonts w:ascii="Times New Roman" w:cs="Times New Roman" w:eastAsia="Times New Roman" w:hAnsi="Times New Roman"/>
          <w:sz w:val="20"/>
          <w:szCs w:val="20"/>
          <w:u w:val="single" w:color="auto"/>
          <w:color w:val="auto"/>
        </w:rPr>
      </w:pPr>
    </w:p>
    <w:p>
      <w:pPr>
        <w:ind w:left="2260" w:hanging="755"/>
        <w:spacing w:after="0" w:line="268" w:lineRule="auto"/>
        <w:tabs>
          <w:tab w:leader="none" w:pos="2260" w:val="left"/>
        </w:tabs>
        <w:numPr>
          <w:ilvl w:val="2"/>
          <w:numId w:val="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Distribution Partner may request additional Network Slices, to be considered by OneWeb on a per-request basis; and</w:t>
      </w:r>
    </w:p>
    <w:p>
      <w:pPr>
        <w:spacing w:after="0" w:line="106" w:lineRule="exact"/>
        <w:rPr>
          <w:rFonts w:ascii="Times New Roman" w:cs="Times New Roman" w:eastAsia="Times New Roman" w:hAnsi="Times New Roman"/>
          <w:sz w:val="20"/>
          <w:szCs w:val="20"/>
          <w:u w:val="single" w:color="auto"/>
          <w:color w:val="auto"/>
        </w:rPr>
      </w:pPr>
    </w:p>
    <w:p>
      <w:pPr>
        <w:jc w:val="both"/>
        <w:ind w:left="2260" w:hanging="755"/>
        <w:spacing w:after="0" w:line="253" w:lineRule="auto"/>
        <w:tabs>
          <w:tab w:leader="none" w:pos="2260" w:val="left"/>
        </w:tabs>
        <w:numPr>
          <w:ilvl w:val="2"/>
          <w:numId w:val="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Distribution Partner shall be able to manage the configuration of each Network Slice, including, without limitation, logical identifiers (End User IP address range), quality of service, and routing requirements (such as choice of Interconnect Service Type).</w:t>
      </w:r>
    </w:p>
    <w:p>
      <w:pPr>
        <w:spacing w:after="0" w:line="122" w:lineRule="exact"/>
        <w:rPr>
          <w:rFonts w:ascii="Times New Roman" w:cs="Times New Roman" w:eastAsia="Times New Roman" w:hAnsi="Times New Roman"/>
          <w:sz w:val="20"/>
          <w:szCs w:val="20"/>
          <w:u w:val="single" w:color="auto"/>
          <w:color w:val="auto"/>
        </w:rPr>
      </w:pPr>
    </w:p>
    <w:p>
      <w:pPr>
        <w:jc w:val="both"/>
        <w:ind w:left="1500" w:hanging="743"/>
        <w:spacing w:after="0" w:line="249" w:lineRule="auto"/>
        <w:tabs>
          <w:tab w:leader="none" w:pos="1500" w:val="left"/>
        </w:tabs>
        <w:numPr>
          <w:ilvl w:val="1"/>
          <w:numId w:val="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Without limiting Distribution Partner’s other obligations in this Agreement, in no event shall Distribution Partner employ a Network Slice to derive an unfair pricing advantage or otherwise subvert the terms of this Agreement (including, without limitation, those terms and conditions in Exhibit 1 of this Agreement) as determined by OneWeb in its sole discretion.</w:t>
      </w:r>
    </w:p>
    <w:p>
      <w:pPr>
        <w:spacing w:after="0" w:line="120"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Interconnect Service Types.</w:t>
      </w:r>
    </w:p>
    <w:p>
      <w:pPr>
        <w:spacing w:after="0" w:line="165" w:lineRule="exact"/>
        <w:rPr>
          <w:rFonts w:ascii="Times New Roman" w:cs="Times New Roman" w:eastAsia="Times New Roman" w:hAnsi="Times New Roman"/>
          <w:sz w:val="20"/>
          <w:szCs w:val="20"/>
          <w:b w:val="1"/>
          <w:bCs w:val="1"/>
          <w:color w:val="auto"/>
        </w:rPr>
      </w:pPr>
    </w:p>
    <w:p>
      <w:pPr>
        <w:jc w:val="both"/>
        <w:ind w:left="1500" w:hanging="743"/>
        <w:spacing w:after="0" w:line="246" w:lineRule="auto"/>
        <w:tabs>
          <w:tab w:leader="none" w:pos="15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Cross Connect</w:t>
      </w:r>
      <w:r>
        <w:rPr>
          <w:rFonts w:ascii="Times New Roman" w:cs="Times New Roman" w:eastAsia="Times New Roman" w:hAnsi="Times New Roman"/>
          <w:sz w:val="20"/>
          <w:szCs w:val="20"/>
          <w:color w:val="auto"/>
        </w:rPr>
        <w:t>” provides a physical private interconnect between OneWeb and Distribution Partner at one of OneWeb’s PoP locations across the globe for the primary purpose of routing exchange and traffic flow. Multiple Cross Connects can utilize an existing private interconnect between OneWeb and Distribution Partner once it has been installed. The characteristics of each Cross Connect will be agreed between OneWeb and Distribution Partner prior to installation of such Cross Connect.</w:t>
      </w:r>
    </w:p>
    <w:p>
      <w:pPr>
        <w:spacing w:after="0" w:line="129" w:lineRule="exact"/>
        <w:rPr>
          <w:rFonts w:ascii="Times New Roman" w:cs="Times New Roman" w:eastAsia="Times New Roman" w:hAnsi="Times New Roman"/>
          <w:sz w:val="20"/>
          <w:szCs w:val="20"/>
          <w:color w:val="auto"/>
        </w:rPr>
      </w:pPr>
    </w:p>
    <w:p>
      <w:pPr>
        <w:jc w:val="both"/>
        <w:ind w:left="150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OneWeb Obligations</w:t>
      </w:r>
      <w:r>
        <w:rPr>
          <w:rFonts w:ascii="Times New Roman" w:cs="Times New Roman" w:eastAsia="Times New Roman" w:hAnsi="Times New Roman"/>
          <w:sz w:val="20"/>
          <w:szCs w:val="20"/>
          <w:color w:val="auto"/>
        </w:rPr>
        <w:t>. For each Cross Connect, OneWeb shall hand traffic to Distribution Partner at the OneWeb PoP(s) interface; and provide Distribution Partner with a letter of authorization to interconnect with OneWeb at the chosen OneWeb PoP(s) where appropriate.</w:t>
      </w:r>
    </w:p>
    <w:p>
      <w:pPr>
        <w:spacing w:after="0" w:line="122"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Partner Obligations</w:t>
      </w:r>
      <w:r>
        <w:rPr>
          <w:rFonts w:ascii="Times New Roman" w:cs="Times New Roman" w:eastAsia="Times New Roman" w:hAnsi="Times New Roman"/>
          <w:sz w:val="20"/>
          <w:szCs w:val="20"/>
          <w:color w:val="auto"/>
        </w:rPr>
        <w:t>. For each Cross Connect, Distribution Partner shall:</w:t>
      </w:r>
    </w:p>
    <w:p>
      <w:pPr>
        <w:spacing w:after="0" w:line="161" w:lineRule="exact"/>
        <w:rPr>
          <w:sz w:val="20"/>
          <w:szCs w:val="20"/>
          <w:color w:val="auto"/>
        </w:rPr>
      </w:pPr>
    </w:p>
    <w:p>
      <w:pPr>
        <w:ind w:left="2260" w:hanging="755"/>
        <w:spacing w:after="0"/>
        <w:tabs>
          <w:tab w:leader="none" w:pos="22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OneWeb of its Autonomous System (AS) number;</w:t>
      </w:r>
    </w:p>
    <w:p>
      <w:pPr>
        <w:spacing w:after="0" w:line="161" w:lineRule="exact"/>
        <w:rPr>
          <w:rFonts w:ascii="Times New Roman" w:cs="Times New Roman" w:eastAsia="Times New Roman" w:hAnsi="Times New Roman"/>
          <w:sz w:val="20"/>
          <w:szCs w:val="20"/>
          <w:color w:val="auto"/>
        </w:rPr>
      </w:pPr>
    </w:p>
    <w:p>
      <w:pPr>
        <w:jc w:val="both"/>
        <w:ind w:left="2260" w:right="20" w:hanging="755"/>
        <w:spacing w:after="0" w:line="253" w:lineRule="auto"/>
        <w:tabs>
          <w:tab w:leader="none" w:pos="22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OneWeb of the chosen OneWeb PoP location(s) where they will complete a private interconnect with OneWeb, if Distribution Partner is not at one of the OneWeb PoPs then it needs to order circuits to meet OneWeb at these PoPs;</w:t>
      </w:r>
    </w:p>
    <w:p>
      <w:pPr>
        <w:spacing w:after="0" w:line="122" w:lineRule="exact"/>
        <w:rPr>
          <w:rFonts w:ascii="Times New Roman" w:cs="Times New Roman" w:eastAsia="Times New Roman" w:hAnsi="Times New Roman"/>
          <w:sz w:val="20"/>
          <w:szCs w:val="20"/>
          <w:color w:val="auto"/>
        </w:rPr>
      </w:pPr>
    </w:p>
    <w:p>
      <w:pPr>
        <w:ind w:left="2260" w:right="20" w:hanging="755"/>
        <w:spacing w:after="0" w:line="268" w:lineRule="auto"/>
        <w:tabs>
          <w:tab w:leader="none" w:pos="22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the necessary letter of authorizations for the private interconnect physical demarcation points at the OneWeb PoP(s) with OneWeb;</w:t>
      </w:r>
    </w:p>
    <w:p>
      <w:pPr>
        <w:spacing w:after="0" w:line="106"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the physical specifications for the interconnect handoff inside PoP colocation facilities;</w:t>
      </w:r>
    </w:p>
    <w:p>
      <w:pPr>
        <w:spacing w:after="0" w:line="161" w:lineRule="exact"/>
        <w:rPr>
          <w:rFonts w:ascii="Times New Roman" w:cs="Times New Roman" w:eastAsia="Times New Roman" w:hAnsi="Times New Roman"/>
          <w:sz w:val="20"/>
          <w:szCs w:val="20"/>
          <w:color w:val="auto"/>
        </w:rPr>
      </w:pPr>
    </w:p>
    <w:p>
      <w:pPr>
        <w:ind w:left="2260" w:hanging="755"/>
        <w:spacing w:after="0" w:line="268" w:lineRule="auto"/>
        <w:tabs>
          <w:tab w:leader="none" w:pos="22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to the parameters necessary to establish the Border Gateway Protocol peering session with OneWeb including IPv4/IPv6 addressing and route advertisements;</w:t>
      </w:r>
    </w:p>
    <w:p>
      <w:pPr>
        <w:spacing w:after="0" w:line="106" w:lineRule="exact"/>
        <w:rPr>
          <w:rFonts w:ascii="Times New Roman" w:cs="Times New Roman" w:eastAsia="Times New Roman" w:hAnsi="Times New Roman"/>
          <w:sz w:val="20"/>
          <w:szCs w:val="20"/>
          <w:color w:val="auto"/>
        </w:rPr>
      </w:pPr>
    </w:p>
    <w:p>
      <w:pPr>
        <w:ind w:left="2260" w:hanging="755"/>
        <w:spacing w:after="0" w:line="268" w:lineRule="auto"/>
        <w:tabs>
          <w:tab w:leader="none" w:pos="22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the IP Packets passed across the OneWeb Network are marked with the applicable Differentiated Services Code Point (“DSCP”) markings;</w:t>
      </w:r>
    </w:p>
    <w:p>
      <w:pPr>
        <w:spacing w:after="0" w:line="106" w:lineRule="exact"/>
        <w:rPr>
          <w:rFonts w:ascii="Times New Roman" w:cs="Times New Roman" w:eastAsia="Times New Roman" w:hAnsi="Times New Roman"/>
          <w:sz w:val="20"/>
          <w:szCs w:val="20"/>
          <w:color w:val="auto"/>
        </w:rPr>
      </w:pPr>
    </w:p>
    <w:p>
      <w:pPr>
        <w:ind w:left="2260" w:hanging="755"/>
        <w:spacing w:after="0" w:line="268" w:lineRule="auto"/>
        <w:tabs>
          <w:tab w:leader="none" w:pos="22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the IP Packets passed through the OneWeb Approved Equipment to the OneWeb Network are marked with the applicable DSCP markings;</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7" w:name="page68"/>
    <w:bookmarkEnd w:id="67"/>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ind w:left="2260" w:hanging="755"/>
        <w:spacing w:after="0"/>
        <w:tabs>
          <w:tab w:leader="none" w:pos="22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all Private IP Address blocks Distribution Partner intends to allocate have been agreed to with OneWeb;</w:t>
      </w:r>
    </w:p>
    <w:p>
      <w:pPr>
        <w:spacing w:after="0" w:line="161" w:lineRule="exact"/>
        <w:rPr>
          <w:rFonts w:ascii="Times New Roman" w:cs="Times New Roman" w:eastAsia="Times New Roman" w:hAnsi="Times New Roman"/>
          <w:sz w:val="20"/>
          <w:szCs w:val="20"/>
          <w:color w:val="auto"/>
        </w:rPr>
      </w:pPr>
    </w:p>
    <w:p>
      <w:pPr>
        <w:ind w:left="2260" w:hanging="755"/>
        <w:spacing w:after="0" w:line="268" w:lineRule="auto"/>
        <w:tabs>
          <w:tab w:leader="none" w:pos="22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Distribution Partner requires Public IP Addresses, bring the Public IP Address blocks for allocation to the OneWeb Approved Equipment;</w:t>
      </w:r>
    </w:p>
    <w:p>
      <w:pPr>
        <w:spacing w:after="0" w:line="106" w:lineRule="exact"/>
        <w:rPr>
          <w:rFonts w:ascii="Times New Roman" w:cs="Times New Roman" w:eastAsia="Times New Roman" w:hAnsi="Times New Roman"/>
          <w:sz w:val="20"/>
          <w:szCs w:val="20"/>
          <w:color w:val="auto"/>
        </w:rPr>
      </w:pPr>
    </w:p>
    <w:p>
      <w:pPr>
        <w:ind w:left="2260" w:hanging="755"/>
        <w:spacing w:after="0" w:line="268" w:lineRule="auto"/>
        <w:tabs>
          <w:tab w:leader="none" w:pos="22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Domain Name Server and Dynamic Host Configuration Protocol Services for the OneWeb Approved Equipment; and</w:t>
      </w:r>
    </w:p>
    <w:p>
      <w:pPr>
        <w:spacing w:after="0" w:line="106"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Private IP Address, be responsible for Network Address Translations in its domain.</w:t>
      </w:r>
    </w:p>
    <w:p>
      <w:pPr>
        <w:spacing w:after="0" w:line="161" w:lineRule="exact"/>
        <w:rPr>
          <w:sz w:val="20"/>
          <w:szCs w:val="20"/>
          <w:color w:val="auto"/>
        </w:rPr>
      </w:pPr>
    </w:p>
    <w:p>
      <w:pPr>
        <w:jc w:val="both"/>
        <w:ind w:left="1500" w:hanging="743"/>
        <w:spacing w:after="0" w:line="253" w:lineRule="auto"/>
        <w:tabs>
          <w:tab w:leader="none" w:pos="150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Cloud Interconnect</w:t>
      </w:r>
      <w:r>
        <w:rPr>
          <w:rFonts w:ascii="Times New Roman" w:cs="Times New Roman" w:eastAsia="Times New Roman" w:hAnsi="Times New Roman"/>
          <w:sz w:val="20"/>
          <w:szCs w:val="20"/>
          <w:color w:val="auto"/>
        </w:rPr>
        <w:t>” provides a direct connection between OneWeb and a Distribution Partner or End-User Virtual Private Cloud in a public cloud provider. OneWeb supports direct connection with the following public cloud providers: Amazon Web Services, Microsoft Azure, Google Cloud, Oracle Cloud, IBM Cloud, Salesforce, and/or Alibaba Cloud.</w:t>
      </w:r>
    </w:p>
    <w:p>
      <w:pPr>
        <w:spacing w:after="0" w:line="118"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SERVICE LEVELS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Section outlines the Service Levels that OneWeb provides for the OneWeb Services purchased through Distribution Partner as further described in Exhibit 1 of this Agreement. Notwithstanding</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anything contained in this Agreement to the contrary, OneWeb’s deviation from the Services Levels (and/or other service issues or incidents) shall not constitute a breach or default of this Agreement, and Distribution Partner’s sole and exclusive remedy, if any, for such deviation shall be limited to those Service SLA Credits and termination rights for Chronic Performance Problems expressly provided for in this Section below.</w:t>
      </w:r>
    </w:p>
    <w:p>
      <w:pPr>
        <w:spacing w:after="0" w:line="120"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 SLA and Service Credits.</w:t>
      </w:r>
    </w:p>
    <w:p>
      <w:pPr>
        <w:spacing w:after="0" w:line="165" w:lineRule="exact"/>
        <w:rPr>
          <w:rFonts w:ascii="Times New Roman" w:cs="Times New Roman" w:eastAsia="Times New Roman" w:hAnsi="Times New Roman"/>
          <w:sz w:val="20"/>
          <w:szCs w:val="20"/>
          <w:b w:val="1"/>
          <w:bCs w:val="1"/>
          <w:color w:val="auto"/>
        </w:rPr>
      </w:pPr>
    </w:p>
    <w:p>
      <w:pPr>
        <w:ind w:left="1500" w:hanging="743"/>
        <w:spacing w:after="0" w:line="268" w:lineRule="auto"/>
        <w:tabs>
          <w:tab w:leader="none" w:pos="1500" w:val="left"/>
        </w:tabs>
        <w:numPr>
          <w:ilvl w:val="1"/>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Service SLA</w:t>
      </w:r>
      <w:r>
        <w:rPr>
          <w:rFonts w:ascii="Times New Roman" w:cs="Times New Roman" w:eastAsia="Times New Roman" w:hAnsi="Times New Roman"/>
          <w:sz w:val="20"/>
          <w:szCs w:val="20"/>
          <w:color w:val="auto"/>
        </w:rPr>
        <w:t>: Where CIR is defined for a given OneWeb Service plan in Exhibit 1 of this Agreement, OneWeb commits to provide the minimum CIR per CoS as further described below in this Section.</w:t>
      </w:r>
    </w:p>
    <w:p>
      <w:pPr>
        <w:spacing w:after="0" w:line="106" w:lineRule="exact"/>
        <w:rPr>
          <w:rFonts w:ascii="Times New Roman" w:cs="Times New Roman" w:eastAsia="Times New Roman" w:hAnsi="Times New Roman"/>
          <w:sz w:val="20"/>
          <w:szCs w:val="20"/>
          <w:u w:val="single" w:color="auto"/>
          <w:color w:val="auto"/>
        </w:rPr>
      </w:pPr>
    </w:p>
    <w:p>
      <w:pPr>
        <w:ind w:left="1500" w:hanging="743"/>
        <w:spacing w:after="0"/>
        <w:tabs>
          <w:tab w:leader="none" w:pos="1500" w:val="left"/>
        </w:tabs>
        <w:numPr>
          <w:ilvl w:val="1"/>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Service SLA Interval Measurement for each CoS</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u w:val="single" w:color="auto"/>
          <w:color w:val="auto"/>
        </w:rPr>
      </w:pPr>
    </w:p>
    <w:p>
      <w:pPr>
        <w:ind w:left="150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20"/>
          <w:szCs w:val="20"/>
          <w:u w:val="single" w:color="auto"/>
          <w:color w:val="auto"/>
        </w:rPr>
      </w:pPr>
    </w:p>
    <w:p>
      <w:pPr>
        <w:ind w:left="1500" w:hanging="743"/>
        <w:spacing w:after="0"/>
        <w:tabs>
          <w:tab w:leader="none" w:pos="1500" w:val="left"/>
        </w:tabs>
        <w:numPr>
          <w:ilvl w:val="1"/>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Service SLA Credit:  OneWeb will provide those service credits on the Service SLA as follows (the “</w:t>
      </w:r>
      <w:r>
        <w:rPr>
          <w:rFonts w:ascii="Times New Roman" w:cs="Times New Roman" w:eastAsia="Times New Roman" w:hAnsi="Times New Roman"/>
          <w:sz w:val="20"/>
          <w:szCs w:val="20"/>
          <w:b w:val="1"/>
          <w:bCs w:val="1"/>
          <w:color w:val="auto"/>
        </w:rPr>
        <w:t>Service SLA</w:t>
      </w:r>
    </w:p>
    <w:p>
      <w:pPr>
        <w:spacing w:after="0" w:line="25" w:lineRule="exact"/>
        <w:rPr>
          <w:rFonts w:ascii="Times New Roman" w:cs="Times New Roman" w:eastAsia="Times New Roman" w:hAnsi="Times New Roman"/>
          <w:sz w:val="20"/>
          <w:szCs w:val="20"/>
          <w:u w:val="single" w:color="auto"/>
          <w:color w:val="auto"/>
        </w:rPr>
      </w:pPr>
    </w:p>
    <w:p>
      <w:pPr>
        <w:jc w:val="both"/>
        <w:ind w:left="150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color w:val="auto"/>
        </w:rPr>
        <w:t>Credit</w:t>
      </w:r>
      <w:r>
        <w:rPr>
          <w:rFonts w:ascii="Times New Roman" w:cs="Times New Roman" w:eastAsia="Times New Roman" w:hAnsi="Times New Roman"/>
          <w:sz w:val="20"/>
          <w:szCs w:val="20"/>
          <w:color w:val="auto"/>
        </w:rPr>
        <w:t>”): [***]% credit on the Site Connectivity MRC for each [***]% degradation when totaling all interval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measurements across all applicable CoS intervals, per Specific Site and the Service SLA was not met pursuant to the provisions of this Exhibit 2 with any such Service SLA Credit rounded down to the nearest integer; provided that (i) the maximum Service SLA Credit shall not exceed the Service SLA Credit Cap and (ii) the Service SLA Credit shall only apply to the effected and active OneWeb Approved Equipment that is transmitting and/or receiving mobility or fixed service-related data communications through the OneWeb Network at the time of the Service SLA deviation.</w:t>
      </w:r>
    </w:p>
    <w:p>
      <w:pPr>
        <w:spacing w:after="0" w:line="135" w:lineRule="exact"/>
        <w:rPr>
          <w:rFonts w:ascii="Times New Roman" w:cs="Times New Roman" w:eastAsia="Times New Roman" w:hAnsi="Times New Roman"/>
          <w:sz w:val="20"/>
          <w:szCs w:val="20"/>
          <w:u w:val="single" w:color="auto"/>
          <w:color w:val="auto"/>
        </w:rPr>
      </w:pPr>
    </w:p>
    <w:p>
      <w:pPr>
        <w:jc w:val="both"/>
        <w:ind w:left="1500" w:hanging="743"/>
        <w:spacing w:after="0" w:line="253" w:lineRule="auto"/>
        <w:tabs>
          <w:tab w:leader="none" w:pos="1500" w:val="left"/>
        </w:tabs>
        <w:numPr>
          <w:ilvl w:val="1"/>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Examples of Service SLA Credit Calculations: The following are illustrative examples of the Service SLA Credit for each Site Connectivity Access Type with a monthly Service SLA Credit Cap of [***]% per month of the applicable Site Connectivity MRC:</w:t>
      </w:r>
    </w:p>
    <w:p>
      <w:pPr>
        <w:spacing w:after="0" w:line="122" w:lineRule="exact"/>
        <w:rPr>
          <w:sz w:val="20"/>
          <w:szCs w:val="20"/>
          <w:color w:val="auto"/>
        </w:rPr>
      </w:pPr>
    </w:p>
    <w:p>
      <w:pPr>
        <w:ind w:left="1500" w:right="20" w:hanging="743"/>
        <w:spacing w:after="0" w:line="268" w:lineRule="auto"/>
        <w:tabs>
          <w:tab w:leader="none" w:pos="1500" w:val="left"/>
        </w:tabs>
        <w:numPr>
          <w:ilvl w:val="0"/>
          <w:numId w:val="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IP Access Example</w:t>
      </w:r>
      <w:r>
        <w:rPr>
          <w:rFonts w:ascii="Times New Roman" w:cs="Times New Roman" w:eastAsia="Times New Roman" w:hAnsi="Times New Roman"/>
          <w:sz w:val="20"/>
          <w:szCs w:val="20"/>
          <w:color w:val="auto"/>
        </w:rPr>
        <w:t>: The following shows an example at a Specific Site of a Site Connectivity Access Type of IP Access with an MIR of [***]Mbps and a CIR for BE traffic</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8" w:name="page69"/>
    <w:bookmarkEnd w:id="68"/>
    <w:p>
      <w:pPr>
        <w:jc w:val="cente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of [***]Mbps that does not meet the required Service SLA and requires a Service SLA Credit:</w:t>
      </w:r>
    </w:p>
    <w:p>
      <w:pPr>
        <w:spacing w:after="0" w:line="164" w:lineRule="exact"/>
        <w:rPr>
          <w:sz w:val="20"/>
          <w:szCs w:val="20"/>
          <w:color w:val="auto"/>
        </w:rPr>
      </w:pPr>
    </w:p>
    <w:tbl>
      <w:tblPr>
        <w:tblLayout w:type="fixed"/>
        <w:tblInd w:w="690" w:type="dxa"/>
        <w:tblCellMar>
          <w:top w:w="0" w:type="dxa"/>
          <w:left w:w="0" w:type="dxa"/>
          <w:bottom w:w="0" w:type="dxa"/>
          <w:right w:w="0" w:type="dxa"/>
        </w:tblCellMar>
      </w:tblPr>
      <w:tr>
        <w:trPr>
          <w:trHeight w:val="226"/>
        </w:trPr>
        <w:tc>
          <w:tcPr>
            <w:tcW w:w="1340" w:type="dxa"/>
            <w:vAlign w:val="bottom"/>
            <w:tcBorders>
              <w:right w:val="single" w:sz="8" w:color="auto"/>
            </w:tcBorders>
          </w:tcPr>
          <w:p>
            <w:pPr>
              <w:spacing w:after="0"/>
              <w:rPr>
                <w:sz w:val="19"/>
                <w:szCs w:val="19"/>
                <w:color w:val="auto"/>
              </w:rPr>
            </w:pPr>
          </w:p>
        </w:tc>
        <w:tc>
          <w:tcPr>
            <w:tcW w:w="1200" w:type="dxa"/>
            <w:vAlign w:val="bottom"/>
            <w:tcBorders>
              <w:top w:val="single" w:sz="8" w:color="auto"/>
              <w:right w:val="single" w:sz="8" w:color="DCDDDE"/>
            </w:tcBorders>
            <w:shd w:val="clear" w:color="auto" w:fill="DCDDDE"/>
          </w:tcPr>
          <w:p>
            <w:pPr>
              <w:spacing w:after="0"/>
              <w:rPr>
                <w:sz w:val="19"/>
                <w:szCs w:val="19"/>
                <w:color w:val="auto"/>
              </w:rPr>
            </w:pPr>
          </w:p>
        </w:tc>
        <w:tc>
          <w:tcPr>
            <w:tcW w:w="2800" w:type="dxa"/>
            <w:vAlign w:val="bottom"/>
            <w:tcBorders>
              <w:top w:val="single" w:sz="8" w:color="auto"/>
              <w:right w:val="single" w:sz="8" w:color="DCDDDE"/>
            </w:tcBorders>
            <w:shd w:val="clear" w:color="auto" w:fill="DCDDDE"/>
          </w:tcPr>
          <w:p>
            <w:pPr>
              <w:spacing w:after="0"/>
              <w:rPr>
                <w:sz w:val="19"/>
                <w:szCs w:val="19"/>
                <w:color w:val="auto"/>
              </w:rPr>
            </w:pPr>
          </w:p>
        </w:tc>
        <w:tc>
          <w:tcPr>
            <w:tcW w:w="2600" w:type="dxa"/>
            <w:vAlign w:val="bottom"/>
            <w:tcBorders>
              <w:top w:val="single" w:sz="8" w:color="auto"/>
              <w:right w:val="single" w:sz="8" w:color="DCDDDE"/>
            </w:tcBorders>
            <w:shd w:val="clear" w:color="auto" w:fill="DCDDDE"/>
          </w:tcPr>
          <w:p>
            <w:pPr>
              <w:ind w:left="380"/>
              <w:spacing w:after="0"/>
              <w:rPr>
                <w:sz w:val="20"/>
                <w:szCs w:val="20"/>
                <w:color w:val="auto"/>
              </w:rPr>
            </w:pPr>
            <w:r>
              <w:rPr>
                <w:rFonts w:ascii="Times New Roman" w:cs="Times New Roman" w:eastAsia="Times New Roman" w:hAnsi="Times New Roman"/>
                <w:sz w:val="16"/>
                <w:szCs w:val="16"/>
                <w:b w:val="1"/>
                <w:bCs w:val="1"/>
                <w:color w:val="auto"/>
              </w:rPr>
              <w:t>BE</w:t>
            </w:r>
          </w:p>
        </w:tc>
        <w:tc>
          <w:tcPr>
            <w:tcW w:w="2420" w:type="dxa"/>
            <w:vAlign w:val="bottom"/>
            <w:tcBorders>
              <w:top w:val="single" w:sz="8" w:color="auto"/>
              <w:right w:val="single" w:sz="8" w:color="auto"/>
            </w:tcBorders>
            <w:shd w:val="clear" w:color="auto" w:fill="DCDDDE"/>
          </w:tcPr>
          <w:p>
            <w:pPr>
              <w:spacing w:after="0"/>
              <w:rPr>
                <w:sz w:val="19"/>
                <w:szCs w:val="19"/>
                <w:color w:val="auto"/>
              </w:rPr>
            </w:pPr>
          </w:p>
        </w:tc>
      </w:tr>
      <w:tr>
        <w:trPr>
          <w:trHeight w:val="179"/>
        </w:trPr>
        <w:tc>
          <w:tcPr>
            <w:tcW w:w="134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DCDDDE"/>
            </w:tcBorders>
            <w:shd w:val="clear" w:color="auto" w:fill="DCDDDE"/>
          </w:tcPr>
          <w:p>
            <w:pPr>
              <w:spacing w:after="0"/>
              <w:rPr>
                <w:sz w:val="15"/>
                <w:szCs w:val="15"/>
                <w:color w:val="auto"/>
              </w:rPr>
            </w:pPr>
          </w:p>
        </w:tc>
        <w:tc>
          <w:tcPr>
            <w:tcW w:w="2800" w:type="dxa"/>
            <w:vAlign w:val="bottom"/>
            <w:tcBorders>
              <w:bottom w:val="single" w:sz="8" w:color="auto"/>
              <w:right w:val="single" w:sz="8" w:color="DCDDDE"/>
            </w:tcBorders>
            <w:shd w:val="clear" w:color="auto" w:fill="DCDDDE"/>
          </w:tcPr>
          <w:p>
            <w:pPr>
              <w:spacing w:after="0"/>
              <w:rPr>
                <w:sz w:val="15"/>
                <w:szCs w:val="15"/>
                <w:color w:val="auto"/>
              </w:rPr>
            </w:pPr>
          </w:p>
        </w:tc>
        <w:tc>
          <w:tcPr>
            <w:tcW w:w="2600" w:type="dxa"/>
            <w:vAlign w:val="bottom"/>
            <w:tcBorders>
              <w:bottom w:val="single" w:sz="8" w:color="auto"/>
              <w:right w:val="single" w:sz="8" w:color="DCDDDE"/>
            </w:tcBorders>
            <w:shd w:val="clear" w:color="auto" w:fill="DCDDDE"/>
          </w:tcPr>
          <w:p>
            <w:pPr>
              <w:spacing w:after="0"/>
              <w:rPr>
                <w:sz w:val="15"/>
                <w:szCs w:val="15"/>
                <w:color w:val="auto"/>
              </w:rPr>
            </w:pPr>
          </w:p>
        </w:tc>
        <w:tc>
          <w:tcPr>
            <w:tcW w:w="2420" w:type="dxa"/>
            <w:vAlign w:val="bottom"/>
            <w:tcBorders>
              <w:bottom w:val="single" w:sz="8" w:color="auto"/>
              <w:right w:val="single" w:sz="8" w:color="auto"/>
            </w:tcBorders>
            <w:shd w:val="clear" w:color="auto" w:fill="DCDDDE"/>
          </w:tcPr>
          <w:p>
            <w:pPr>
              <w:spacing w:after="0"/>
              <w:rPr>
                <w:sz w:val="15"/>
                <w:szCs w:val="15"/>
                <w:color w:val="auto"/>
              </w:rPr>
            </w:pPr>
          </w:p>
        </w:tc>
      </w:tr>
      <w:tr>
        <w:trPr>
          <w:trHeight w:val="193"/>
        </w:trPr>
        <w:tc>
          <w:tcPr>
            <w:tcW w:w="1340" w:type="dxa"/>
            <w:vAlign w:val="bottom"/>
            <w:tcBorders>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MIR</w:t>
            </w:r>
          </w:p>
        </w:tc>
        <w:tc>
          <w:tcPr>
            <w:tcW w:w="120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CIR</w:t>
            </w:r>
          </w:p>
        </w:tc>
        <w:tc>
          <w:tcPr>
            <w:tcW w:w="280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Total 1 Hour Intervals in the</w:t>
            </w:r>
          </w:p>
        </w:tc>
        <w:tc>
          <w:tcPr>
            <w:tcW w:w="260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Intervals necessary for OneWeb</w:t>
            </w:r>
          </w:p>
        </w:tc>
        <w:tc>
          <w:tcPr>
            <w:tcW w:w="242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Actual Intervals OneWeb</w:t>
            </w:r>
          </w:p>
        </w:tc>
      </w:tr>
      <w:tr>
        <w:trPr>
          <w:trHeight w:val="245"/>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shd w:val="clear" w:color="auto" w:fill="DCDDDE"/>
          </w:tcPr>
          <w:p>
            <w:pPr>
              <w:spacing w:after="0"/>
              <w:rPr>
                <w:sz w:val="21"/>
                <w:szCs w:val="21"/>
                <w:color w:val="auto"/>
              </w:rPr>
            </w:pPr>
          </w:p>
        </w:tc>
        <w:tc>
          <w:tcPr>
            <w:tcW w:w="2800" w:type="dxa"/>
            <w:vAlign w:val="bottom"/>
            <w:tcBorders>
              <w:bottom w:val="single" w:sz="8" w:color="auto"/>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Calendar Month Window</w:t>
            </w:r>
          </w:p>
        </w:tc>
        <w:tc>
          <w:tcPr>
            <w:tcW w:w="2600" w:type="dxa"/>
            <w:vAlign w:val="bottom"/>
            <w:tcBorders>
              <w:bottom w:val="single" w:sz="8" w:color="auto"/>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to achieve [***]Mbps</w:t>
            </w:r>
          </w:p>
        </w:tc>
        <w:tc>
          <w:tcPr>
            <w:tcW w:w="2420" w:type="dxa"/>
            <w:vAlign w:val="bottom"/>
            <w:tcBorders>
              <w:bottom w:val="single" w:sz="8" w:color="auto"/>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achieved [***]Mbps</w:t>
            </w:r>
          </w:p>
        </w:tc>
      </w:tr>
      <w:tr>
        <w:trPr>
          <w:trHeight w:val="193"/>
        </w:trPr>
        <w:tc>
          <w:tcPr>
            <w:tcW w:w="1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top w:val="single" w:sz="8" w:color="DCDDDE"/>
              <w:right w:val="single" w:sz="8" w:color="auto"/>
            </w:tcBorders>
            <w:shd w:val="clear" w:color="auto" w:fill="DCDDDE"/>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80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60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420" w:type="dxa"/>
            <w:vAlign w:val="bottom"/>
            <w:tcBorders>
              <w:top w:val="single" w:sz="8" w:color="auto"/>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r>
      <w:tr>
        <w:trPr>
          <w:trHeight w:val="120"/>
        </w:trPr>
        <w:tc>
          <w:tcPr>
            <w:tcW w:w="1340" w:type="dxa"/>
            <w:vAlign w:val="bottom"/>
            <w:tcBorders>
              <w:left w:val="single" w:sz="8" w:color="auto"/>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shd w:val="clear" w:color="auto" w:fill="DCDDDE"/>
          </w:tcPr>
          <w:p>
            <w:pPr>
              <w:spacing w:after="0"/>
              <w:rPr>
                <w:sz w:val="10"/>
                <w:szCs w:val="10"/>
                <w:color w:val="auto"/>
              </w:rPr>
            </w:pPr>
          </w:p>
        </w:tc>
        <w:tc>
          <w:tcPr>
            <w:tcW w:w="2800" w:type="dxa"/>
            <w:vAlign w:val="bottom"/>
            <w:tcBorders>
              <w:bottom w:val="single" w:sz="8" w:color="auto"/>
              <w:right w:val="single" w:sz="8" w:color="auto"/>
            </w:tcBorders>
            <w:shd w:val="clear" w:color="auto" w:fill="DCDDDE"/>
          </w:tcPr>
          <w:p>
            <w:pPr>
              <w:spacing w:after="0"/>
              <w:rPr>
                <w:sz w:val="10"/>
                <w:szCs w:val="10"/>
                <w:color w:val="auto"/>
              </w:rPr>
            </w:pPr>
          </w:p>
        </w:tc>
        <w:tc>
          <w:tcPr>
            <w:tcW w:w="2600" w:type="dxa"/>
            <w:vAlign w:val="bottom"/>
            <w:tcBorders>
              <w:bottom w:val="single" w:sz="8" w:color="auto"/>
              <w:right w:val="single" w:sz="8" w:color="auto"/>
            </w:tcBorders>
            <w:shd w:val="clear" w:color="auto" w:fill="DCDDDE"/>
          </w:tcPr>
          <w:p>
            <w:pPr>
              <w:spacing w:after="0"/>
              <w:rPr>
                <w:sz w:val="10"/>
                <w:szCs w:val="10"/>
                <w:color w:val="auto"/>
              </w:rPr>
            </w:pPr>
          </w:p>
        </w:tc>
        <w:tc>
          <w:tcPr>
            <w:tcW w:w="2420" w:type="dxa"/>
            <w:vAlign w:val="bottom"/>
            <w:tcBorders>
              <w:bottom w:val="single" w:sz="8" w:color="auto"/>
              <w:right w:val="single" w:sz="8" w:color="auto"/>
            </w:tcBorders>
            <w:shd w:val="clear" w:color="auto" w:fill="DCDDDE"/>
          </w:tcPr>
          <w:p>
            <w:pPr>
              <w:spacing w:after="0"/>
              <w:rPr>
                <w:sz w:val="10"/>
                <w:szCs w:val="10"/>
                <w:color w:val="auto"/>
              </w:rPr>
            </w:pPr>
          </w:p>
        </w:tc>
      </w:tr>
    </w:tbl>
    <w:p>
      <w:pPr>
        <w:spacing w:after="0" w:line="136" w:lineRule="exact"/>
        <w:rPr>
          <w:sz w:val="20"/>
          <w:szCs w:val="20"/>
          <w:color w:val="auto"/>
        </w:rPr>
      </w:pPr>
    </w:p>
    <w:p>
      <w:pPr>
        <w:ind w:left="680"/>
        <w:spacing w:after="0" w:line="268" w:lineRule="auto"/>
        <w:rPr>
          <w:sz w:val="20"/>
          <w:szCs w:val="20"/>
          <w:color w:val="auto"/>
        </w:rPr>
      </w:pPr>
      <w:r>
        <w:rPr>
          <w:rFonts w:ascii="Times New Roman" w:cs="Times New Roman" w:eastAsia="Times New Roman" w:hAnsi="Times New Roman"/>
          <w:sz w:val="20"/>
          <w:szCs w:val="20"/>
          <w:color w:val="auto"/>
        </w:rPr>
        <w:t>In the above chart, OneWeb failed to meet the Service SLA in [***]% (i.e., ([***]% rounded down) of the total intervals. As such, and in this example, the Service SLA Credits = Site Connectivity MRC * [***]%.</w:t>
      </w:r>
    </w:p>
    <w:p>
      <w:pPr>
        <w:spacing w:after="0" w:line="107" w:lineRule="exact"/>
        <w:rPr>
          <w:sz w:val="20"/>
          <w:szCs w:val="20"/>
          <w:color w:val="auto"/>
        </w:rPr>
      </w:pPr>
    </w:p>
    <w:p>
      <w:pPr>
        <w:jc w:val="both"/>
        <w:ind w:left="1420" w:hanging="743"/>
        <w:spacing w:after="0" w:line="249" w:lineRule="auto"/>
        <w:tabs>
          <w:tab w:leader="none" w:pos="1420" w:val="left"/>
        </w:tabs>
        <w:numPr>
          <w:ilvl w:val="0"/>
          <w:numId w:val="9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Business Access Example</w:t>
      </w:r>
      <w:r>
        <w:rPr>
          <w:rFonts w:ascii="Times New Roman" w:cs="Times New Roman" w:eastAsia="Times New Roman" w:hAnsi="Times New Roman"/>
          <w:sz w:val="20"/>
          <w:szCs w:val="20"/>
          <w:color w:val="auto"/>
        </w:rPr>
        <w:t>: The following shows an example at a Specific Site of a Site Connectivity Access Type of Business Access (which as previously discussed allows for BE and EF traffic priority as well) with an MIR of [***]Mbps, a CIR for BE traffic of [***]Mbps and a CIR for EF traffic of [***]Mbps that does not meet the required Service SLA and requires a Service SLA Credit:</w:t>
      </w:r>
    </w:p>
    <w:p>
      <w:pPr>
        <w:spacing w:after="0" w:line="127" w:lineRule="exact"/>
        <w:rPr>
          <w:sz w:val="20"/>
          <w:szCs w:val="20"/>
          <w:color w:val="auto"/>
        </w:rPr>
      </w:pPr>
    </w:p>
    <w:tbl>
      <w:tblPr>
        <w:tblLayout w:type="fixed"/>
        <w:tblInd w:w="690" w:type="dxa"/>
        <w:tblCellMar>
          <w:top w:w="0" w:type="dxa"/>
          <w:left w:w="0" w:type="dxa"/>
          <w:bottom w:w="0" w:type="dxa"/>
          <w:right w:w="0" w:type="dxa"/>
        </w:tblCellMar>
      </w:tblPr>
      <w:tr>
        <w:trPr>
          <w:trHeight w:val="226"/>
        </w:trPr>
        <w:tc>
          <w:tcPr>
            <w:tcW w:w="1220" w:type="dxa"/>
            <w:vAlign w:val="bottom"/>
            <w:tcBorders>
              <w:right w:val="single" w:sz="8" w:color="auto"/>
            </w:tcBorders>
          </w:tcPr>
          <w:p>
            <w:pPr>
              <w:spacing w:after="0"/>
              <w:rPr>
                <w:sz w:val="19"/>
                <w:szCs w:val="19"/>
                <w:color w:val="auto"/>
              </w:rPr>
            </w:pPr>
          </w:p>
        </w:tc>
        <w:tc>
          <w:tcPr>
            <w:tcW w:w="1200" w:type="dxa"/>
            <w:vAlign w:val="bottom"/>
            <w:tcBorders>
              <w:top w:val="single" w:sz="8" w:color="auto"/>
              <w:right w:val="single" w:sz="8" w:color="DCDDDE"/>
            </w:tcBorders>
            <w:shd w:val="clear" w:color="auto" w:fill="DCDDDE"/>
          </w:tcPr>
          <w:p>
            <w:pPr>
              <w:spacing w:after="0"/>
              <w:rPr>
                <w:sz w:val="19"/>
                <w:szCs w:val="19"/>
                <w:color w:val="auto"/>
              </w:rPr>
            </w:pPr>
          </w:p>
        </w:tc>
        <w:tc>
          <w:tcPr>
            <w:tcW w:w="2860" w:type="dxa"/>
            <w:vAlign w:val="bottom"/>
            <w:tcBorders>
              <w:top w:val="single" w:sz="8" w:color="auto"/>
              <w:right w:val="single" w:sz="8" w:color="DCDDDE"/>
            </w:tcBorders>
            <w:shd w:val="clear" w:color="auto" w:fill="DCDDDE"/>
          </w:tcPr>
          <w:p>
            <w:pPr>
              <w:spacing w:after="0"/>
              <w:rPr>
                <w:sz w:val="19"/>
                <w:szCs w:val="19"/>
                <w:color w:val="auto"/>
              </w:rPr>
            </w:pPr>
          </w:p>
        </w:tc>
        <w:tc>
          <w:tcPr>
            <w:tcW w:w="2660" w:type="dxa"/>
            <w:vAlign w:val="bottom"/>
            <w:tcBorders>
              <w:top w:val="single" w:sz="8" w:color="auto"/>
              <w:right w:val="single" w:sz="8" w:color="DCDDDE"/>
            </w:tcBorders>
            <w:shd w:val="clear" w:color="auto" w:fill="DCDDDE"/>
          </w:tcPr>
          <w:p>
            <w:pPr>
              <w:ind w:left="380"/>
              <w:spacing w:after="0"/>
              <w:rPr>
                <w:sz w:val="20"/>
                <w:szCs w:val="20"/>
                <w:color w:val="auto"/>
              </w:rPr>
            </w:pPr>
            <w:r>
              <w:rPr>
                <w:rFonts w:ascii="Times New Roman" w:cs="Times New Roman" w:eastAsia="Times New Roman" w:hAnsi="Times New Roman"/>
                <w:sz w:val="16"/>
                <w:szCs w:val="16"/>
                <w:b w:val="1"/>
                <w:bCs w:val="1"/>
                <w:color w:val="auto"/>
              </w:rPr>
              <w:t>BE</w:t>
            </w:r>
          </w:p>
        </w:tc>
        <w:tc>
          <w:tcPr>
            <w:tcW w:w="2420" w:type="dxa"/>
            <w:vAlign w:val="bottom"/>
            <w:tcBorders>
              <w:top w:val="single" w:sz="8" w:color="auto"/>
              <w:right w:val="single" w:sz="8" w:color="auto"/>
            </w:tcBorders>
            <w:shd w:val="clear" w:color="auto" w:fill="DCDDDE"/>
          </w:tcPr>
          <w:p>
            <w:pPr>
              <w:spacing w:after="0"/>
              <w:rPr>
                <w:sz w:val="19"/>
                <w:szCs w:val="19"/>
                <w:color w:val="auto"/>
              </w:rPr>
            </w:pPr>
          </w:p>
        </w:tc>
      </w:tr>
      <w:tr>
        <w:trPr>
          <w:trHeight w:val="179"/>
        </w:trPr>
        <w:tc>
          <w:tcPr>
            <w:tcW w:w="12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DCDDDE"/>
            </w:tcBorders>
            <w:shd w:val="clear" w:color="auto" w:fill="DCDDDE"/>
          </w:tcPr>
          <w:p>
            <w:pPr>
              <w:spacing w:after="0"/>
              <w:rPr>
                <w:sz w:val="15"/>
                <w:szCs w:val="15"/>
                <w:color w:val="auto"/>
              </w:rPr>
            </w:pPr>
          </w:p>
        </w:tc>
        <w:tc>
          <w:tcPr>
            <w:tcW w:w="2860" w:type="dxa"/>
            <w:vAlign w:val="bottom"/>
            <w:tcBorders>
              <w:bottom w:val="single" w:sz="8" w:color="auto"/>
              <w:right w:val="single" w:sz="8" w:color="DCDDDE"/>
            </w:tcBorders>
            <w:shd w:val="clear" w:color="auto" w:fill="DCDDDE"/>
          </w:tcPr>
          <w:p>
            <w:pPr>
              <w:spacing w:after="0"/>
              <w:rPr>
                <w:sz w:val="15"/>
                <w:szCs w:val="15"/>
                <w:color w:val="auto"/>
              </w:rPr>
            </w:pPr>
          </w:p>
        </w:tc>
        <w:tc>
          <w:tcPr>
            <w:tcW w:w="2660" w:type="dxa"/>
            <w:vAlign w:val="bottom"/>
            <w:tcBorders>
              <w:bottom w:val="single" w:sz="8" w:color="auto"/>
              <w:right w:val="single" w:sz="8" w:color="DCDDDE"/>
            </w:tcBorders>
            <w:shd w:val="clear" w:color="auto" w:fill="DCDDDE"/>
          </w:tcPr>
          <w:p>
            <w:pPr>
              <w:spacing w:after="0"/>
              <w:rPr>
                <w:sz w:val="15"/>
                <w:szCs w:val="15"/>
                <w:color w:val="auto"/>
              </w:rPr>
            </w:pPr>
          </w:p>
        </w:tc>
        <w:tc>
          <w:tcPr>
            <w:tcW w:w="2420" w:type="dxa"/>
            <w:vAlign w:val="bottom"/>
            <w:tcBorders>
              <w:bottom w:val="single" w:sz="8" w:color="auto"/>
              <w:right w:val="single" w:sz="8" w:color="auto"/>
            </w:tcBorders>
            <w:shd w:val="clear" w:color="auto" w:fill="DCDDDE"/>
          </w:tcPr>
          <w:p>
            <w:pPr>
              <w:spacing w:after="0"/>
              <w:rPr>
                <w:sz w:val="15"/>
                <w:szCs w:val="15"/>
                <w:color w:val="auto"/>
              </w:rPr>
            </w:pPr>
          </w:p>
        </w:tc>
      </w:tr>
      <w:tr>
        <w:trPr>
          <w:trHeight w:val="193"/>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MIR</w:t>
            </w:r>
          </w:p>
        </w:tc>
        <w:tc>
          <w:tcPr>
            <w:tcW w:w="120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CIR</w:t>
            </w:r>
          </w:p>
        </w:tc>
        <w:tc>
          <w:tcPr>
            <w:tcW w:w="286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Total 1 Hour Intervals in the</w:t>
            </w:r>
          </w:p>
        </w:tc>
        <w:tc>
          <w:tcPr>
            <w:tcW w:w="266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Intervals necessary for OneWeb to</w:t>
            </w:r>
          </w:p>
        </w:tc>
        <w:tc>
          <w:tcPr>
            <w:tcW w:w="2420" w:type="dxa"/>
            <w:vAlign w:val="bottom"/>
            <w:tcBorders>
              <w:right w:val="single" w:sz="8" w:color="auto"/>
            </w:tcBorders>
            <w:shd w:val="clear" w:color="auto" w:fill="DCDDDE"/>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Actual Intervals OneWeb</w:t>
            </w:r>
          </w:p>
        </w:tc>
      </w:tr>
      <w:tr>
        <w:trPr>
          <w:trHeight w:val="212"/>
        </w:trPr>
        <w:tc>
          <w:tcPr>
            <w:tcW w:w="12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shd w:val="clear" w:color="auto" w:fill="DCDDDE"/>
          </w:tcPr>
          <w:p>
            <w:pPr>
              <w:spacing w:after="0"/>
              <w:rPr>
                <w:sz w:val="18"/>
                <w:szCs w:val="18"/>
                <w:color w:val="auto"/>
              </w:rPr>
            </w:pPr>
          </w:p>
        </w:tc>
        <w:tc>
          <w:tcPr>
            <w:tcW w:w="286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Calendar Month Window</w:t>
            </w:r>
          </w:p>
        </w:tc>
        <w:tc>
          <w:tcPr>
            <w:tcW w:w="266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 [***]Mbps</w:t>
            </w:r>
          </w:p>
        </w:tc>
        <w:tc>
          <w:tcPr>
            <w:tcW w:w="242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achieved [***]Mbps</w:t>
            </w:r>
          </w:p>
        </w:tc>
      </w:tr>
      <w:tr>
        <w:trPr>
          <w:trHeight w:val="198"/>
        </w:trPr>
        <w:tc>
          <w:tcPr>
            <w:tcW w:w="122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shd w:val="clear" w:color="auto" w:fill="DCDDDE"/>
          </w:tcPr>
          <w:p>
            <w:pPr>
              <w:spacing w:after="0"/>
              <w:rPr>
                <w:sz w:val="17"/>
                <w:szCs w:val="17"/>
                <w:color w:val="auto"/>
              </w:rPr>
            </w:pPr>
          </w:p>
        </w:tc>
        <w:tc>
          <w:tcPr>
            <w:tcW w:w="2860" w:type="dxa"/>
            <w:vAlign w:val="bottom"/>
            <w:tcBorders>
              <w:bottom w:val="single" w:sz="8" w:color="auto"/>
              <w:right w:val="single" w:sz="8" w:color="auto"/>
            </w:tcBorders>
            <w:shd w:val="clear" w:color="auto" w:fill="DCDDDE"/>
          </w:tcPr>
          <w:p>
            <w:pPr>
              <w:spacing w:after="0"/>
              <w:rPr>
                <w:sz w:val="17"/>
                <w:szCs w:val="17"/>
                <w:color w:val="auto"/>
              </w:rPr>
            </w:pPr>
          </w:p>
        </w:tc>
        <w:tc>
          <w:tcPr>
            <w:tcW w:w="2660" w:type="dxa"/>
            <w:vAlign w:val="bottom"/>
            <w:tcBorders>
              <w:bottom w:val="single" w:sz="8" w:color="auto"/>
              <w:right w:val="single" w:sz="8" w:color="auto"/>
            </w:tcBorders>
            <w:shd w:val="clear" w:color="auto" w:fill="DCDDDE"/>
          </w:tcPr>
          <w:p>
            <w:pPr>
              <w:spacing w:after="0"/>
              <w:rPr>
                <w:sz w:val="17"/>
                <w:szCs w:val="17"/>
                <w:color w:val="auto"/>
              </w:rPr>
            </w:pPr>
          </w:p>
        </w:tc>
        <w:tc>
          <w:tcPr>
            <w:tcW w:w="2420" w:type="dxa"/>
            <w:vAlign w:val="bottom"/>
            <w:tcBorders>
              <w:bottom w:val="single" w:sz="8" w:color="auto"/>
              <w:right w:val="single" w:sz="8" w:color="auto"/>
            </w:tcBorders>
            <w:shd w:val="clear" w:color="auto" w:fill="DCDDDE"/>
          </w:tcPr>
          <w:p>
            <w:pPr>
              <w:spacing w:after="0"/>
              <w:rPr>
                <w:sz w:val="17"/>
                <w:szCs w:val="17"/>
                <w:color w:val="auto"/>
              </w:rPr>
            </w:pPr>
          </w:p>
        </w:tc>
      </w:tr>
      <w:tr>
        <w:trPr>
          <w:trHeight w:val="190"/>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6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66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420" w:type="dxa"/>
            <w:vAlign w:val="bottom"/>
            <w:tcBorders>
              <w:top w:val="single" w:sz="8" w:color="auto"/>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20"/>
        </w:trPr>
        <w:tc>
          <w:tcPr>
            <w:tcW w:w="1220" w:type="dxa"/>
            <w:vAlign w:val="bottom"/>
            <w:tcBorders>
              <w:left w:val="single" w:sz="8" w:color="auto"/>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shd w:val="clear" w:color="auto" w:fill="DCDDDE"/>
          </w:tcPr>
          <w:p>
            <w:pPr>
              <w:spacing w:after="0"/>
              <w:rPr>
                <w:sz w:val="10"/>
                <w:szCs w:val="10"/>
                <w:color w:val="auto"/>
              </w:rPr>
            </w:pPr>
          </w:p>
        </w:tc>
        <w:tc>
          <w:tcPr>
            <w:tcW w:w="2860" w:type="dxa"/>
            <w:vAlign w:val="bottom"/>
            <w:tcBorders>
              <w:bottom w:val="single" w:sz="8" w:color="auto"/>
              <w:right w:val="single" w:sz="8" w:color="auto"/>
            </w:tcBorders>
            <w:shd w:val="clear" w:color="auto" w:fill="DCDDDE"/>
          </w:tcPr>
          <w:p>
            <w:pPr>
              <w:spacing w:after="0"/>
              <w:rPr>
                <w:sz w:val="10"/>
                <w:szCs w:val="10"/>
                <w:color w:val="auto"/>
              </w:rPr>
            </w:pPr>
          </w:p>
        </w:tc>
        <w:tc>
          <w:tcPr>
            <w:tcW w:w="2660" w:type="dxa"/>
            <w:vAlign w:val="bottom"/>
            <w:tcBorders>
              <w:bottom w:val="single" w:sz="8" w:color="auto"/>
              <w:right w:val="single" w:sz="8" w:color="auto"/>
            </w:tcBorders>
            <w:shd w:val="clear" w:color="auto" w:fill="DCDDDE"/>
          </w:tcPr>
          <w:p>
            <w:pPr>
              <w:spacing w:after="0"/>
              <w:rPr>
                <w:sz w:val="10"/>
                <w:szCs w:val="10"/>
                <w:color w:val="auto"/>
              </w:rPr>
            </w:pPr>
          </w:p>
        </w:tc>
        <w:tc>
          <w:tcPr>
            <w:tcW w:w="2420" w:type="dxa"/>
            <w:vAlign w:val="bottom"/>
            <w:tcBorders>
              <w:bottom w:val="single" w:sz="8" w:color="auto"/>
              <w:right w:val="single" w:sz="8" w:color="auto"/>
            </w:tcBorders>
            <w:shd w:val="clear" w:color="auto" w:fill="DCDDDE"/>
          </w:tcPr>
          <w:p>
            <w:pPr>
              <w:spacing w:after="0"/>
              <w:rPr>
                <w:sz w:val="10"/>
                <w:szCs w:val="10"/>
                <w:color w:val="auto"/>
              </w:rPr>
            </w:pPr>
          </w:p>
        </w:tc>
      </w:tr>
      <w:tr>
        <w:trPr>
          <w:trHeight w:val="388"/>
        </w:trPr>
        <w:tc>
          <w:tcPr>
            <w:tcW w:w="1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206"/>
        </w:trPr>
        <w:tc>
          <w:tcPr>
            <w:tcW w:w="1220" w:type="dxa"/>
            <w:vAlign w:val="bottom"/>
            <w:tcBorders>
              <w:right w:val="single" w:sz="8" w:color="auto"/>
            </w:tcBorders>
          </w:tcPr>
          <w:p>
            <w:pPr>
              <w:spacing w:after="0"/>
              <w:rPr>
                <w:sz w:val="17"/>
                <w:szCs w:val="17"/>
                <w:color w:val="auto"/>
              </w:rPr>
            </w:pPr>
          </w:p>
        </w:tc>
        <w:tc>
          <w:tcPr>
            <w:tcW w:w="1200" w:type="dxa"/>
            <w:vAlign w:val="bottom"/>
            <w:tcBorders>
              <w:right w:val="single" w:sz="8" w:color="DCDDDE"/>
            </w:tcBorders>
            <w:shd w:val="clear" w:color="auto" w:fill="DCDDDE"/>
          </w:tcPr>
          <w:p>
            <w:pPr>
              <w:spacing w:after="0"/>
              <w:rPr>
                <w:sz w:val="17"/>
                <w:szCs w:val="17"/>
                <w:color w:val="auto"/>
              </w:rPr>
            </w:pPr>
          </w:p>
        </w:tc>
        <w:tc>
          <w:tcPr>
            <w:tcW w:w="2860" w:type="dxa"/>
            <w:vAlign w:val="bottom"/>
            <w:tcBorders>
              <w:right w:val="single" w:sz="8" w:color="DCDDDE"/>
            </w:tcBorders>
            <w:shd w:val="clear" w:color="auto" w:fill="DCDDDE"/>
          </w:tcPr>
          <w:p>
            <w:pPr>
              <w:spacing w:after="0"/>
              <w:rPr>
                <w:sz w:val="17"/>
                <w:szCs w:val="17"/>
                <w:color w:val="auto"/>
              </w:rPr>
            </w:pPr>
          </w:p>
        </w:tc>
        <w:tc>
          <w:tcPr>
            <w:tcW w:w="2660" w:type="dxa"/>
            <w:vAlign w:val="bottom"/>
            <w:tcBorders>
              <w:right w:val="single" w:sz="8" w:color="DCDDDE"/>
            </w:tcBorders>
            <w:shd w:val="clear" w:color="auto" w:fill="DCDDDE"/>
          </w:tcPr>
          <w:p>
            <w:pPr>
              <w:ind w:left="380"/>
              <w:spacing w:after="0"/>
              <w:rPr>
                <w:sz w:val="20"/>
                <w:szCs w:val="20"/>
                <w:color w:val="auto"/>
              </w:rPr>
            </w:pPr>
            <w:r>
              <w:rPr>
                <w:rFonts w:ascii="Times New Roman" w:cs="Times New Roman" w:eastAsia="Times New Roman" w:hAnsi="Times New Roman"/>
                <w:sz w:val="16"/>
                <w:szCs w:val="16"/>
                <w:b w:val="1"/>
                <w:bCs w:val="1"/>
                <w:color w:val="auto"/>
              </w:rPr>
              <w:t>EF</w:t>
            </w:r>
          </w:p>
        </w:tc>
        <w:tc>
          <w:tcPr>
            <w:tcW w:w="2420" w:type="dxa"/>
            <w:vAlign w:val="bottom"/>
            <w:tcBorders>
              <w:right w:val="single" w:sz="8" w:color="auto"/>
            </w:tcBorders>
            <w:shd w:val="clear" w:color="auto" w:fill="DCDDDE"/>
          </w:tcPr>
          <w:p>
            <w:pPr>
              <w:spacing w:after="0"/>
              <w:rPr>
                <w:sz w:val="17"/>
                <w:szCs w:val="17"/>
                <w:color w:val="auto"/>
              </w:rPr>
            </w:pPr>
          </w:p>
        </w:tc>
      </w:tr>
      <w:tr>
        <w:trPr>
          <w:trHeight w:val="179"/>
        </w:trPr>
        <w:tc>
          <w:tcPr>
            <w:tcW w:w="12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DCDDDE"/>
            </w:tcBorders>
            <w:shd w:val="clear" w:color="auto" w:fill="DCDDDE"/>
          </w:tcPr>
          <w:p>
            <w:pPr>
              <w:spacing w:after="0"/>
              <w:rPr>
                <w:sz w:val="15"/>
                <w:szCs w:val="15"/>
                <w:color w:val="auto"/>
              </w:rPr>
            </w:pPr>
          </w:p>
        </w:tc>
        <w:tc>
          <w:tcPr>
            <w:tcW w:w="2860" w:type="dxa"/>
            <w:vAlign w:val="bottom"/>
            <w:tcBorders>
              <w:bottom w:val="single" w:sz="8" w:color="auto"/>
              <w:right w:val="single" w:sz="8" w:color="DCDDDE"/>
            </w:tcBorders>
            <w:shd w:val="clear" w:color="auto" w:fill="DCDDDE"/>
          </w:tcPr>
          <w:p>
            <w:pPr>
              <w:spacing w:after="0"/>
              <w:rPr>
                <w:sz w:val="15"/>
                <w:szCs w:val="15"/>
                <w:color w:val="auto"/>
              </w:rPr>
            </w:pPr>
          </w:p>
        </w:tc>
        <w:tc>
          <w:tcPr>
            <w:tcW w:w="2660" w:type="dxa"/>
            <w:vAlign w:val="bottom"/>
            <w:tcBorders>
              <w:bottom w:val="single" w:sz="8" w:color="auto"/>
              <w:right w:val="single" w:sz="8" w:color="DCDDDE"/>
            </w:tcBorders>
            <w:shd w:val="clear" w:color="auto" w:fill="DCDDDE"/>
          </w:tcPr>
          <w:p>
            <w:pPr>
              <w:spacing w:after="0"/>
              <w:rPr>
                <w:sz w:val="15"/>
                <w:szCs w:val="15"/>
                <w:color w:val="auto"/>
              </w:rPr>
            </w:pPr>
          </w:p>
        </w:tc>
        <w:tc>
          <w:tcPr>
            <w:tcW w:w="2420" w:type="dxa"/>
            <w:vAlign w:val="bottom"/>
            <w:tcBorders>
              <w:bottom w:val="single" w:sz="8" w:color="auto"/>
              <w:right w:val="single" w:sz="8" w:color="auto"/>
            </w:tcBorders>
            <w:shd w:val="clear" w:color="auto" w:fill="DCDDDE"/>
          </w:tcPr>
          <w:p>
            <w:pPr>
              <w:spacing w:after="0"/>
              <w:rPr>
                <w:sz w:val="15"/>
                <w:szCs w:val="15"/>
                <w:color w:val="auto"/>
              </w:rPr>
            </w:pPr>
          </w:p>
        </w:tc>
      </w:tr>
      <w:tr>
        <w:trPr>
          <w:trHeight w:val="193"/>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MIR</w:t>
            </w:r>
          </w:p>
        </w:tc>
        <w:tc>
          <w:tcPr>
            <w:tcW w:w="120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CIR</w:t>
            </w:r>
          </w:p>
        </w:tc>
        <w:tc>
          <w:tcPr>
            <w:tcW w:w="286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5 Minute Intervals in the</w:t>
            </w:r>
          </w:p>
        </w:tc>
        <w:tc>
          <w:tcPr>
            <w:tcW w:w="266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Intervals necessary for OneWeb to</w:t>
            </w:r>
          </w:p>
        </w:tc>
        <w:tc>
          <w:tcPr>
            <w:tcW w:w="2420" w:type="dxa"/>
            <w:vAlign w:val="bottom"/>
            <w:tcBorders>
              <w:right w:val="single" w:sz="8" w:color="auto"/>
            </w:tcBorders>
            <w:shd w:val="clear" w:color="auto" w:fill="DCDDDE"/>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Actual Intervals OneWeb</w:t>
            </w:r>
          </w:p>
        </w:tc>
      </w:tr>
      <w:tr>
        <w:trPr>
          <w:trHeight w:val="212"/>
        </w:trPr>
        <w:tc>
          <w:tcPr>
            <w:tcW w:w="12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shd w:val="clear" w:color="auto" w:fill="DCDDDE"/>
          </w:tcPr>
          <w:p>
            <w:pPr>
              <w:spacing w:after="0"/>
              <w:rPr>
                <w:sz w:val="18"/>
                <w:szCs w:val="18"/>
                <w:color w:val="auto"/>
              </w:rPr>
            </w:pPr>
          </w:p>
        </w:tc>
        <w:tc>
          <w:tcPr>
            <w:tcW w:w="286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Calendar Month Window</w:t>
            </w:r>
          </w:p>
        </w:tc>
        <w:tc>
          <w:tcPr>
            <w:tcW w:w="266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 [***]Mbps</w:t>
            </w:r>
          </w:p>
        </w:tc>
        <w:tc>
          <w:tcPr>
            <w:tcW w:w="242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achieved [***]Mbps</w:t>
            </w:r>
          </w:p>
        </w:tc>
      </w:tr>
      <w:tr>
        <w:trPr>
          <w:trHeight w:val="198"/>
        </w:trPr>
        <w:tc>
          <w:tcPr>
            <w:tcW w:w="122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shd w:val="clear" w:color="auto" w:fill="DCDDDE"/>
          </w:tcPr>
          <w:p>
            <w:pPr>
              <w:spacing w:after="0"/>
              <w:rPr>
                <w:sz w:val="17"/>
                <w:szCs w:val="17"/>
                <w:color w:val="auto"/>
              </w:rPr>
            </w:pPr>
          </w:p>
        </w:tc>
        <w:tc>
          <w:tcPr>
            <w:tcW w:w="2860" w:type="dxa"/>
            <w:vAlign w:val="bottom"/>
            <w:tcBorders>
              <w:bottom w:val="single" w:sz="8" w:color="auto"/>
              <w:right w:val="single" w:sz="8" w:color="auto"/>
            </w:tcBorders>
            <w:shd w:val="clear" w:color="auto" w:fill="DCDDDE"/>
          </w:tcPr>
          <w:p>
            <w:pPr>
              <w:spacing w:after="0"/>
              <w:rPr>
                <w:sz w:val="17"/>
                <w:szCs w:val="17"/>
                <w:color w:val="auto"/>
              </w:rPr>
            </w:pPr>
          </w:p>
        </w:tc>
        <w:tc>
          <w:tcPr>
            <w:tcW w:w="2660" w:type="dxa"/>
            <w:vAlign w:val="bottom"/>
            <w:tcBorders>
              <w:bottom w:val="single" w:sz="8" w:color="auto"/>
              <w:right w:val="single" w:sz="8" w:color="auto"/>
            </w:tcBorders>
            <w:shd w:val="clear" w:color="auto" w:fill="DCDDDE"/>
          </w:tcPr>
          <w:p>
            <w:pPr>
              <w:spacing w:after="0"/>
              <w:rPr>
                <w:sz w:val="17"/>
                <w:szCs w:val="17"/>
                <w:color w:val="auto"/>
              </w:rPr>
            </w:pPr>
          </w:p>
        </w:tc>
        <w:tc>
          <w:tcPr>
            <w:tcW w:w="2420" w:type="dxa"/>
            <w:vAlign w:val="bottom"/>
            <w:tcBorders>
              <w:bottom w:val="single" w:sz="8" w:color="auto"/>
              <w:right w:val="single" w:sz="8" w:color="auto"/>
            </w:tcBorders>
            <w:shd w:val="clear" w:color="auto" w:fill="DCDDDE"/>
          </w:tcPr>
          <w:p>
            <w:pPr>
              <w:spacing w:after="0"/>
              <w:rPr>
                <w:sz w:val="17"/>
                <w:szCs w:val="17"/>
                <w:color w:val="auto"/>
              </w:rPr>
            </w:pPr>
          </w:p>
        </w:tc>
      </w:tr>
      <w:tr>
        <w:trPr>
          <w:trHeight w:val="190"/>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6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66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420" w:type="dxa"/>
            <w:vAlign w:val="bottom"/>
            <w:tcBorders>
              <w:top w:val="single" w:sz="8" w:color="auto"/>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40"/>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shd w:val="clear" w:color="auto" w:fill="DCDDDE"/>
          </w:tcPr>
          <w:p>
            <w:pPr>
              <w:spacing w:after="0"/>
              <w:rPr>
                <w:sz w:val="12"/>
                <w:szCs w:val="12"/>
                <w:color w:val="auto"/>
              </w:rPr>
            </w:pPr>
          </w:p>
        </w:tc>
        <w:tc>
          <w:tcPr>
            <w:tcW w:w="2860" w:type="dxa"/>
            <w:vAlign w:val="bottom"/>
            <w:tcBorders>
              <w:bottom w:val="single" w:sz="8" w:color="auto"/>
              <w:right w:val="single" w:sz="8" w:color="auto"/>
            </w:tcBorders>
            <w:shd w:val="clear" w:color="auto" w:fill="DCDDDE"/>
          </w:tcPr>
          <w:p>
            <w:pPr>
              <w:spacing w:after="0"/>
              <w:rPr>
                <w:sz w:val="12"/>
                <w:szCs w:val="12"/>
                <w:color w:val="auto"/>
              </w:rPr>
            </w:pPr>
          </w:p>
        </w:tc>
        <w:tc>
          <w:tcPr>
            <w:tcW w:w="2660" w:type="dxa"/>
            <w:vAlign w:val="bottom"/>
            <w:tcBorders>
              <w:bottom w:val="single" w:sz="8" w:color="auto"/>
              <w:right w:val="single" w:sz="8" w:color="auto"/>
            </w:tcBorders>
            <w:shd w:val="clear" w:color="auto" w:fill="DCDDDE"/>
          </w:tcPr>
          <w:p>
            <w:pPr>
              <w:spacing w:after="0"/>
              <w:rPr>
                <w:sz w:val="12"/>
                <w:szCs w:val="12"/>
                <w:color w:val="auto"/>
              </w:rPr>
            </w:pPr>
          </w:p>
        </w:tc>
        <w:tc>
          <w:tcPr>
            <w:tcW w:w="2420" w:type="dxa"/>
            <w:vAlign w:val="bottom"/>
            <w:tcBorders>
              <w:bottom w:val="single" w:sz="8" w:color="auto"/>
              <w:right w:val="single" w:sz="8" w:color="auto"/>
            </w:tcBorders>
            <w:shd w:val="clear" w:color="auto" w:fill="DCDDDE"/>
          </w:tcPr>
          <w:p>
            <w:pPr>
              <w:spacing w:after="0"/>
              <w:rPr>
                <w:sz w:val="12"/>
                <w:szCs w:val="12"/>
                <w:color w:val="auto"/>
              </w:rPr>
            </w:pPr>
          </w:p>
        </w:tc>
      </w:tr>
      <w:tr>
        <w:trPr>
          <w:trHeight w:val="235"/>
        </w:trPr>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Total Intervals:</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w:t>
            </w:r>
          </w:p>
        </w:tc>
        <w:tc>
          <w:tcPr>
            <w:tcW w:w="28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110"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20"/>
          <w:szCs w:val="20"/>
          <w:color w:val="auto"/>
        </w:rPr>
        <w:t>In the above charts, OneWeb failed to meet the Service SLA in [***]% (i.e., ([***]% rounded down) of the total interval measurements across all applicable CoS intervals. As such, and in this example, the Service SLA Credits = Site Connectivity MRC * [***]%.</w:t>
      </w:r>
    </w:p>
    <w:p>
      <w:pPr>
        <w:spacing w:after="0" w:line="122" w:lineRule="exact"/>
        <w:rPr>
          <w:sz w:val="20"/>
          <w:szCs w:val="20"/>
          <w:color w:val="auto"/>
        </w:rPr>
      </w:pPr>
    </w:p>
    <w:p>
      <w:pPr>
        <w:jc w:val="both"/>
        <w:ind w:left="1420" w:hanging="743"/>
        <w:spacing w:after="0" w:line="249" w:lineRule="auto"/>
        <w:tabs>
          <w:tab w:leader="none" w:pos="14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IPVPN </w:t>
      </w:r>
      <w:r>
        <w:rPr>
          <w:rFonts w:ascii="Times New Roman" w:cs="Times New Roman" w:eastAsia="Times New Roman" w:hAnsi="Times New Roman"/>
          <w:sz w:val="20"/>
          <w:szCs w:val="20"/>
          <w:u w:val="single" w:color="auto"/>
          <w:color w:val="auto"/>
        </w:rPr>
        <w:t>Example</w:t>
      </w:r>
      <w:r>
        <w:rPr>
          <w:rFonts w:ascii="Times New Roman" w:cs="Times New Roman" w:eastAsia="Times New Roman" w:hAnsi="Times New Roman"/>
          <w:sz w:val="20"/>
          <w:szCs w:val="20"/>
          <w:color w:val="auto"/>
        </w:rPr>
        <w:t xml:space="preserve">: The following shows an example at a Specific Site of a Site </w:t>
      </w:r>
      <w:r>
        <w:rPr>
          <w:rFonts w:ascii="Times New Roman" w:cs="Times New Roman" w:eastAsia="Times New Roman" w:hAnsi="Times New Roman"/>
          <w:sz w:val="16"/>
          <w:szCs w:val="16"/>
          <w:color w:val="auto"/>
        </w:rPr>
        <w:t>Connectivity</w:t>
      </w:r>
      <w:r>
        <w:rPr>
          <w:rFonts w:ascii="Times New Roman" w:cs="Times New Roman" w:eastAsia="Times New Roman" w:hAnsi="Times New Roman"/>
          <w:sz w:val="20"/>
          <w:szCs w:val="20"/>
          <w:color w:val="auto"/>
        </w:rPr>
        <w:t xml:space="preserve"> Access Type of IPVPN (which as previously discussed allows for BE, AF and EF traffic priority as well) with an MIR of [***]Mbps, a CIR for BE traffic of [***]Mbps, a CIR for AF traffic of [***]Mbps, and a CIR for EF traffic of [***]Mbps that does not meet the required Service SLA and requires a Service SLA Credit:</w:t>
      </w:r>
    </w:p>
    <w:p>
      <w:pPr>
        <w:spacing w:after="0" w:line="127" w:lineRule="exact"/>
        <w:rPr>
          <w:sz w:val="20"/>
          <w:szCs w:val="20"/>
          <w:color w:val="auto"/>
        </w:rPr>
      </w:pPr>
    </w:p>
    <w:tbl>
      <w:tblPr>
        <w:tblLayout w:type="fixed"/>
        <w:tblInd w:w="690" w:type="dxa"/>
        <w:tblCellMar>
          <w:top w:w="0" w:type="dxa"/>
          <w:left w:w="0" w:type="dxa"/>
          <w:bottom w:w="0" w:type="dxa"/>
          <w:right w:w="0" w:type="dxa"/>
        </w:tblCellMar>
      </w:tblPr>
      <w:tr>
        <w:trPr>
          <w:trHeight w:val="226"/>
        </w:trPr>
        <w:tc>
          <w:tcPr>
            <w:tcW w:w="1460" w:type="dxa"/>
            <w:vAlign w:val="bottom"/>
            <w:tcBorders>
              <w:right w:val="single" w:sz="8" w:color="auto"/>
            </w:tcBorders>
          </w:tcPr>
          <w:p>
            <w:pPr>
              <w:spacing w:after="0"/>
              <w:rPr>
                <w:sz w:val="19"/>
                <w:szCs w:val="19"/>
                <w:color w:val="auto"/>
              </w:rPr>
            </w:pPr>
          </w:p>
        </w:tc>
        <w:tc>
          <w:tcPr>
            <w:tcW w:w="1080" w:type="dxa"/>
            <w:vAlign w:val="bottom"/>
            <w:tcBorders>
              <w:top w:val="single" w:sz="8" w:color="auto"/>
              <w:right w:val="single" w:sz="8" w:color="DCDDDE"/>
            </w:tcBorders>
            <w:shd w:val="clear" w:color="auto" w:fill="DCDDDE"/>
          </w:tcPr>
          <w:p>
            <w:pPr>
              <w:spacing w:after="0"/>
              <w:rPr>
                <w:sz w:val="19"/>
                <w:szCs w:val="19"/>
                <w:color w:val="auto"/>
              </w:rPr>
            </w:pPr>
          </w:p>
        </w:tc>
        <w:tc>
          <w:tcPr>
            <w:tcW w:w="2800" w:type="dxa"/>
            <w:vAlign w:val="bottom"/>
            <w:tcBorders>
              <w:top w:val="single" w:sz="8" w:color="auto"/>
              <w:right w:val="single" w:sz="8" w:color="DCDDDE"/>
            </w:tcBorders>
            <w:shd w:val="clear" w:color="auto" w:fill="DCDDDE"/>
          </w:tcPr>
          <w:p>
            <w:pPr>
              <w:spacing w:after="0"/>
              <w:rPr>
                <w:sz w:val="19"/>
                <w:szCs w:val="19"/>
                <w:color w:val="auto"/>
              </w:rPr>
            </w:pPr>
          </w:p>
        </w:tc>
        <w:tc>
          <w:tcPr>
            <w:tcW w:w="2620" w:type="dxa"/>
            <w:vAlign w:val="bottom"/>
            <w:tcBorders>
              <w:top w:val="single" w:sz="8" w:color="auto"/>
              <w:right w:val="single" w:sz="8" w:color="DCDDDE"/>
            </w:tcBorders>
            <w:shd w:val="clear" w:color="auto" w:fill="DCDDDE"/>
          </w:tcPr>
          <w:p>
            <w:pPr>
              <w:ind w:left="440"/>
              <w:spacing w:after="0"/>
              <w:rPr>
                <w:sz w:val="20"/>
                <w:szCs w:val="20"/>
                <w:color w:val="auto"/>
              </w:rPr>
            </w:pPr>
            <w:r>
              <w:rPr>
                <w:rFonts w:ascii="Times New Roman" w:cs="Times New Roman" w:eastAsia="Times New Roman" w:hAnsi="Times New Roman"/>
                <w:sz w:val="16"/>
                <w:szCs w:val="16"/>
                <w:b w:val="1"/>
                <w:bCs w:val="1"/>
                <w:color w:val="auto"/>
              </w:rPr>
              <w:t>BE</w:t>
            </w:r>
          </w:p>
        </w:tc>
        <w:tc>
          <w:tcPr>
            <w:tcW w:w="2400" w:type="dxa"/>
            <w:vAlign w:val="bottom"/>
            <w:tcBorders>
              <w:top w:val="single" w:sz="8" w:color="auto"/>
              <w:right w:val="single" w:sz="8" w:color="auto"/>
            </w:tcBorders>
            <w:shd w:val="clear" w:color="auto" w:fill="DCDDDE"/>
          </w:tcPr>
          <w:p>
            <w:pPr>
              <w:spacing w:after="0"/>
              <w:rPr>
                <w:sz w:val="19"/>
                <w:szCs w:val="19"/>
                <w:color w:val="auto"/>
              </w:rPr>
            </w:pPr>
          </w:p>
        </w:tc>
      </w:tr>
      <w:tr>
        <w:trPr>
          <w:trHeight w:val="125"/>
        </w:trPr>
        <w:tc>
          <w:tcPr>
            <w:tcW w:w="146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DCDDDE"/>
            </w:tcBorders>
            <w:shd w:val="clear" w:color="auto" w:fill="DCDDDE"/>
          </w:tcPr>
          <w:p>
            <w:pPr>
              <w:spacing w:after="0"/>
              <w:rPr>
                <w:sz w:val="10"/>
                <w:szCs w:val="10"/>
                <w:color w:val="auto"/>
              </w:rPr>
            </w:pPr>
          </w:p>
        </w:tc>
        <w:tc>
          <w:tcPr>
            <w:tcW w:w="2800" w:type="dxa"/>
            <w:vAlign w:val="bottom"/>
            <w:tcBorders>
              <w:bottom w:val="single" w:sz="8" w:color="auto"/>
              <w:right w:val="single" w:sz="8" w:color="DCDDDE"/>
            </w:tcBorders>
            <w:shd w:val="clear" w:color="auto" w:fill="DCDDDE"/>
          </w:tcPr>
          <w:p>
            <w:pPr>
              <w:spacing w:after="0"/>
              <w:rPr>
                <w:sz w:val="10"/>
                <w:szCs w:val="10"/>
                <w:color w:val="auto"/>
              </w:rPr>
            </w:pPr>
          </w:p>
        </w:tc>
        <w:tc>
          <w:tcPr>
            <w:tcW w:w="2620" w:type="dxa"/>
            <w:vAlign w:val="bottom"/>
            <w:tcBorders>
              <w:bottom w:val="single" w:sz="8" w:color="auto"/>
              <w:right w:val="single" w:sz="8" w:color="DCDDDE"/>
            </w:tcBorders>
            <w:shd w:val="clear" w:color="auto" w:fill="DCDDDE"/>
          </w:tcPr>
          <w:p>
            <w:pPr>
              <w:spacing w:after="0"/>
              <w:rPr>
                <w:sz w:val="10"/>
                <w:szCs w:val="10"/>
                <w:color w:val="auto"/>
              </w:rPr>
            </w:pPr>
          </w:p>
        </w:tc>
        <w:tc>
          <w:tcPr>
            <w:tcW w:w="2400" w:type="dxa"/>
            <w:vAlign w:val="bottom"/>
            <w:tcBorders>
              <w:bottom w:val="single" w:sz="8" w:color="auto"/>
              <w:right w:val="single" w:sz="8" w:color="auto"/>
            </w:tcBorders>
            <w:shd w:val="clear" w:color="auto" w:fill="DCDDDE"/>
          </w:tcPr>
          <w:p>
            <w:pPr>
              <w:spacing w:after="0"/>
              <w:rPr>
                <w:sz w:val="10"/>
                <w:szCs w:val="10"/>
                <w:color w:val="auto"/>
              </w:rPr>
            </w:pPr>
          </w:p>
        </w:tc>
      </w:tr>
      <w:tr>
        <w:trPr>
          <w:trHeight w:val="193"/>
        </w:trPr>
        <w:tc>
          <w:tcPr>
            <w:tcW w:w="1460" w:type="dxa"/>
            <w:vAlign w:val="bottom"/>
            <w:tcBorders>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MIR</w:t>
            </w:r>
          </w:p>
        </w:tc>
        <w:tc>
          <w:tcPr>
            <w:tcW w:w="108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CIR</w:t>
            </w:r>
          </w:p>
        </w:tc>
        <w:tc>
          <w:tcPr>
            <w:tcW w:w="280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1 Hour Intervals in the</w:t>
            </w:r>
          </w:p>
        </w:tc>
        <w:tc>
          <w:tcPr>
            <w:tcW w:w="2620" w:type="dxa"/>
            <w:vAlign w:val="bottom"/>
            <w:tcBorders>
              <w:right w:val="single" w:sz="8" w:color="auto"/>
            </w:tcBorders>
            <w:shd w:val="clear" w:color="auto" w:fill="DCDDDE"/>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Intervals necessary for OneWeb</w:t>
            </w:r>
          </w:p>
        </w:tc>
        <w:tc>
          <w:tcPr>
            <w:tcW w:w="2400" w:type="dxa"/>
            <w:vAlign w:val="bottom"/>
            <w:tcBorders>
              <w:right w:val="single" w:sz="8" w:color="auto"/>
            </w:tcBorders>
            <w:shd w:val="clear" w:color="auto" w:fill="DCDDDE"/>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Actual Intervals OneWeb</w:t>
            </w:r>
          </w:p>
        </w:tc>
      </w:tr>
      <w:tr>
        <w:trPr>
          <w:trHeight w:val="212"/>
        </w:trPr>
        <w:tc>
          <w:tcPr>
            <w:tcW w:w="14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shd w:val="clear" w:color="auto" w:fill="DCDDDE"/>
          </w:tcPr>
          <w:p>
            <w:pPr>
              <w:spacing w:after="0"/>
              <w:rPr>
                <w:sz w:val="18"/>
                <w:szCs w:val="18"/>
                <w:color w:val="auto"/>
              </w:rPr>
            </w:pPr>
          </w:p>
        </w:tc>
        <w:tc>
          <w:tcPr>
            <w:tcW w:w="280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Calendar Month Window</w:t>
            </w:r>
          </w:p>
        </w:tc>
        <w:tc>
          <w:tcPr>
            <w:tcW w:w="262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to achieve [***]Mbps</w:t>
            </w:r>
          </w:p>
        </w:tc>
        <w:tc>
          <w:tcPr>
            <w:tcW w:w="240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achieved [***]Mbps</w:t>
            </w:r>
          </w:p>
        </w:tc>
      </w:tr>
      <w:tr>
        <w:trPr>
          <w:trHeight w:val="144"/>
        </w:trPr>
        <w:tc>
          <w:tcPr>
            <w:tcW w:w="1460" w:type="dxa"/>
            <w:vAlign w:val="bottom"/>
            <w:tcBorders>
              <w:left w:val="single" w:sz="8" w:color="auto"/>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shd w:val="clear" w:color="auto" w:fill="DCDDDE"/>
          </w:tcPr>
          <w:p>
            <w:pPr>
              <w:spacing w:after="0"/>
              <w:rPr>
                <w:sz w:val="12"/>
                <w:szCs w:val="12"/>
                <w:color w:val="auto"/>
              </w:rPr>
            </w:pPr>
          </w:p>
        </w:tc>
        <w:tc>
          <w:tcPr>
            <w:tcW w:w="2800" w:type="dxa"/>
            <w:vAlign w:val="bottom"/>
            <w:tcBorders>
              <w:bottom w:val="single" w:sz="8" w:color="auto"/>
              <w:right w:val="single" w:sz="8" w:color="auto"/>
            </w:tcBorders>
            <w:shd w:val="clear" w:color="auto" w:fill="DCDDDE"/>
          </w:tcPr>
          <w:p>
            <w:pPr>
              <w:spacing w:after="0"/>
              <w:rPr>
                <w:sz w:val="12"/>
                <w:szCs w:val="12"/>
                <w:color w:val="auto"/>
              </w:rPr>
            </w:pPr>
          </w:p>
        </w:tc>
        <w:tc>
          <w:tcPr>
            <w:tcW w:w="2620" w:type="dxa"/>
            <w:vAlign w:val="bottom"/>
            <w:tcBorders>
              <w:bottom w:val="single" w:sz="8" w:color="auto"/>
              <w:right w:val="single" w:sz="8" w:color="auto"/>
            </w:tcBorders>
            <w:shd w:val="clear" w:color="auto" w:fill="DCDDDE"/>
          </w:tcPr>
          <w:p>
            <w:pPr>
              <w:spacing w:after="0"/>
              <w:rPr>
                <w:sz w:val="12"/>
                <w:szCs w:val="12"/>
                <w:color w:val="auto"/>
              </w:rPr>
            </w:pPr>
          </w:p>
        </w:tc>
        <w:tc>
          <w:tcPr>
            <w:tcW w:w="2400" w:type="dxa"/>
            <w:vAlign w:val="bottom"/>
            <w:tcBorders>
              <w:bottom w:val="single" w:sz="8" w:color="auto"/>
              <w:right w:val="single" w:sz="8" w:color="auto"/>
            </w:tcBorders>
            <w:shd w:val="clear" w:color="auto" w:fill="DCDDDE"/>
          </w:tcPr>
          <w:p>
            <w:pPr>
              <w:spacing w:after="0"/>
              <w:rPr>
                <w:sz w:val="12"/>
                <w:szCs w:val="12"/>
                <w:color w:val="auto"/>
              </w:rPr>
            </w:pPr>
          </w:p>
        </w:tc>
      </w:tr>
      <w:tr>
        <w:trPr>
          <w:trHeight w:val="190"/>
        </w:trPr>
        <w:tc>
          <w:tcPr>
            <w:tcW w:w="146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top w:val="single" w:sz="8" w:color="DCDDDE"/>
              <w:right w:val="single" w:sz="8" w:color="auto"/>
            </w:tcBorders>
            <w:shd w:val="clear" w:color="auto" w:fill="DCDDDE"/>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280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400" w:type="dxa"/>
            <w:vAlign w:val="bottom"/>
            <w:tcBorders>
              <w:top w:val="single" w:sz="8" w:color="auto"/>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color w:val="auto"/>
                <w:w w:val="97"/>
              </w:rPr>
              <w:t>[***]</w:t>
            </w:r>
          </w:p>
        </w:tc>
      </w:tr>
      <w:tr>
        <w:trPr>
          <w:trHeight w:val="120"/>
        </w:trPr>
        <w:tc>
          <w:tcPr>
            <w:tcW w:w="1460" w:type="dxa"/>
            <w:vAlign w:val="bottom"/>
            <w:tcBorders>
              <w:left w:val="single" w:sz="8" w:color="auto"/>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shd w:val="clear" w:color="auto" w:fill="DCDDDE"/>
          </w:tcPr>
          <w:p>
            <w:pPr>
              <w:spacing w:after="0"/>
              <w:rPr>
                <w:sz w:val="10"/>
                <w:szCs w:val="10"/>
                <w:color w:val="auto"/>
              </w:rPr>
            </w:pPr>
          </w:p>
        </w:tc>
        <w:tc>
          <w:tcPr>
            <w:tcW w:w="2800" w:type="dxa"/>
            <w:vAlign w:val="bottom"/>
            <w:tcBorders>
              <w:bottom w:val="single" w:sz="8" w:color="auto"/>
              <w:right w:val="single" w:sz="8" w:color="auto"/>
            </w:tcBorders>
            <w:shd w:val="clear" w:color="auto" w:fill="DCDDDE"/>
          </w:tcPr>
          <w:p>
            <w:pPr>
              <w:spacing w:after="0"/>
              <w:rPr>
                <w:sz w:val="10"/>
                <w:szCs w:val="10"/>
                <w:color w:val="auto"/>
              </w:rPr>
            </w:pPr>
          </w:p>
        </w:tc>
        <w:tc>
          <w:tcPr>
            <w:tcW w:w="2620" w:type="dxa"/>
            <w:vAlign w:val="bottom"/>
            <w:tcBorders>
              <w:bottom w:val="single" w:sz="8" w:color="auto"/>
              <w:right w:val="single" w:sz="8" w:color="auto"/>
            </w:tcBorders>
            <w:shd w:val="clear" w:color="auto" w:fill="DCDDDE"/>
          </w:tcPr>
          <w:p>
            <w:pPr>
              <w:spacing w:after="0"/>
              <w:rPr>
                <w:sz w:val="10"/>
                <w:szCs w:val="10"/>
                <w:color w:val="auto"/>
              </w:rPr>
            </w:pPr>
          </w:p>
        </w:tc>
        <w:tc>
          <w:tcPr>
            <w:tcW w:w="2400" w:type="dxa"/>
            <w:vAlign w:val="bottom"/>
            <w:tcBorders>
              <w:bottom w:val="single" w:sz="8" w:color="auto"/>
              <w:right w:val="single" w:sz="8" w:color="auto"/>
            </w:tcBorders>
            <w:shd w:val="clear" w:color="auto" w:fill="DCDDDE"/>
          </w:tcPr>
          <w:p>
            <w:pPr>
              <w:spacing w:after="0"/>
              <w:rPr>
                <w:sz w:val="10"/>
                <w:szCs w:val="10"/>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591820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5" w:right="339" w:bottom="1440" w:gutter="0" w:footer="0" w:header="0"/>
        </w:sectPr>
      </w:pPr>
    </w:p>
    <w:bookmarkStart w:id="69" w:name="page70"/>
    <w:bookmarkEnd w:id="69"/>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6" w:lineRule="exact"/>
        <w:rPr>
          <w:sz w:val="20"/>
          <w:szCs w:val="20"/>
          <w:color w:val="auto"/>
        </w:rPr>
      </w:pPr>
    </w:p>
    <w:tbl>
      <w:tblPr>
        <w:tblLayout w:type="fixed"/>
        <w:tblInd w:w="770" w:type="dxa"/>
        <w:tblCellMar>
          <w:top w:w="0" w:type="dxa"/>
          <w:left w:w="0" w:type="dxa"/>
          <w:bottom w:w="0" w:type="dxa"/>
          <w:right w:w="0" w:type="dxa"/>
        </w:tblCellMar>
      </w:tblPr>
      <w:tr>
        <w:trPr>
          <w:trHeight w:val="226"/>
        </w:trPr>
        <w:tc>
          <w:tcPr>
            <w:tcW w:w="1340" w:type="dxa"/>
            <w:vAlign w:val="bottom"/>
            <w:tcBorders>
              <w:right w:val="single" w:sz="8" w:color="auto"/>
            </w:tcBorders>
          </w:tcPr>
          <w:p>
            <w:pPr>
              <w:spacing w:after="0"/>
              <w:rPr>
                <w:sz w:val="19"/>
                <w:szCs w:val="19"/>
                <w:color w:val="auto"/>
              </w:rPr>
            </w:pPr>
          </w:p>
        </w:tc>
        <w:tc>
          <w:tcPr>
            <w:tcW w:w="1200" w:type="dxa"/>
            <w:vAlign w:val="bottom"/>
            <w:tcBorders>
              <w:top w:val="single" w:sz="8" w:color="auto"/>
              <w:right w:val="single" w:sz="8" w:color="DCDDDE"/>
            </w:tcBorders>
            <w:shd w:val="clear" w:color="auto" w:fill="DCDDDE"/>
          </w:tcPr>
          <w:p>
            <w:pPr>
              <w:spacing w:after="0"/>
              <w:rPr>
                <w:sz w:val="19"/>
                <w:szCs w:val="19"/>
                <w:color w:val="auto"/>
              </w:rPr>
            </w:pPr>
          </w:p>
        </w:tc>
        <w:tc>
          <w:tcPr>
            <w:tcW w:w="2800" w:type="dxa"/>
            <w:vAlign w:val="bottom"/>
            <w:tcBorders>
              <w:top w:val="single" w:sz="8" w:color="auto"/>
              <w:right w:val="single" w:sz="8" w:color="DCDDDE"/>
            </w:tcBorders>
            <w:shd w:val="clear" w:color="auto" w:fill="DCDDDE"/>
          </w:tcPr>
          <w:p>
            <w:pPr>
              <w:spacing w:after="0"/>
              <w:rPr>
                <w:sz w:val="19"/>
                <w:szCs w:val="19"/>
                <w:color w:val="auto"/>
              </w:rPr>
            </w:pPr>
          </w:p>
        </w:tc>
        <w:tc>
          <w:tcPr>
            <w:tcW w:w="2620" w:type="dxa"/>
            <w:vAlign w:val="bottom"/>
            <w:tcBorders>
              <w:top w:val="single" w:sz="8" w:color="auto"/>
              <w:right w:val="single" w:sz="8" w:color="DCDDDE"/>
            </w:tcBorders>
            <w:shd w:val="clear" w:color="auto" w:fill="DCDDDE"/>
          </w:tcPr>
          <w:p>
            <w:pPr>
              <w:ind w:left="380"/>
              <w:spacing w:after="0"/>
              <w:rPr>
                <w:sz w:val="20"/>
                <w:szCs w:val="20"/>
                <w:color w:val="auto"/>
              </w:rPr>
            </w:pPr>
            <w:r>
              <w:rPr>
                <w:rFonts w:ascii="Times New Roman" w:cs="Times New Roman" w:eastAsia="Times New Roman" w:hAnsi="Times New Roman"/>
                <w:sz w:val="16"/>
                <w:szCs w:val="16"/>
                <w:b w:val="1"/>
                <w:bCs w:val="1"/>
                <w:color w:val="auto"/>
              </w:rPr>
              <w:t>AF</w:t>
            </w:r>
          </w:p>
        </w:tc>
        <w:tc>
          <w:tcPr>
            <w:tcW w:w="2400" w:type="dxa"/>
            <w:vAlign w:val="bottom"/>
            <w:tcBorders>
              <w:top w:val="single" w:sz="8" w:color="auto"/>
              <w:right w:val="single" w:sz="8" w:color="auto"/>
            </w:tcBorders>
            <w:shd w:val="clear" w:color="auto" w:fill="DCDDDE"/>
          </w:tcPr>
          <w:p>
            <w:pPr>
              <w:spacing w:after="0"/>
              <w:rPr>
                <w:sz w:val="19"/>
                <w:szCs w:val="19"/>
                <w:color w:val="auto"/>
              </w:rPr>
            </w:pPr>
          </w:p>
        </w:tc>
      </w:tr>
      <w:tr>
        <w:trPr>
          <w:trHeight w:val="125"/>
        </w:trPr>
        <w:tc>
          <w:tcPr>
            <w:tcW w:w="13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DCDDDE"/>
            </w:tcBorders>
            <w:shd w:val="clear" w:color="auto" w:fill="DCDDDE"/>
          </w:tcPr>
          <w:p>
            <w:pPr>
              <w:spacing w:after="0"/>
              <w:rPr>
                <w:sz w:val="10"/>
                <w:szCs w:val="10"/>
                <w:color w:val="auto"/>
              </w:rPr>
            </w:pPr>
          </w:p>
        </w:tc>
        <w:tc>
          <w:tcPr>
            <w:tcW w:w="2800" w:type="dxa"/>
            <w:vAlign w:val="bottom"/>
            <w:tcBorders>
              <w:bottom w:val="single" w:sz="8" w:color="auto"/>
              <w:right w:val="single" w:sz="8" w:color="DCDDDE"/>
            </w:tcBorders>
            <w:shd w:val="clear" w:color="auto" w:fill="DCDDDE"/>
          </w:tcPr>
          <w:p>
            <w:pPr>
              <w:spacing w:after="0"/>
              <w:rPr>
                <w:sz w:val="10"/>
                <w:szCs w:val="10"/>
                <w:color w:val="auto"/>
              </w:rPr>
            </w:pPr>
          </w:p>
        </w:tc>
        <w:tc>
          <w:tcPr>
            <w:tcW w:w="2620" w:type="dxa"/>
            <w:vAlign w:val="bottom"/>
            <w:tcBorders>
              <w:bottom w:val="single" w:sz="8" w:color="auto"/>
              <w:right w:val="single" w:sz="8" w:color="DCDDDE"/>
            </w:tcBorders>
            <w:shd w:val="clear" w:color="auto" w:fill="DCDDDE"/>
          </w:tcPr>
          <w:p>
            <w:pPr>
              <w:spacing w:after="0"/>
              <w:rPr>
                <w:sz w:val="10"/>
                <w:szCs w:val="10"/>
                <w:color w:val="auto"/>
              </w:rPr>
            </w:pPr>
          </w:p>
        </w:tc>
        <w:tc>
          <w:tcPr>
            <w:tcW w:w="2400" w:type="dxa"/>
            <w:vAlign w:val="bottom"/>
            <w:tcBorders>
              <w:bottom w:val="single" w:sz="8" w:color="auto"/>
              <w:right w:val="single" w:sz="8" w:color="auto"/>
            </w:tcBorders>
            <w:shd w:val="clear" w:color="auto" w:fill="DCDDDE"/>
          </w:tcPr>
          <w:p>
            <w:pPr>
              <w:spacing w:after="0"/>
              <w:rPr>
                <w:sz w:val="10"/>
                <w:szCs w:val="10"/>
                <w:color w:val="auto"/>
              </w:rPr>
            </w:pPr>
          </w:p>
        </w:tc>
      </w:tr>
      <w:tr>
        <w:trPr>
          <w:trHeight w:val="193"/>
        </w:trPr>
        <w:tc>
          <w:tcPr>
            <w:tcW w:w="1340" w:type="dxa"/>
            <w:vAlign w:val="bottom"/>
            <w:tcBorders>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MIR</w:t>
            </w:r>
          </w:p>
        </w:tc>
        <w:tc>
          <w:tcPr>
            <w:tcW w:w="120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CIR</w:t>
            </w:r>
          </w:p>
        </w:tc>
        <w:tc>
          <w:tcPr>
            <w:tcW w:w="280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Total 5 Minute Intervals in the</w:t>
            </w:r>
          </w:p>
        </w:tc>
        <w:tc>
          <w:tcPr>
            <w:tcW w:w="2620" w:type="dxa"/>
            <w:vAlign w:val="bottom"/>
            <w:tcBorders>
              <w:right w:val="single" w:sz="8" w:color="auto"/>
            </w:tcBorders>
            <w:shd w:val="clear" w:color="auto" w:fill="DCDDDE"/>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Intervals necessary for OneWeb</w:t>
            </w:r>
          </w:p>
        </w:tc>
        <w:tc>
          <w:tcPr>
            <w:tcW w:w="2400" w:type="dxa"/>
            <w:vAlign w:val="bottom"/>
            <w:tcBorders>
              <w:right w:val="single" w:sz="8" w:color="auto"/>
            </w:tcBorders>
            <w:shd w:val="clear" w:color="auto" w:fill="DCDDDE"/>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Actual Intervals OneWeb</w:t>
            </w:r>
          </w:p>
        </w:tc>
      </w:tr>
      <w:tr>
        <w:trPr>
          <w:trHeight w:val="212"/>
        </w:trPr>
        <w:tc>
          <w:tcPr>
            <w:tcW w:w="134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shd w:val="clear" w:color="auto" w:fill="DCDDDE"/>
          </w:tcPr>
          <w:p>
            <w:pPr>
              <w:spacing w:after="0"/>
              <w:rPr>
                <w:sz w:val="18"/>
                <w:szCs w:val="18"/>
                <w:color w:val="auto"/>
              </w:rPr>
            </w:pPr>
          </w:p>
        </w:tc>
        <w:tc>
          <w:tcPr>
            <w:tcW w:w="280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Calendar Month Window</w:t>
            </w:r>
          </w:p>
        </w:tc>
        <w:tc>
          <w:tcPr>
            <w:tcW w:w="2620" w:type="dxa"/>
            <w:vAlign w:val="bottom"/>
            <w:tcBorders>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b w:val="1"/>
                <w:bCs w:val="1"/>
                <w:color w:val="auto"/>
              </w:rPr>
              <w:t>to achieve [***]Mbps</w:t>
            </w:r>
          </w:p>
        </w:tc>
        <w:tc>
          <w:tcPr>
            <w:tcW w:w="2400" w:type="dxa"/>
            <w:vAlign w:val="bottom"/>
            <w:tcBorders>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achieved [***]Mbps</w:t>
            </w:r>
          </w:p>
        </w:tc>
      </w:tr>
      <w:tr>
        <w:trPr>
          <w:trHeight w:val="144"/>
        </w:trPr>
        <w:tc>
          <w:tcPr>
            <w:tcW w:w="1340" w:type="dxa"/>
            <w:vAlign w:val="bottom"/>
            <w:tcBorders>
              <w:left w:val="single" w:sz="8" w:color="auto"/>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shd w:val="clear" w:color="auto" w:fill="DCDDDE"/>
          </w:tcPr>
          <w:p>
            <w:pPr>
              <w:spacing w:after="0"/>
              <w:rPr>
                <w:sz w:val="12"/>
                <w:szCs w:val="12"/>
                <w:color w:val="auto"/>
              </w:rPr>
            </w:pPr>
          </w:p>
        </w:tc>
        <w:tc>
          <w:tcPr>
            <w:tcW w:w="2800" w:type="dxa"/>
            <w:vAlign w:val="bottom"/>
            <w:tcBorders>
              <w:bottom w:val="single" w:sz="8" w:color="auto"/>
              <w:right w:val="single" w:sz="8" w:color="auto"/>
            </w:tcBorders>
            <w:shd w:val="clear" w:color="auto" w:fill="DCDDDE"/>
          </w:tcPr>
          <w:p>
            <w:pPr>
              <w:spacing w:after="0"/>
              <w:rPr>
                <w:sz w:val="12"/>
                <w:szCs w:val="12"/>
                <w:color w:val="auto"/>
              </w:rPr>
            </w:pPr>
          </w:p>
        </w:tc>
        <w:tc>
          <w:tcPr>
            <w:tcW w:w="2620" w:type="dxa"/>
            <w:vAlign w:val="bottom"/>
            <w:tcBorders>
              <w:bottom w:val="single" w:sz="8" w:color="auto"/>
              <w:right w:val="single" w:sz="8" w:color="auto"/>
            </w:tcBorders>
            <w:shd w:val="clear" w:color="auto" w:fill="DCDDDE"/>
          </w:tcPr>
          <w:p>
            <w:pPr>
              <w:spacing w:after="0"/>
              <w:rPr>
                <w:sz w:val="12"/>
                <w:szCs w:val="12"/>
                <w:color w:val="auto"/>
              </w:rPr>
            </w:pPr>
          </w:p>
        </w:tc>
        <w:tc>
          <w:tcPr>
            <w:tcW w:w="2400" w:type="dxa"/>
            <w:vAlign w:val="bottom"/>
            <w:tcBorders>
              <w:bottom w:val="single" w:sz="8" w:color="auto"/>
              <w:right w:val="single" w:sz="8" w:color="auto"/>
            </w:tcBorders>
            <w:shd w:val="clear" w:color="auto" w:fill="DCDDDE"/>
          </w:tcPr>
          <w:p>
            <w:pPr>
              <w:spacing w:after="0"/>
              <w:rPr>
                <w:sz w:val="12"/>
                <w:szCs w:val="12"/>
                <w:color w:val="auto"/>
              </w:rPr>
            </w:pPr>
          </w:p>
        </w:tc>
      </w:tr>
      <w:tr>
        <w:trPr>
          <w:trHeight w:val="190"/>
        </w:trPr>
        <w:tc>
          <w:tcPr>
            <w:tcW w:w="1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620" w:type="dxa"/>
            <w:vAlign w:val="bottom"/>
            <w:tcBorders>
              <w:top w:val="single" w:sz="8" w:color="DCDDDE"/>
              <w:right w:val="single" w:sz="8" w:color="auto"/>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400" w:type="dxa"/>
            <w:vAlign w:val="bottom"/>
            <w:tcBorders>
              <w:top w:val="single" w:sz="8" w:color="auto"/>
              <w:right w:val="single" w:sz="8" w:color="auto"/>
            </w:tcBorders>
            <w:shd w:val="clear" w:color="auto" w:fill="DCDDDE"/>
          </w:tcPr>
          <w:p>
            <w:pPr>
              <w:jc w:val="center"/>
              <w:ind w:right="19"/>
              <w:spacing w:after="0"/>
              <w:rPr>
                <w:sz w:val="20"/>
                <w:szCs w:val="20"/>
                <w:color w:val="auto"/>
              </w:rPr>
            </w:pPr>
            <w:r>
              <w:rPr>
                <w:rFonts w:ascii="Times New Roman" w:cs="Times New Roman" w:eastAsia="Times New Roman" w:hAnsi="Times New Roman"/>
                <w:sz w:val="16"/>
                <w:szCs w:val="16"/>
                <w:color w:val="auto"/>
                <w:w w:val="97"/>
              </w:rPr>
              <w:t>[***]</w:t>
            </w:r>
          </w:p>
        </w:tc>
      </w:tr>
      <w:tr>
        <w:trPr>
          <w:trHeight w:val="120"/>
        </w:trPr>
        <w:tc>
          <w:tcPr>
            <w:tcW w:w="1340" w:type="dxa"/>
            <w:vAlign w:val="bottom"/>
            <w:tcBorders>
              <w:left w:val="single" w:sz="8" w:color="auto"/>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shd w:val="clear" w:color="auto" w:fill="DCDDDE"/>
          </w:tcPr>
          <w:p>
            <w:pPr>
              <w:spacing w:after="0"/>
              <w:rPr>
                <w:sz w:val="10"/>
                <w:szCs w:val="10"/>
                <w:color w:val="auto"/>
              </w:rPr>
            </w:pPr>
          </w:p>
        </w:tc>
        <w:tc>
          <w:tcPr>
            <w:tcW w:w="2800" w:type="dxa"/>
            <w:vAlign w:val="bottom"/>
            <w:tcBorders>
              <w:bottom w:val="single" w:sz="8" w:color="auto"/>
              <w:right w:val="single" w:sz="8" w:color="auto"/>
            </w:tcBorders>
            <w:shd w:val="clear" w:color="auto" w:fill="DCDDDE"/>
          </w:tcPr>
          <w:p>
            <w:pPr>
              <w:spacing w:after="0"/>
              <w:rPr>
                <w:sz w:val="10"/>
                <w:szCs w:val="10"/>
                <w:color w:val="auto"/>
              </w:rPr>
            </w:pPr>
          </w:p>
        </w:tc>
        <w:tc>
          <w:tcPr>
            <w:tcW w:w="2620" w:type="dxa"/>
            <w:vAlign w:val="bottom"/>
            <w:tcBorders>
              <w:bottom w:val="single" w:sz="8" w:color="auto"/>
              <w:right w:val="single" w:sz="8" w:color="auto"/>
            </w:tcBorders>
            <w:shd w:val="clear" w:color="auto" w:fill="DCDDDE"/>
          </w:tcPr>
          <w:p>
            <w:pPr>
              <w:spacing w:after="0"/>
              <w:rPr>
                <w:sz w:val="10"/>
                <w:szCs w:val="10"/>
                <w:color w:val="auto"/>
              </w:rPr>
            </w:pPr>
          </w:p>
        </w:tc>
        <w:tc>
          <w:tcPr>
            <w:tcW w:w="2400" w:type="dxa"/>
            <w:vAlign w:val="bottom"/>
            <w:tcBorders>
              <w:bottom w:val="single" w:sz="8" w:color="auto"/>
              <w:right w:val="single" w:sz="8" w:color="auto"/>
            </w:tcBorders>
            <w:shd w:val="clear" w:color="auto" w:fill="DCDDDE"/>
          </w:tcPr>
          <w:p>
            <w:pPr>
              <w:spacing w:after="0"/>
              <w:rPr>
                <w:sz w:val="10"/>
                <w:szCs w:val="10"/>
                <w:color w:val="auto"/>
              </w:rPr>
            </w:pPr>
          </w:p>
        </w:tc>
      </w:tr>
      <w:tr>
        <w:trPr>
          <w:trHeight w:val="388"/>
        </w:trPr>
        <w:tc>
          <w:tcPr>
            <w:tcW w:w="13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06"/>
        </w:trPr>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EF</w:t>
            </w:r>
          </w:p>
        </w:tc>
        <w:tc>
          <w:tcPr>
            <w:tcW w:w="2400" w:type="dxa"/>
            <w:vAlign w:val="bottom"/>
            <w:tcBorders>
              <w:right w:val="single" w:sz="8" w:color="auto"/>
            </w:tcBorders>
          </w:tcPr>
          <w:p>
            <w:pPr>
              <w:spacing w:after="0"/>
              <w:rPr>
                <w:sz w:val="17"/>
                <w:szCs w:val="17"/>
                <w:color w:val="auto"/>
              </w:rPr>
            </w:pPr>
          </w:p>
        </w:tc>
      </w:tr>
      <w:tr>
        <w:trPr>
          <w:trHeight w:val="125"/>
        </w:trPr>
        <w:tc>
          <w:tcPr>
            <w:tcW w:w="1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r>
      <w:tr>
        <w:trPr>
          <w:trHeight w:val="193"/>
        </w:trPr>
        <w:tc>
          <w:tcPr>
            <w:tcW w:w="134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MIR</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CIR</w:t>
            </w:r>
          </w:p>
        </w:tc>
        <w:tc>
          <w:tcPr>
            <w:tcW w:w="28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Total 5 Minute Intervals in the</w:t>
            </w:r>
          </w:p>
        </w:tc>
        <w:tc>
          <w:tcPr>
            <w:tcW w:w="262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Intervals necessary for OneWeb</w:t>
            </w:r>
          </w:p>
        </w:tc>
        <w:tc>
          <w:tcPr>
            <w:tcW w:w="240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Actual Intervals OneWeb</w:t>
            </w:r>
          </w:p>
        </w:tc>
      </w:tr>
      <w:tr>
        <w:trPr>
          <w:trHeight w:val="212"/>
        </w:trPr>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Calendar Month Window</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 achieve [***]Mbps</w:t>
            </w:r>
          </w:p>
        </w:tc>
        <w:tc>
          <w:tcPr>
            <w:tcW w:w="240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achieved [***]Mbps</w:t>
            </w:r>
          </w:p>
        </w:tc>
      </w:tr>
      <w:tr>
        <w:trPr>
          <w:trHeight w:val="144"/>
        </w:trPr>
        <w:tc>
          <w:tcPr>
            <w:tcW w:w="1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r>
      <w:tr>
        <w:trPr>
          <w:trHeight w:val="190"/>
        </w:trPr>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4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-716915</wp:posOffset>
            </wp:positionV>
            <wp:extent cx="6560820" cy="8070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6560820" cy="807085"/>
                    </a:xfrm>
                    <a:prstGeom prst="rect">
                      <a:avLst/>
                    </a:prstGeom>
                    <a:noFill/>
                  </pic:spPr>
                </pic:pic>
              </a:graphicData>
            </a:graphic>
          </wp:anchor>
        </w:drawing>
      </w:r>
    </w:p>
    <w:p>
      <w:pPr>
        <w:spacing w:after="0" w:line="9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u w:val="single" w:color="auto"/>
          <w:color w:val="auto"/>
        </w:rPr>
        <w:t>Total Intervals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20"/>
          <w:szCs w:val="20"/>
          <w:color w:val="auto"/>
        </w:rPr>
        <w:t>In the above charts, OneWeb failed to meet the Service SLA in [***]% (i.e., ([***]% rounded down) of the interval measurements across all applicable CoS intervals. As such, and in this example, the Service SLA Credits = Site Connectivity MRC * [***]% (and not [***]% per month due to the Service SLA Credit Cap of [***]% per month).</w:t>
      </w:r>
    </w:p>
    <w:p>
      <w:pPr>
        <w:spacing w:after="0" w:line="118" w:lineRule="exact"/>
        <w:rPr>
          <w:sz w:val="20"/>
          <w:szCs w:val="20"/>
          <w:color w:val="auto"/>
        </w:rPr>
      </w:pPr>
    </w:p>
    <w:p>
      <w:pPr>
        <w:ind w:left="760" w:hanging="752"/>
        <w:spacing w:after="0" w:line="272" w:lineRule="auto"/>
        <w:tabs>
          <w:tab w:leader="none" w:pos="7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Network Performance Metrics</w:t>
      </w:r>
      <w:r>
        <w:rPr>
          <w:rFonts w:ascii="Times New Roman" w:cs="Times New Roman" w:eastAsia="Times New Roman" w:hAnsi="Times New Roman"/>
          <w:sz w:val="20"/>
          <w:szCs w:val="20"/>
          <w:color w:val="auto"/>
        </w:rPr>
        <w:t>. OneWeb provides the following OneWeb Network metrics (collectively, the “</w:t>
      </w:r>
      <w:r>
        <w:rPr>
          <w:rFonts w:ascii="Times New Roman" w:cs="Times New Roman" w:eastAsia="Times New Roman" w:hAnsi="Times New Roman"/>
          <w:sz w:val="20"/>
          <w:szCs w:val="20"/>
          <w:b w:val="1"/>
          <w:bCs w:val="1"/>
          <w:color w:val="auto"/>
        </w:rPr>
        <w:t>Network Performance Metrics</w:t>
      </w:r>
      <w:r>
        <w:rPr>
          <w:rFonts w:ascii="Times New Roman" w:cs="Times New Roman" w:eastAsia="Times New Roman" w:hAnsi="Times New Roman"/>
          <w:sz w:val="20"/>
          <w:szCs w:val="20"/>
          <w:color w:val="auto"/>
        </w:rPr>
        <w:t>”):</w:t>
      </w:r>
    </w:p>
    <w:p>
      <w:pPr>
        <w:spacing w:after="0" w:line="102" w:lineRule="exact"/>
        <w:rPr>
          <w:rFonts w:ascii="Times New Roman" w:cs="Times New Roman" w:eastAsia="Times New Roman" w:hAnsi="Times New Roman"/>
          <w:sz w:val="20"/>
          <w:szCs w:val="20"/>
          <w:b w:val="1"/>
          <w:bCs w:val="1"/>
          <w:color w:val="auto"/>
        </w:rPr>
      </w:pPr>
    </w:p>
    <w:p>
      <w:pPr>
        <w:jc w:val="both"/>
        <w:ind w:left="1500" w:hanging="743"/>
        <w:spacing w:after="0" w:line="249" w:lineRule="auto"/>
        <w:tabs>
          <w:tab w:leader="none" w:pos="1500"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Link Availability</w:t>
      </w:r>
      <w:r>
        <w:rPr>
          <w:rFonts w:ascii="Times New Roman" w:cs="Times New Roman" w:eastAsia="Times New Roman" w:hAnsi="Times New Roman"/>
          <w:sz w:val="20"/>
          <w:szCs w:val="20"/>
          <w:color w:val="auto"/>
        </w:rPr>
        <w:t>: OneWeb shall maintain a minimum monthly average Link Availability of at least [***]%. Link Availability is the global average percentage of time that a full or half duplex communication link (packets going back and forth) between input to the Reference OneWeb Approved Equipment and the OneWeb POP hand-off point is available, which is a product of the system availability and location specific effects.</w:t>
      </w:r>
    </w:p>
    <w:p>
      <w:pPr>
        <w:spacing w:after="0" w:line="124" w:lineRule="exact"/>
        <w:rPr>
          <w:rFonts w:ascii="Times New Roman" w:cs="Times New Roman" w:eastAsia="Times New Roman" w:hAnsi="Times New Roman"/>
          <w:sz w:val="20"/>
          <w:szCs w:val="20"/>
          <w:u w:val="single" w:color="auto"/>
          <w:color w:val="auto"/>
        </w:rPr>
      </w:pPr>
    </w:p>
    <w:p>
      <w:pPr>
        <w:jc w:val="both"/>
        <w:ind w:left="1500" w:hanging="743"/>
        <w:spacing w:after="0" w:line="244" w:lineRule="auto"/>
        <w:tabs>
          <w:tab w:leader="none" w:pos="1500"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Latency</w:t>
      </w:r>
      <w:r>
        <w:rPr>
          <w:rFonts w:ascii="Times New Roman" w:cs="Times New Roman" w:eastAsia="Times New Roman" w:hAnsi="Times New Roman"/>
          <w:sz w:val="20"/>
          <w:szCs w:val="20"/>
          <w:color w:val="auto"/>
        </w:rPr>
        <w:t>: OneWeb shall maintain a Target Average Network Latency of [***] one-way for the global average of all transmissions as measured and reported by OneWeb between the Reference OneWeb Approved Equipment and the OneWeb PoP hand-off point during the measured month. The Forward Link (“</w:t>
      </w:r>
      <w:r>
        <w:rPr>
          <w:rFonts w:ascii="Times New Roman" w:cs="Times New Roman" w:eastAsia="Times New Roman" w:hAnsi="Times New Roman"/>
          <w:sz w:val="20"/>
          <w:szCs w:val="20"/>
          <w:b w:val="1"/>
          <w:bCs w:val="1"/>
          <w:color w:val="auto"/>
        </w:rPr>
        <w:t>FL</w:t>
      </w:r>
      <w:r>
        <w:rPr>
          <w:rFonts w:ascii="Times New Roman" w:cs="Times New Roman" w:eastAsia="Times New Roman" w:hAnsi="Times New Roman"/>
          <w:sz w:val="20"/>
          <w:szCs w:val="20"/>
          <w:color w:val="auto"/>
        </w:rPr>
        <w:t>”) one-way latency is measured as the delay between the OneWeb PoP and the Reference OneWeb Approved Equipment. The Return Link (“</w:t>
      </w:r>
      <w:r>
        <w:rPr>
          <w:rFonts w:ascii="Times New Roman" w:cs="Times New Roman" w:eastAsia="Times New Roman" w:hAnsi="Times New Roman"/>
          <w:sz w:val="20"/>
          <w:szCs w:val="20"/>
          <w:b w:val="1"/>
          <w:bCs w:val="1"/>
          <w:color w:val="auto"/>
        </w:rPr>
        <w:t>RL</w:t>
      </w:r>
      <w:r>
        <w:rPr>
          <w:rFonts w:ascii="Times New Roman" w:cs="Times New Roman" w:eastAsia="Times New Roman" w:hAnsi="Times New Roman"/>
          <w:sz w:val="20"/>
          <w:szCs w:val="20"/>
          <w:color w:val="auto"/>
        </w:rPr>
        <w:t>”) one-way latency is measured as the delay between the Reference OneWeb Approved Equipment and the OneWeb PoP. The End-to-End latency for a given Reference OneWeb Approved Equipment is defined as the sum of the FL one-way latency and the RL one-way latency as defined above.</w:t>
      </w:r>
    </w:p>
    <w:p>
      <w:pPr>
        <w:spacing w:after="0" w:line="129" w:lineRule="exact"/>
        <w:rPr>
          <w:rFonts w:ascii="Times New Roman" w:cs="Times New Roman" w:eastAsia="Times New Roman" w:hAnsi="Times New Roman"/>
          <w:sz w:val="20"/>
          <w:szCs w:val="20"/>
          <w:u w:val="single" w:color="auto"/>
          <w:color w:val="auto"/>
        </w:rPr>
      </w:pPr>
    </w:p>
    <w:p>
      <w:pPr>
        <w:jc w:val="both"/>
        <w:ind w:left="1500" w:hanging="743"/>
        <w:spacing w:after="0" w:line="244" w:lineRule="auto"/>
        <w:tabs>
          <w:tab w:leader="none" w:pos="1500" w:val="left"/>
        </w:tabs>
        <w:numPr>
          <w:ilvl w:val="1"/>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Packet Error Loss Rate</w:t>
      </w:r>
      <w:r>
        <w:rPr>
          <w:rFonts w:ascii="Times New Roman" w:cs="Times New Roman" w:eastAsia="Times New Roman" w:hAnsi="Times New Roman"/>
          <w:sz w:val="20"/>
          <w:szCs w:val="20"/>
          <w:color w:val="auto"/>
        </w:rPr>
        <w:t>: OneWeb shall maintain a Target Packet/Delivery Loss of successful packet delivery of [***]% as measured and reported by OneWeb between the Reference OneWeb Approved Equipment and the OneWeb PoP hand-off point during the measured month. The Packet Error Loss Rate (“</w:t>
      </w:r>
      <w:r>
        <w:rPr>
          <w:rFonts w:ascii="Times New Roman" w:cs="Times New Roman" w:eastAsia="Times New Roman" w:hAnsi="Times New Roman"/>
          <w:sz w:val="20"/>
          <w:szCs w:val="20"/>
          <w:b w:val="1"/>
          <w:bCs w:val="1"/>
          <w:color w:val="auto"/>
        </w:rPr>
        <w:t>PELR</w:t>
      </w:r>
      <w:r>
        <w:rPr>
          <w:rFonts w:ascii="Times New Roman" w:cs="Times New Roman" w:eastAsia="Times New Roman" w:hAnsi="Times New Roman"/>
          <w:sz w:val="20"/>
          <w:szCs w:val="20"/>
          <w:color w:val="auto"/>
        </w:rPr>
        <w:t>”) definition shall be based on the definitions in IETF RFC 7680 (or similar). Specifically, it shall measure IP packet loss between the Reference OneWeb Approved Equipment and the OneWeb PoP hand-off point. It shall be measured independently for both the FL and the RL. The PELR metric shall be based on standardized UDP and TCP traffic profiles. The measurement protocol shall follow the applicable definitions/recommendations found in IETF RFC 4656 and IETF RFC 5357 (or similar).</w:t>
      </w:r>
    </w:p>
    <w:p>
      <w:pPr>
        <w:spacing w:after="0" w:line="3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0" w:name="page71"/>
    <w:bookmarkEnd w:id="70"/>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49"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SLA Claim and Deviation Process; and SLA Exclusions.</w:t>
      </w:r>
    </w:p>
    <w:p>
      <w:pPr>
        <w:spacing w:after="0" w:line="165" w:lineRule="exact"/>
        <w:rPr>
          <w:rFonts w:ascii="Times New Roman" w:cs="Times New Roman" w:eastAsia="Times New Roman" w:hAnsi="Times New Roman"/>
          <w:sz w:val="20"/>
          <w:szCs w:val="20"/>
          <w:b w:val="1"/>
          <w:bCs w:val="1"/>
          <w:color w:val="auto"/>
        </w:rPr>
      </w:pPr>
    </w:p>
    <w:p>
      <w:pPr>
        <w:jc w:val="both"/>
        <w:ind w:left="1500" w:hanging="743"/>
        <w:spacing w:after="0" w:line="242" w:lineRule="auto"/>
        <w:tabs>
          <w:tab w:leader="none" w:pos="1500" w:val="left"/>
        </w:tabs>
        <w:numPr>
          <w:ilvl w:val="1"/>
          <w:numId w:val="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SLA Claim and Deviation Process</w:t>
      </w:r>
      <w:r>
        <w:rPr>
          <w:rFonts w:ascii="Times New Roman" w:cs="Times New Roman" w:eastAsia="Times New Roman" w:hAnsi="Times New Roman"/>
          <w:sz w:val="20"/>
          <w:szCs w:val="20"/>
          <w:color w:val="auto"/>
        </w:rPr>
        <w:t>: In order to receive the Service SLA Credit and/or to report a deviation from any of the other SLAs, (i) Distribution Partner must (a) notify OneWeb’s Technical Assistance Centre in writing (email sufficient) within fifteen (15) business days of the date on which it believes the particular SLA was not met with sufficient details included in such notice and (b) make a claim for such SLA by another such notice to OneWeb’s Technical Assistance Centre within fifteen (15) days of the measurement month; and (ii) OneWeb must confirm in writing (email being sufficient) within fifteen (15) business days of Distribution Partner’s second notice whether or not it agrees with Distribution Partner (and if OneWeb disagrees with Distribution Partner, OneWeb shall include the reasons for such disagreement in such notification). OneWeb’s records will control for the purposes of confirming whether the particular SLA was not met. The Service SLA Credits and any deviations from any of the other SLAs will be calculated in accordance with OneWeb’s records and information recorded by, or on behalf of, OneWeb.</w:t>
      </w:r>
    </w:p>
    <w:p>
      <w:pPr>
        <w:spacing w:after="0" w:line="135" w:lineRule="exact"/>
        <w:rPr>
          <w:sz w:val="20"/>
          <w:szCs w:val="20"/>
          <w:color w:val="auto"/>
        </w:rPr>
      </w:pPr>
    </w:p>
    <w:p>
      <w:pPr>
        <w:ind w:left="1500"/>
        <w:spacing w:after="0" w:line="263" w:lineRule="auto"/>
        <w:rPr>
          <w:sz w:val="20"/>
          <w:szCs w:val="20"/>
          <w:color w:val="auto"/>
        </w:rPr>
      </w:pPr>
      <w:r>
        <w:rPr>
          <w:rFonts w:ascii="Times New Roman" w:cs="Times New Roman" w:eastAsia="Times New Roman" w:hAnsi="Times New Roman"/>
          <w:sz w:val="19"/>
          <w:szCs w:val="19"/>
          <w:color w:val="auto"/>
        </w:rPr>
        <w:t>If OneWeb receives a valid claim for Service SLA Credit in accordance with the foregoing process, OneWeb will provide the applicable Service SLA Credit by deducting those Service SLA Credits from amounts due under an invoice within two</w:t>
      </w:r>
    </w:p>
    <w:p>
      <w:pPr>
        <w:spacing w:after="0" w:line="2" w:lineRule="exact"/>
        <w:rPr>
          <w:sz w:val="20"/>
          <w:szCs w:val="20"/>
          <w:color w:val="auto"/>
        </w:rPr>
      </w:pPr>
    </w:p>
    <w:p>
      <w:pPr>
        <w:jc w:val="both"/>
        <w:ind w:left="1500" w:firstLine="5"/>
        <w:spacing w:after="0" w:line="242" w:lineRule="auto"/>
        <w:tabs>
          <w:tab w:leader="none" w:pos="178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 cycles of the final determination date of the claim being validated by OneWeb. Where the Service SLA Credit is due after expiration and/or termination of this Agreement and no further invoices are due to be issued by OneWeb, OneWeb will refund the Service SLA Credit to Distribution Partner in a reasonable period of time.</w:t>
      </w:r>
    </w:p>
    <w:p>
      <w:pPr>
        <w:spacing w:after="0" w:line="132" w:lineRule="exact"/>
        <w:rPr>
          <w:sz w:val="20"/>
          <w:szCs w:val="20"/>
          <w:color w:val="auto"/>
        </w:rPr>
      </w:pPr>
    </w:p>
    <w:p>
      <w:pPr>
        <w:jc w:val="both"/>
        <w:ind w:left="1500"/>
        <w:spacing w:after="0" w:line="253" w:lineRule="auto"/>
        <w:rPr>
          <w:sz w:val="20"/>
          <w:szCs w:val="20"/>
          <w:color w:val="auto"/>
        </w:rPr>
      </w:pPr>
      <w:r>
        <w:rPr>
          <w:rFonts w:ascii="Times New Roman" w:cs="Times New Roman" w:eastAsia="Times New Roman" w:hAnsi="Times New Roman"/>
          <w:sz w:val="20"/>
          <w:szCs w:val="20"/>
          <w:color w:val="auto"/>
        </w:rPr>
        <w:t>The failure of Distribution Partner to submit a claim for (y) the Service SLA Credit and/or (z) deviation from any of the SLAs in accordance with the foregoing process will constitute a waiver of any remedy that would have otherwise resulted from such claim.</w:t>
      </w:r>
    </w:p>
    <w:p>
      <w:pPr>
        <w:spacing w:after="0" w:line="122" w:lineRule="exact"/>
        <w:rPr>
          <w:sz w:val="20"/>
          <w:szCs w:val="20"/>
          <w:color w:val="auto"/>
        </w:rPr>
      </w:pPr>
    </w:p>
    <w:p>
      <w:pPr>
        <w:ind w:left="1500" w:hanging="743"/>
        <w:spacing w:after="0"/>
        <w:tabs>
          <w:tab w:leader="none" w:pos="1500" w:val="left"/>
        </w:tabs>
        <w:numPr>
          <w:ilvl w:val="1"/>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SLA Exclusions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hanging="752"/>
        <w:spacing w:after="0"/>
        <w:tabs>
          <w:tab w:leader="none" w:pos="760" w:val="left"/>
        </w:tabs>
        <w:numPr>
          <w:ilvl w:val="0"/>
          <w:numId w:val="10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ONEWEB APPROVED EQUIPMENT</w:t>
      </w:r>
    </w:p>
    <w:p>
      <w:pPr>
        <w:spacing w:after="0" w:line="161" w:lineRule="exact"/>
        <w:rPr>
          <w:sz w:val="20"/>
          <w:szCs w:val="20"/>
          <w:color w:val="auto"/>
        </w:rPr>
      </w:pPr>
    </w:p>
    <w:p>
      <w:pPr>
        <w:ind w:left="760" w:hanging="752"/>
        <w:spacing w:after="0"/>
        <w:tabs>
          <w:tab w:leader="none" w:pos="7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OneWeb Obligations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Distribution Partner Obligations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20"/>
          <w:szCs w:val="20"/>
          <w:b w:val="1"/>
          <w:bCs w:val="1"/>
          <w:color w:val="auto"/>
        </w:rPr>
      </w:pPr>
    </w:p>
    <w:p>
      <w:pPr>
        <w:ind w:left="760" w:hanging="752"/>
        <w:spacing w:after="0" w:line="272" w:lineRule="auto"/>
        <w:tabs>
          <w:tab w:leader="none" w:pos="7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OneWeb Approved Equipment Product Catalogue</w:t>
      </w:r>
      <w:r>
        <w:rPr>
          <w:rFonts w:ascii="Times New Roman" w:cs="Times New Roman" w:eastAsia="Times New Roman" w:hAnsi="Times New Roman"/>
          <w:sz w:val="20"/>
          <w:szCs w:val="20"/>
          <w:color w:val="auto"/>
        </w:rPr>
        <w:t>. Upon request by Distribution Partner, OneWeb shall provide the latest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OneWeb Approved Equipment Product Catalogue to Distribution Partner.</w:t>
      </w:r>
    </w:p>
    <w:p>
      <w:pPr>
        <w:spacing w:after="0" w:line="99" w:lineRule="exact"/>
        <w:rPr>
          <w:sz w:val="20"/>
          <w:szCs w:val="20"/>
          <w:color w:val="auto"/>
        </w:rPr>
      </w:pPr>
    </w:p>
    <w:p>
      <w:pPr>
        <w:ind w:left="760" w:hanging="752"/>
        <w:spacing w:after="0"/>
        <w:tabs>
          <w:tab w:leader="none" w:pos="760" w:val="left"/>
        </w:tabs>
        <w:numPr>
          <w:ilvl w:val="0"/>
          <w:numId w:val="10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SERVICE MANAGEMENT</w:t>
      </w:r>
    </w:p>
    <w:p>
      <w:pPr>
        <w:spacing w:after="0" w:line="161" w:lineRule="exact"/>
        <w:rPr>
          <w:sz w:val="20"/>
          <w:szCs w:val="20"/>
          <w:color w:val="auto"/>
        </w:rPr>
      </w:pPr>
    </w:p>
    <w:p>
      <w:pPr>
        <w:jc w:val="both"/>
        <w:ind w:left="760" w:hanging="752"/>
        <w:spacing w:after="0" w:line="250" w:lineRule="auto"/>
        <w:tabs>
          <w:tab w:leader="none" w:pos="76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Technical Assistance</w:t>
      </w:r>
      <w:r>
        <w:rPr>
          <w:rFonts w:ascii="Times New Roman" w:cs="Times New Roman" w:eastAsia="Times New Roman" w:hAnsi="Times New Roman"/>
          <w:sz w:val="20"/>
          <w:szCs w:val="20"/>
          <w:color w:val="auto"/>
        </w:rPr>
        <w:t>. OneWeb shall (1) make available to Distribution Partner a 24x7x365 Technical Assistance Centre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focal point of contact for Distribution Partner for post sales technical and network-related questions and for the reporting of incidents on the OneWeb Services; and (2) use reasonable endeavors to remedy any reported incidents and to respond within those targets indicated below based on their impact and urgency (as determined by OneWeb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93345</wp:posOffset>
            </wp:positionV>
            <wp:extent cx="6558915" cy="2736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6558915" cy="273685"/>
                    </a:xfrm>
                    <a:prstGeom prst="rect">
                      <a:avLst/>
                    </a:prstGeom>
                    <a:noFill/>
                  </pic:spPr>
                </pic:pic>
              </a:graphicData>
            </a:graphic>
          </wp:anchor>
        </w:drawing>
      </w:r>
    </w:p>
    <w:p>
      <w:pPr>
        <w:spacing w:after="0" w:line="1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Severity Guidelines</w:t>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1" w:name="page72"/>
    <w:bookmarkEnd w:id="71"/>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6" w:lineRule="exact"/>
        <w:rPr>
          <w:sz w:val="20"/>
          <w:szCs w:val="20"/>
          <w:color w:val="auto"/>
        </w:rPr>
      </w:pPr>
    </w:p>
    <w:tbl>
      <w:tblPr>
        <w:tblLayout w:type="fixed"/>
        <w:tblInd w:w="750" w:type="dxa"/>
        <w:tblCellMar>
          <w:top w:w="0" w:type="dxa"/>
          <w:left w:w="0" w:type="dxa"/>
          <w:bottom w:w="0" w:type="dxa"/>
          <w:right w:w="0" w:type="dxa"/>
        </w:tblCellMar>
      </w:tblPr>
      <w:tr>
        <w:trPr>
          <w:trHeight w:val="276"/>
        </w:trPr>
        <w:tc>
          <w:tcPr>
            <w:tcW w:w="3300" w:type="dxa"/>
            <w:vAlign w:val="bottom"/>
            <w:tcBorders>
              <w:top w:val="single" w:sz="8" w:color="auto"/>
              <w:left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Incident Severity Level</w:t>
            </w:r>
          </w:p>
        </w:tc>
        <w:tc>
          <w:tcPr>
            <w:tcW w:w="7060" w:type="dxa"/>
            <w:vAlign w:val="bottom"/>
            <w:tcBorders>
              <w:top w:val="single" w:sz="8" w:color="auto"/>
              <w:right w:val="single" w:sz="8" w:color="auto"/>
            </w:tcBorders>
            <w:shd w:val="clear" w:color="auto" w:fill="E0E0E0"/>
          </w:tcPr>
          <w:p>
            <w:pPr>
              <w:ind w:left="80"/>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0" w:type="dxa"/>
            <w:vAlign w:val="bottom"/>
          </w:tcPr>
          <w:p>
            <w:pPr>
              <w:spacing w:after="0"/>
              <w:rPr>
                <w:sz w:val="1"/>
                <w:szCs w:val="1"/>
                <w:color w:val="auto"/>
              </w:rPr>
            </w:pPr>
          </w:p>
        </w:tc>
      </w:tr>
      <w:tr>
        <w:trPr>
          <w:trHeight w:val="156"/>
        </w:trPr>
        <w:tc>
          <w:tcPr>
            <w:tcW w:w="3300" w:type="dxa"/>
            <w:vAlign w:val="bottom"/>
            <w:tcBorders>
              <w:left w:val="single" w:sz="8" w:color="auto"/>
              <w:bottom w:val="single" w:sz="8" w:color="auto"/>
              <w:right w:val="single" w:sz="8" w:color="auto"/>
            </w:tcBorders>
            <w:shd w:val="clear" w:color="auto" w:fill="E0E0E0"/>
          </w:tcPr>
          <w:p>
            <w:pPr>
              <w:spacing w:after="0"/>
              <w:rPr>
                <w:sz w:val="13"/>
                <w:szCs w:val="13"/>
                <w:color w:val="auto"/>
              </w:rPr>
            </w:pPr>
          </w:p>
        </w:tc>
        <w:tc>
          <w:tcPr>
            <w:tcW w:w="7060" w:type="dxa"/>
            <w:vAlign w:val="bottom"/>
            <w:tcBorders>
              <w:bottom w:val="single" w:sz="8" w:color="auto"/>
              <w:right w:val="single" w:sz="8" w:color="auto"/>
            </w:tcBorders>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Severity 1 (Critical)</w:t>
            </w:r>
          </w:p>
        </w:tc>
        <w:tc>
          <w:tcPr>
            <w:tcW w:w="70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Indicates a complete End User traffic outage or unusable throughput impacting such</w:t>
            </w:r>
          </w:p>
        </w:tc>
        <w:tc>
          <w:tcPr>
            <w:tcW w:w="0" w:type="dxa"/>
            <w:vAlign w:val="bottom"/>
          </w:tcPr>
          <w:p>
            <w:pPr>
              <w:spacing w:after="0"/>
              <w:rPr>
                <w:sz w:val="1"/>
                <w:szCs w:val="1"/>
                <w:color w:val="auto"/>
              </w:rPr>
            </w:pPr>
          </w:p>
        </w:tc>
      </w:tr>
      <w:tr>
        <w:trPr>
          <w:trHeight w:val="137"/>
        </w:trPr>
        <w:tc>
          <w:tcPr>
            <w:tcW w:w="3300" w:type="dxa"/>
            <w:vAlign w:val="bottom"/>
            <w:tcBorders>
              <w:left w:val="single" w:sz="8" w:color="auto"/>
              <w:right w:val="single" w:sz="8" w:color="auto"/>
            </w:tcBorders>
            <w:vMerge w:val="continue"/>
          </w:tcPr>
          <w:p>
            <w:pPr>
              <w:spacing w:after="0"/>
              <w:rPr>
                <w:sz w:val="11"/>
                <w:szCs w:val="11"/>
                <w:color w:val="auto"/>
              </w:rPr>
            </w:pPr>
          </w:p>
        </w:tc>
        <w:tc>
          <w:tcPr>
            <w:tcW w:w="7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End User globally or regionally</w:t>
            </w:r>
          </w:p>
        </w:tc>
        <w:tc>
          <w:tcPr>
            <w:tcW w:w="0" w:type="dxa"/>
            <w:vAlign w:val="bottom"/>
          </w:tcPr>
          <w:p>
            <w:pPr>
              <w:spacing w:after="0"/>
              <w:rPr>
                <w:sz w:val="1"/>
                <w:szCs w:val="1"/>
                <w:color w:val="auto"/>
              </w:rPr>
            </w:pPr>
          </w:p>
        </w:tc>
      </w:tr>
      <w:tr>
        <w:trPr>
          <w:trHeight w:val="121"/>
        </w:trPr>
        <w:tc>
          <w:tcPr>
            <w:tcW w:w="3300" w:type="dxa"/>
            <w:vAlign w:val="bottom"/>
            <w:tcBorders>
              <w:left w:val="single" w:sz="8" w:color="auto"/>
              <w:right w:val="single" w:sz="8" w:color="auto"/>
            </w:tcBorders>
          </w:tcPr>
          <w:p>
            <w:pPr>
              <w:spacing w:after="0"/>
              <w:rPr>
                <w:sz w:val="10"/>
                <w:szCs w:val="10"/>
                <w:color w:val="auto"/>
              </w:rPr>
            </w:pPr>
          </w:p>
        </w:tc>
        <w:tc>
          <w:tcPr>
            <w:tcW w:w="7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bottom w:val="single" w:sz="8" w:color="auto"/>
              <w:right w:val="single" w:sz="8" w:color="auto"/>
            </w:tcBorders>
          </w:tcPr>
          <w:p>
            <w:pPr>
              <w:spacing w:after="0"/>
              <w:rPr>
                <w:sz w:val="14"/>
                <w:szCs w:val="14"/>
                <w:color w:val="auto"/>
              </w:rPr>
            </w:pPr>
          </w:p>
        </w:tc>
        <w:tc>
          <w:tcPr>
            <w:tcW w:w="7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Severity 2 (High)</w:t>
            </w:r>
          </w:p>
        </w:tc>
        <w:tc>
          <w:tcPr>
            <w:tcW w:w="70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Impairing or intermittent issues but no loss of traffic flow with low business impact;</w:t>
            </w:r>
          </w:p>
        </w:tc>
        <w:tc>
          <w:tcPr>
            <w:tcW w:w="0" w:type="dxa"/>
            <w:vAlign w:val="bottom"/>
          </w:tcPr>
          <w:p>
            <w:pPr>
              <w:spacing w:after="0"/>
              <w:rPr>
                <w:sz w:val="1"/>
                <w:szCs w:val="1"/>
                <w:color w:val="auto"/>
              </w:rPr>
            </w:pPr>
          </w:p>
        </w:tc>
      </w:tr>
      <w:tr>
        <w:trPr>
          <w:trHeight w:val="137"/>
        </w:trPr>
        <w:tc>
          <w:tcPr>
            <w:tcW w:w="3300" w:type="dxa"/>
            <w:vAlign w:val="bottom"/>
            <w:tcBorders>
              <w:left w:val="single" w:sz="8" w:color="auto"/>
              <w:right w:val="single" w:sz="8" w:color="auto"/>
            </w:tcBorders>
            <w:vMerge w:val="continue"/>
          </w:tcPr>
          <w:p>
            <w:pPr>
              <w:spacing w:after="0"/>
              <w:rPr>
                <w:sz w:val="11"/>
                <w:szCs w:val="11"/>
                <w:color w:val="auto"/>
              </w:rPr>
            </w:pPr>
          </w:p>
        </w:tc>
        <w:tc>
          <w:tcPr>
            <w:tcW w:w="7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or loss of service at a single site</w:t>
            </w:r>
          </w:p>
        </w:tc>
        <w:tc>
          <w:tcPr>
            <w:tcW w:w="0" w:type="dxa"/>
            <w:vAlign w:val="bottom"/>
          </w:tcPr>
          <w:p>
            <w:pPr>
              <w:spacing w:after="0"/>
              <w:rPr>
                <w:sz w:val="1"/>
                <w:szCs w:val="1"/>
                <w:color w:val="auto"/>
              </w:rPr>
            </w:pPr>
          </w:p>
        </w:tc>
      </w:tr>
      <w:tr>
        <w:trPr>
          <w:trHeight w:val="121"/>
        </w:trPr>
        <w:tc>
          <w:tcPr>
            <w:tcW w:w="3300" w:type="dxa"/>
            <w:vAlign w:val="bottom"/>
            <w:tcBorders>
              <w:left w:val="single" w:sz="8" w:color="auto"/>
              <w:right w:val="single" w:sz="8" w:color="auto"/>
            </w:tcBorders>
          </w:tcPr>
          <w:p>
            <w:pPr>
              <w:spacing w:after="0"/>
              <w:rPr>
                <w:sz w:val="10"/>
                <w:szCs w:val="10"/>
                <w:color w:val="auto"/>
              </w:rPr>
            </w:pPr>
          </w:p>
        </w:tc>
        <w:tc>
          <w:tcPr>
            <w:tcW w:w="7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bottom w:val="single" w:sz="8" w:color="auto"/>
              <w:right w:val="single" w:sz="8" w:color="auto"/>
            </w:tcBorders>
          </w:tcPr>
          <w:p>
            <w:pPr>
              <w:spacing w:after="0"/>
              <w:rPr>
                <w:sz w:val="14"/>
                <w:szCs w:val="14"/>
                <w:color w:val="auto"/>
              </w:rPr>
            </w:pPr>
          </w:p>
        </w:tc>
        <w:tc>
          <w:tcPr>
            <w:tcW w:w="7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Severity 3 (Medium)</w:t>
            </w:r>
          </w:p>
        </w:tc>
        <w:tc>
          <w:tcPr>
            <w:tcW w:w="70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Degraded service, but still able to use the service (e.g., with a work around in place);</w:t>
            </w:r>
          </w:p>
        </w:tc>
        <w:tc>
          <w:tcPr>
            <w:tcW w:w="0" w:type="dxa"/>
            <w:vAlign w:val="bottom"/>
          </w:tcPr>
          <w:p>
            <w:pPr>
              <w:spacing w:after="0"/>
              <w:rPr>
                <w:sz w:val="1"/>
                <w:szCs w:val="1"/>
                <w:color w:val="auto"/>
              </w:rPr>
            </w:pPr>
          </w:p>
        </w:tc>
      </w:tr>
      <w:tr>
        <w:trPr>
          <w:trHeight w:val="137"/>
        </w:trPr>
        <w:tc>
          <w:tcPr>
            <w:tcW w:w="3300" w:type="dxa"/>
            <w:vAlign w:val="bottom"/>
            <w:tcBorders>
              <w:left w:val="single" w:sz="8" w:color="auto"/>
              <w:right w:val="single" w:sz="8" w:color="auto"/>
            </w:tcBorders>
            <w:vMerge w:val="continue"/>
          </w:tcPr>
          <w:p>
            <w:pPr>
              <w:spacing w:after="0"/>
              <w:rPr>
                <w:sz w:val="11"/>
                <w:szCs w:val="11"/>
                <w:color w:val="auto"/>
              </w:rPr>
            </w:pPr>
          </w:p>
        </w:tc>
        <w:tc>
          <w:tcPr>
            <w:tcW w:w="7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or time sensitive questions or queries</w:t>
            </w:r>
          </w:p>
        </w:tc>
        <w:tc>
          <w:tcPr>
            <w:tcW w:w="0" w:type="dxa"/>
            <w:vAlign w:val="bottom"/>
          </w:tcPr>
          <w:p>
            <w:pPr>
              <w:spacing w:after="0"/>
              <w:rPr>
                <w:sz w:val="1"/>
                <w:szCs w:val="1"/>
                <w:color w:val="auto"/>
              </w:rPr>
            </w:pPr>
          </w:p>
        </w:tc>
      </w:tr>
      <w:tr>
        <w:trPr>
          <w:trHeight w:val="121"/>
        </w:trPr>
        <w:tc>
          <w:tcPr>
            <w:tcW w:w="3300" w:type="dxa"/>
            <w:vAlign w:val="bottom"/>
            <w:tcBorders>
              <w:left w:val="single" w:sz="8" w:color="auto"/>
              <w:right w:val="single" w:sz="8" w:color="auto"/>
            </w:tcBorders>
          </w:tcPr>
          <w:p>
            <w:pPr>
              <w:spacing w:after="0"/>
              <w:rPr>
                <w:sz w:val="10"/>
                <w:szCs w:val="10"/>
                <w:color w:val="auto"/>
              </w:rPr>
            </w:pPr>
          </w:p>
        </w:tc>
        <w:tc>
          <w:tcPr>
            <w:tcW w:w="7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300" w:type="dxa"/>
            <w:vAlign w:val="bottom"/>
            <w:tcBorders>
              <w:left w:val="single" w:sz="8" w:color="auto"/>
              <w:bottom w:val="single" w:sz="8" w:color="auto"/>
              <w:right w:val="single" w:sz="8" w:color="auto"/>
            </w:tcBorders>
          </w:tcPr>
          <w:p>
            <w:pPr>
              <w:spacing w:after="0"/>
              <w:rPr>
                <w:sz w:val="16"/>
                <w:szCs w:val="16"/>
                <w:color w:val="auto"/>
              </w:rPr>
            </w:pPr>
          </w:p>
        </w:tc>
        <w:tc>
          <w:tcPr>
            <w:tcW w:w="7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Severity 4 (Low)</w:t>
            </w:r>
          </w:p>
        </w:tc>
        <w:tc>
          <w:tcPr>
            <w:tcW w:w="7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Non urgent enquiry or information request</w:t>
            </w:r>
          </w:p>
        </w:tc>
        <w:tc>
          <w:tcPr>
            <w:tcW w:w="0" w:type="dxa"/>
            <w:vAlign w:val="bottom"/>
          </w:tcPr>
          <w:p>
            <w:pPr>
              <w:spacing w:after="0"/>
              <w:rPr>
                <w:sz w:val="1"/>
                <w:szCs w:val="1"/>
                <w:color w:val="auto"/>
              </w:rPr>
            </w:pPr>
          </w:p>
        </w:tc>
      </w:tr>
      <w:tr>
        <w:trPr>
          <w:trHeight w:val="153"/>
        </w:trPr>
        <w:tc>
          <w:tcPr>
            <w:tcW w:w="3300" w:type="dxa"/>
            <w:vAlign w:val="bottom"/>
            <w:tcBorders>
              <w:left w:val="single" w:sz="8" w:color="auto"/>
              <w:bottom w:val="single" w:sz="8" w:color="auto"/>
              <w:right w:val="single" w:sz="8" w:color="auto"/>
            </w:tcBorders>
          </w:tcPr>
          <w:p>
            <w:pPr>
              <w:spacing w:after="0"/>
              <w:rPr>
                <w:sz w:val="13"/>
                <w:szCs w:val="13"/>
                <w:color w:val="auto"/>
              </w:rPr>
            </w:pPr>
          </w:p>
        </w:tc>
        <w:tc>
          <w:tcPr>
            <w:tcW w:w="70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246380</wp:posOffset>
            </wp:positionV>
            <wp:extent cx="6558915" cy="10363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6558915" cy="1036320"/>
                    </a:xfrm>
                    <a:prstGeom prst="rect">
                      <a:avLst/>
                    </a:prstGeom>
                    <a:noFill/>
                  </pic:spPr>
                </pic:pic>
              </a:graphicData>
            </a:graphic>
          </wp:anchor>
        </w:drawing>
      </w:r>
    </w:p>
    <w:p>
      <w:pPr>
        <w:spacing w:after="0" w:line="36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Acknowledgements and Updates on Incidents</w:t>
      </w:r>
    </w:p>
    <w:p>
      <w:pPr>
        <w:spacing w:after="0" w:line="32" w:lineRule="exact"/>
        <w:rPr>
          <w:sz w:val="20"/>
          <w:szCs w:val="20"/>
          <w:color w:val="auto"/>
        </w:rPr>
      </w:pPr>
    </w:p>
    <w:tbl>
      <w:tblPr>
        <w:tblLayout w:type="fixed"/>
        <w:tblInd w:w="760" w:type="dxa"/>
        <w:tblCellMar>
          <w:top w:w="0" w:type="dxa"/>
          <w:left w:w="0" w:type="dxa"/>
          <w:bottom w:w="0" w:type="dxa"/>
          <w:right w:w="0" w:type="dxa"/>
        </w:tblCellMar>
      </w:tblPr>
      <w:tr>
        <w:trPr>
          <w:trHeight w:val="257"/>
        </w:trPr>
        <w:tc>
          <w:tcPr>
            <w:tcW w:w="3320" w:type="dxa"/>
            <w:vAlign w:val="bottom"/>
            <w:tcBorders>
              <w:top w:val="single" w:sz="8" w:color="auto"/>
              <w:bottom w:val="single" w:sz="8" w:color="auto"/>
              <w:right w:val="single" w:sz="8" w:color="auto"/>
            </w:tcBorders>
            <w:gridSpan w:val="2"/>
            <w:shd w:val="clear" w:color="auto" w:fill="E0E0E0"/>
          </w:tcPr>
          <w:p>
            <w:pPr>
              <w:ind w:left="680"/>
              <w:spacing w:after="0"/>
              <w:rPr>
                <w:sz w:val="20"/>
                <w:szCs w:val="20"/>
                <w:color w:val="auto"/>
              </w:rPr>
            </w:pPr>
            <w:r>
              <w:rPr>
                <w:rFonts w:ascii="Times New Roman" w:cs="Times New Roman" w:eastAsia="Times New Roman" w:hAnsi="Times New Roman"/>
                <w:sz w:val="20"/>
                <w:szCs w:val="20"/>
                <w:b w:val="1"/>
                <w:bCs w:val="1"/>
                <w:color w:val="auto"/>
              </w:rPr>
              <w:t>Incident Severity Level</w:t>
            </w:r>
          </w:p>
        </w:tc>
        <w:tc>
          <w:tcPr>
            <w:tcW w:w="3300" w:type="dxa"/>
            <w:vAlign w:val="bottom"/>
            <w:tcBorders>
              <w:top w:val="single" w:sz="8" w:color="auto"/>
              <w:bottom w:val="single" w:sz="8" w:color="auto"/>
              <w:right w:val="single" w:sz="8" w:color="auto"/>
            </w:tcBorders>
            <w:shd w:val="clear" w:color="auto" w:fill="E0E0E0"/>
          </w:tcPr>
          <w:p>
            <w:pPr>
              <w:ind w:left="640"/>
              <w:spacing w:after="0"/>
              <w:rPr>
                <w:sz w:val="20"/>
                <w:szCs w:val="20"/>
                <w:color w:val="auto"/>
              </w:rPr>
            </w:pPr>
            <w:r>
              <w:rPr>
                <w:rFonts w:ascii="Times New Roman" w:cs="Times New Roman" w:eastAsia="Times New Roman" w:hAnsi="Times New Roman"/>
                <w:sz w:val="20"/>
                <w:szCs w:val="20"/>
                <w:b w:val="1"/>
                <w:bCs w:val="1"/>
                <w:color w:val="auto"/>
              </w:rPr>
              <w:t>Initial Response Target</w:t>
            </w:r>
          </w:p>
        </w:tc>
        <w:tc>
          <w:tcPr>
            <w:tcW w:w="3720" w:type="dxa"/>
            <w:vAlign w:val="bottom"/>
            <w:tcBorders>
              <w:top w:val="single" w:sz="8" w:color="auto"/>
              <w:bottom w:val="single" w:sz="8" w:color="auto"/>
              <w:right w:val="single" w:sz="8" w:color="E0E0E0"/>
            </w:tcBorders>
            <w:shd w:val="clear" w:color="auto" w:fill="E0E0E0"/>
          </w:tcPr>
          <w:p>
            <w:pPr>
              <w:ind w:left="340"/>
              <w:spacing w:after="0"/>
              <w:rPr>
                <w:sz w:val="20"/>
                <w:szCs w:val="20"/>
                <w:color w:val="auto"/>
              </w:rPr>
            </w:pPr>
            <w:r>
              <w:rPr>
                <w:rFonts w:ascii="Times New Roman" w:cs="Times New Roman" w:eastAsia="Times New Roman" w:hAnsi="Times New Roman"/>
                <w:sz w:val="20"/>
                <w:szCs w:val="20"/>
                <w:b w:val="1"/>
                <w:bCs w:val="1"/>
                <w:color w:val="auto"/>
              </w:rPr>
              <w:t>Update Frequency (Until Resolved)</w:t>
            </w:r>
          </w:p>
        </w:tc>
      </w:tr>
      <w:tr>
        <w:trPr>
          <w:trHeight w:val="250"/>
        </w:trPr>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Severity 1</w:t>
            </w:r>
          </w:p>
        </w:tc>
        <w:tc>
          <w:tcPr>
            <w:tcW w:w="2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(Critical)</w:t>
            </w:r>
          </w:p>
        </w:tc>
        <w:tc>
          <w:tcPr>
            <w:tcW w:w="33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Within 15 minutes</w:t>
            </w:r>
          </w:p>
        </w:tc>
        <w:tc>
          <w:tcPr>
            <w:tcW w:w="3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Every 1 hour</w:t>
            </w:r>
          </w:p>
        </w:tc>
      </w:tr>
      <w:tr>
        <w:trPr>
          <w:trHeight w:val="250"/>
        </w:trPr>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Severity 2</w:t>
            </w:r>
          </w:p>
        </w:tc>
        <w:tc>
          <w:tcPr>
            <w:tcW w:w="2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(High)</w:t>
            </w:r>
          </w:p>
        </w:tc>
        <w:tc>
          <w:tcPr>
            <w:tcW w:w="33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Within 1 hour</w:t>
            </w:r>
          </w:p>
        </w:tc>
        <w:tc>
          <w:tcPr>
            <w:tcW w:w="3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Every 4 hours</w:t>
            </w:r>
          </w:p>
        </w:tc>
      </w:tr>
      <w:tr>
        <w:trPr>
          <w:trHeight w:val="266"/>
        </w:trPr>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Severity 3</w:t>
            </w:r>
          </w:p>
        </w:tc>
        <w:tc>
          <w:tcPr>
            <w:tcW w:w="2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(Medium)</w:t>
            </w:r>
          </w:p>
        </w:tc>
        <w:tc>
          <w:tcPr>
            <w:tcW w:w="33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Within 8 hours</w:t>
            </w:r>
          </w:p>
        </w:tc>
        <w:tc>
          <w:tcPr>
            <w:tcW w:w="3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Once every business day</w:t>
            </w:r>
          </w:p>
        </w:tc>
      </w:tr>
      <w:tr>
        <w:trPr>
          <w:trHeight w:val="230"/>
        </w:trPr>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Severity 4</w:t>
            </w:r>
          </w:p>
        </w:tc>
        <w:tc>
          <w:tcPr>
            <w:tcW w:w="2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(Low)</w:t>
            </w:r>
          </w:p>
        </w:tc>
        <w:tc>
          <w:tcPr>
            <w:tcW w:w="33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Within 24 hours</w:t>
            </w:r>
          </w:p>
        </w:tc>
        <w:tc>
          <w:tcPr>
            <w:tcW w:w="3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Once per week</w:t>
            </w:r>
          </w:p>
        </w:tc>
      </w:tr>
    </w:tbl>
    <w:p>
      <w:pPr>
        <w:spacing w:after="0" w:line="132" w:lineRule="exact"/>
        <w:rPr>
          <w:sz w:val="20"/>
          <w:szCs w:val="20"/>
          <w:color w:val="auto"/>
        </w:rPr>
      </w:pPr>
    </w:p>
    <w:p>
      <w:pPr>
        <w:jc w:val="both"/>
        <w:ind w:left="760" w:hanging="752"/>
        <w:spacing w:after="0" w:line="250" w:lineRule="auto"/>
        <w:tabs>
          <w:tab w:leader="none" w:pos="76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Tooling and Automation</w:t>
      </w:r>
      <w:r>
        <w:rPr>
          <w:rFonts w:ascii="Times New Roman" w:cs="Times New Roman" w:eastAsia="Times New Roman" w:hAnsi="Times New Roman"/>
          <w:sz w:val="20"/>
          <w:szCs w:val="20"/>
          <w:color w:val="auto"/>
        </w:rPr>
        <w:t>. With respect to any of APIs provided by OneWeb, Distribution Partner shall (1) adopt such API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interfaces and choose their technical stack to interface therewith; and (2) be responsible for making any modifications and associated costs for interfacing with such APIs. With respect to any Digital Products provided by OneWeb, (i) OneWeb shall provide access to Digital Products to only Named Authorized Users; and (ii) Distribution Partner shall be:</w:t>
      </w:r>
    </w:p>
    <w:p>
      <w:pPr>
        <w:spacing w:after="0" w:line="124" w:lineRule="exact"/>
        <w:rPr>
          <w:rFonts w:ascii="Times New Roman" w:cs="Times New Roman" w:eastAsia="Times New Roman" w:hAnsi="Times New Roman"/>
          <w:sz w:val="20"/>
          <w:szCs w:val="20"/>
          <w:b w:val="1"/>
          <w:bCs w:val="1"/>
          <w:color w:val="auto"/>
        </w:rPr>
      </w:pPr>
    </w:p>
    <w:p>
      <w:pPr>
        <w:ind w:left="1500" w:hanging="743"/>
        <w:spacing w:after="0" w:line="295" w:lineRule="auto"/>
        <w:tabs>
          <w:tab w:leader="none" w:pos="1500"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responsible and liable for all acts and/or omissions of Named Authorized Users, including, without limitation, any conduct occurring under such Named Authorized Users account even if such conduct was not authorized by Distribution Partner;</w:t>
      </w:r>
    </w:p>
    <w:p>
      <w:pPr>
        <w:spacing w:after="0" w:line="83" w:lineRule="exact"/>
        <w:rPr>
          <w:rFonts w:ascii="Times New Roman" w:cs="Times New Roman" w:eastAsia="Times New Roman" w:hAnsi="Times New Roman"/>
          <w:sz w:val="19"/>
          <w:szCs w:val="19"/>
          <w:color w:val="auto"/>
        </w:rPr>
      </w:pPr>
    </w:p>
    <w:p>
      <w:pPr>
        <w:jc w:val="both"/>
        <w:ind w:left="1500" w:hanging="743"/>
        <w:spacing w:after="0" w:line="253" w:lineRule="auto"/>
        <w:tabs>
          <w:tab w:leader="none" w:pos="150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in charge of the distribution, management and maintenance of each Named Authorized Users unique account (including, without limitation, the associated password and ensuring each Named Authorized Users account is not used by more than one employee of Distribution Partner); and</w:t>
      </w:r>
    </w:p>
    <w:p>
      <w:pPr>
        <w:spacing w:after="0" w:line="122"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terminate access to any person who ceases to be or qualify as a Named Authorized User.</w:t>
      </w:r>
    </w:p>
    <w:p>
      <w:pPr>
        <w:spacing w:after="0" w:line="157" w:lineRule="exact"/>
        <w:rPr>
          <w:sz w:val="20"/>
          <w:szCs w:val="20"/>
          <w:color w:val="auto"/>
        </w:rPr>
      </w:pPr>
    </w:p>
    <w:p>
      <w:pPr>
        <w:ind w:left="760" w:hanging="752"/>
        <w:spacing w:after="0"/>
        <w:tabs>
          <w:tab w:leader="none" w:pos="760" w:val="left"/>
        </w:tabs>
        <w:numPr>
          <w:ilvl w:val="0"/>
          <w:numId w:val="10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VOLUME PLAN SPECIFIC PROVISIONS</w:t>
      </w:r>
    </w:p>
    <w:p>
      <w:pPr>
        <w:spacing w:after="0" w:line="161" w:lineRule="exact"/>
        <w:rPr>
          <w:sz w:val="20"/>
          <w:szCs w:val="20"/>
          <w:color w:val="auto"/>
        </w:rPr>
      </w:pPr>
    </w:p>
    <w:p>
      <w:pPr>
        <w:jc w:val="both"/>
        <w:ind w:left="760" w:hanging="752"/>
        <w:spacing w:after="0" w:line="255" w:lineRule="auto"/>
        <w:tabs>
          <w:tab w:leader="none" w:pos="76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Overages and Additional Data Increment Purchases</w:t>
      </w:r>
      <w:r>
        <w:rPr>
          <w:rFonts w:ascii="Times New Roman" w:cs="Times New Roman" w:eastAsia="Times New Roman" w:hAnsi="Times New Roman"/>
          <w:sz w:val="20"/>
          <w:szCs w:val="20"/>
          <w:color w:val="auto"/>
        </w:rPr>
        <w:t>. If the maximum allowed Volume Allowance on any Volume Plan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reached before the end of the applicable billing cycle, OneWeb provides of the following options to Distribution Partner to ensure continuation of the OneWeb Service:</w:t>
      </w:r>
    </w:p>
    <w:p>
      <w:pPr>
        <w:spacing w:after="0" w:line="120" w:lineRule="exact"/>
        <w:rPr>
          <w:rFonts w:ascii="Times New Roman" w:cs="Times New Roman" w:eastAsia="Times New Roman" w:hAnsi="Times New Roman"/>
          <w:sz w:val="20"/>
          <w:szCs w:val="20"/>
          <w:b w:val="1"/>
          <w:bCs w:val="1"/>
          <w:color w:val="auto"/>
        </w:rPr>
      </w:pPr>
    </w:p>
    <w:p>
      <w:pPr>
        <w:jc w:val="both"/>
        <w:ind w:left="1500" w:hanging="743"/>
        <w:spacing w:after="0" w:line="253" w:lineRule="auto"/>
        <w:tabs>
          <w:tab w:leader="none" w:pos="15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Automatic Agreed To Addition: Data increments are automatically added to the Volume Plan when the maximum allowed Volume Allowance has been reached at the size and cost of such data increments provided for in Exhibit 1 of this Agreement; or</w:t>
      </w:r>
    </w:p>
    <w:p>
      <w:pPr>
        <w:spacing w:after="0" w:line="122" w:lineRule="exact"/>
        <w:rPr>
          <w:rFonts w:ascii="Times New Roman" w:cs="Times New Roman" w:eastAsia="Times New Roman" w:hAnsi="Times New Roman"/>
          <w:sz w:val="20"/>
          <w:szCs w:val="20"/>
          <w:color w:val="auto"/>
        </w:rPr>
      </w:pPr>
    </w:p>
    <w:p>
      <w:pPr>
        <w:ind w:left="1500" w:hanging="743"/>
        <w:spacing w:after="0" w:line="268" w:lineRule="auto"/>
        <w:tabs>
          <w:tab w:leader="none" w:pos="15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Orders Required: Data increments are ordered by Distribution Partner - at any time within a billing cycle - and added to the Volume Plan only after such Order is processed by</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OneWeb at the size and cost of such data increments provided for in Exhibit 1 of this Agreement. If additional data increments are needed but not ordered by Distribution Partner, OneWeb shall continue the OneWeb Service and Distribution Partner shall be charged - and is responsible - until the end of the applicable billing cycle for every additional data increment used at the size and cost of such data increments provided for in Exhibit 1 of this Agreement.</w:t>
      </w:r>
    </w:p>
    <w:p>
      <w:pPr>
        <w:spacing w:after="0" w:line="120" w:lineRule="exact"/>
        <w:rPr>
          <w:sz w:val="20"/>
          <w:szCs w:val="20"/>
          <w:color w:val="auto"/>
        </w:rPr>
      </w:pPr>
    </w:p>
    <w:p>
      <w:pPr>
        <w:ind w:left="760" w:hanging="752"/>
        <w:spacing w:after="0"/>
        <w:tabs>
          <w:tab w:leader="none" w:pos="76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Measurement under Volume Plans</w:t>
      </w:r>
      <w:r>
        <w:rPr>
          <w:rFonts w:ascii="Times New Roman" w:cs="Times New Roman" w:eastAsia="Times New Roman" w:hAnsi="Times New Roman"/>
          <w:sz w:val="20"/>
          <w:szCs w:val="20"/>
          <w:color w:val="auto"/>
        </w:rPr>
        <w:t>. The following applies for all Volume Plans:</w:t>
      </w:r>
    </w:p>
    <w:p>
      <w:pPr>
        <w:spacing w:after="0" w:line="165" w:lineRule="exact"/>
        <w:rPr>
          <w:rFonts w:ascii="Times New Roman" w:cs="Times New Roman" w:eastAsia="Times New Roman" w:hAnsi="Times New Roman"/>
          <w:sz w:val="20"/>
          <w:szCs w:val="20"/>
          <w:b w:val="1"/>
          <w:bCs w:val="1"/>
          <w:color w:val="auto"/>
        </w:rPr>
      </w:pPr>
    </w:p>
    <w:p>
      <w:pPr>
        <w:ind w:left="1500" w:hanging="743"/>
        <w:spacing w:after="0"/>
        <w:tabs>
          <w:tab w:leader="none" w:pos="15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Monthly data usage resets to zero at the end of a billing cycle;</w:t>
      </w:r>
    </w:p>
    <w:p>
      <w:pPr>
        <w:spacing w:after="0" w:line="161" w:lineRule="exact"/>
        <w:rPr>
          <w:rFonts w:ascii="Times New Roman" w:cs="Times New Roman" w:eastAsia="Times New Roman" w:hAnsi="Times New Roman"/>
          <w:sz w:val="20"/>
          <w:szCs w:val="20"/>
          <w:color w:val="auto"/>
        </w:rPr>
      </w:pPr>
    </w:p>
    <w:p>
      <w:pPr>
        <w:jc w:val="both"/>
        <w:ind w:left="1500" w:hanging="743"/>
        <w:spacing w:after="0" w:line="253" w:lineRule="auto"/>
        <w:tabs>
          <w:tab w:leader="none" w:pos="15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unused data from the maximum allowed Volume Allowance or added data increments purchased under Section 7A of this Exhibit 2 do not carry over to the next billing cycle and thereafter, such unused data / added data increments expire and are no longer usable; and</w:t>
      </w:r>
    </w:p>
    <w:p>
      <w:pPr>
        <w:spacing w:after="0" w:line="122"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data measurement increment is always rounded up to the nearest GB.</w:t>
      </w:r>
    </w:p>
    <w:p>
      <w:pPr>
        <w:spacing w:after="0" w:line="157" w:lineRule="exact"/>
        <w:rPr>
          <w:rFonts w:ascii="Times New Roman" w:cs="Times New Roman" w:eastAsia="Times New Roman" w:hAnsi="Times New Roman"/>
          <w:sz w:val="20"/>
          <w:szCs w:val="20"/>
          <w:color w:val="auto"/>
        </w:rPr>
      </w:pPr>
    </w:p>
    <w:p>
      <w:pPr>
        <w:jc w:val="both"/>
        <w:ind w:left="760" w:hanging="752"/>
        <w:spacing w:after="0" w:line="244" w:lineRule="auto"/>
        <w:tabs>
          <w:tab w:leader="none" w:pos="76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 Suspension under Multi-Site Volume Plans</w:t>
      </w:r>
      <w:r>
        <w:rPr>
          <w:rFonts w:ascii="Times New Roman" w:cs="Times New Roman" w:eastAsia="Times New Roman" w:hAnsi="Times New Roman"/>
          <w:sz w:val="20"/>
          <w:szCs w:val="20"/>
          <w:color w:val="auto"/>
        </w:rPr>
        <w:t>. For Multi-Site Dynamic Aggregate Volume Plans or Multi-Site Fixed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Volume Plans that expressly allow for individual Specific Site suspension and reactivation in Exhibit 1 of this Agreement, Distribution Partner shall notify OneWeb of the suspension and reactivation dates for a Specific Site no later than thirty (30) days prior to the start of any applicable suspension or reactivation. Thereafter, and solely as it relates to Multi-Site Dynamic Aggregate Volume Plans, the Dynamic Volume Allowance will be decreased for suspensions or increased for reactivations and allocated the correct proportion of the suspended or reactivated Specific Site’s designated Volume Allowance in a given Market Offer based the remaining days left in the affected billing cycle.</w:t>
      </w:r>
    </w:p>
    <w:p>
      <w:pPr>
        <w:spacing w:after="0" w:line="3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3" w:name="page74"/>
    <w:bookmarkEnd w:id="73"/>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Attachment 1 to Exhibit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Reseller Certificate</w:t>
      </w:r>
    </w:p>
    <w:p>
      <w:pPr>
        <w:jc w:val="center"/>
        <w:spacing w:after="0"/>
        <w:rPr>
          <w:sz w:val="20"/>
          <w:szCs w:val="20"/>
          <w:color w:val="auto"/>
        </w:rPr>
      </w:pPr>
      <w:r>
        <w:rPr>
          <w:rFonts w:ascii="Times New Roman" w:cs="Times New Roman" w:eastAsia="Times New Roman" w:hAnsi="Times New Roman"/>
          <w:sz w:val="20"/>
          <w:szCs w:val="20"/>
          <w:b w:val="1"/>
          <w:bCs w:val="1"/>
          <w:color w:val="auto"/>
        </w:rPr>
        <w:t>(SUBJECT TO UNIVERSAL SERVICE FUND ONLY)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Federal Universal Service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Form for OneWeb/DP</w:t>
      </w:r>
    </w:p>
    <w:p>
      <w:pPr>
        <w:spacing w:after="0" w:line="13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0"/>
          <w:szCs w:val="20"/>
          <w:i w:val="1"/>
          <w:iCs w:val="1"/>
          <w:color w:val="auto"/>
        </w:rPr>
        <w:t>Please check the appropriate box, complete certification section and return to OneWeb not later than thirty (30) days after execution of this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company purchases all services for resale.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company purchases all services in the account numbers listed below for resale.</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Account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company purchases the services identified below for resale.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-961390</wp:posOffset>
            </wp:positionV>
            <wp:extent cx="2491740" cy="6934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2491740" cy="693420"/>
                    </a:xfrm>
                    <a:prstGeom prst="rect">
                      <a:avLst/>
                    </a:prstGeom>
                    <a:noFill/>
                  </pic:spPr>
                </pic:pic>
              </a:graphicData>
            </a:graphic>
          </wp:anchor>
        </w:drawing>
      </w:r>
    </w:p>
    <w:p>
      <w:pPr>
        <w:spacing w:after="0" w:line="144" w:lineRule="exact"/>
        <w:rPr>
          <w:sz w:val="20"/>
          <w:szCs w:val="20"/>
          <w:color w:val="auto"/>
        </w:rPr>
      </w:pPr>
    </w:p>
    <w:tbl>
      <w:tblPr>
        <w:tblLayout w:type="fixed"/>
        <w:tblInd w:w="730" w:type="dxa"/>
        <w:tblCellMar>
          <w:top w:w="0" w:type="dxa"/>
          <w:left w:w="0" w:type="dxa"/>
          <w:bottom w:w="0" w:type="dxa"/>
          <w:right w:w="0" w:type="dxa"/>
        </w:tblCellMar>
      </w:tblPr>
      <w:tr>
        <w:trPr>
          <w:trHeight w:val="27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Account Number</w:t>
            </w:r>
          </w:p>
        </w:tc>
        <w:tc>
          <w:tcPr>
            <w:tcW w:w="59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Identification of Resale Services</w:t>
            </w:r>
          </w:p>
        </w:tc>
      </w:tr>
      <w:tr>
        <w:trPr>
          <w:trHeight w:val="250"/>
        </w:trPr>
        <w:tc>
          <w:tcPr>
            <w:tcW w:w="4420" w:type="dxa"/>
            <w:vAlign w:val="bottom"/>
            <w:tcBorders>
              <w:left w:val="single" w:sz="8" w:color="auto"/>
              <w:bottom w:val="single" w:sz="8" w:color="auto"/>
              <w:right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spacing w:after="0"/>
              <w:rPr>
                <w:sz w:val="21"/>
                <w:szCs w:val="21"/>
                <w:color w:val="auto"/>
              </w:rPr>
            </w:pPr>
          </w:p>
        </w:tc>
      </w:tr>
      <w:tr>
        <w:trPr>
          <w:trHeight w:val="246"/>
        </w:trPr>
        <w:tc>
          <w:tcPr>
            <w:tcW w:w="4420" w:type="dxa"/>
            <w:vAlign w:val="bottom"/>
            <w:tcBorders>
              <w:left w:val="single" w:sz="8" w:color="auto"/>
              <w:bottom w:val="single" w:sz="8" w:color="auto"/>
              <w:right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spacing w:after="0"/>
              <w:rPr>
                <w:sz w:val="21"/>
                <w:szCs w:val="21"/>
                <w:color w:val="auto"/>
              </w:rPr>
            </w:pPr>
          </w:p>
        </w:tc>
      </w:tr>
    </w:tbl>
    <w:p>
      <w:pPr>
        <w:spacing w:after="0" w:line="29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i w:val="1"/>
          <w:iCs w:val="1"/>
          <w:color w:val="auto"/>
        </w:rPr>
        <w:t>I certify under penalty of perjury that my company is purchasing service(s) for resale, at least in part, and that my company is incorporating the purchased services into its own offerings which are, at least in part, assessable U.S. telecommunications or interconnected Voice over Internet Protocol (“VoIP”) services. I also certify under penalty of perjury that my company either directly contributes or has a reasonable expectation that another entity in the downstream chain of resellers directly contributes to the federal universal service support mechanisms on the assessable portion of revenues from offerings that incorporate the purchased services.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Full Legal Name of DP:</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______________________________________</w:t>
            </w:r>
          </w:p>
        </w:tc>
      </w:tr>
      <w:tr>
        <w:trPr>
          <w:trHeight w:val="270"/>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Legal Address:</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w:t>
            </w:r>
          </w:p>
        </w:tc>
      </w:tr>
      <w:tr>
        <w:trPr>
          <w:trHeight w:val="849"/>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Form 499 Filer ID:</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w:t>
            </w:r>
          </w:p>
        </w:tc>
      </w:tr>
      <w:tr>
        <w:trPr>
          <w:trHeight w:val="632"/>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Certified by:</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w:t>
            </w:r>
          </w:p>
        </w:tc>
      </w:tr>
      <w:tr>
        <w:trPr>
          <w:trHeight w:val="256"/>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Name:</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w:t>
            </w:r>
          </w:p>
        </w:tc>
      </w:tr>
      <w:tr>
        <w:trPr>
          <w:trHeight w:val="256"/>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Title:</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w:t>
            </w:r>
          </w:p>
        </w:tc>
      </w:tr>
      <w:tr>
        <w:trPr>
          <w:trHeight w:val="258"/>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Date:</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w:t>
            </w:r>
          </w:p>
        </w:tc>
      </w:tr>
      <w:tr>
        <w:trPr>
          <w:trHeight w:val="740"/>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Name of Contact Person:</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w:t>
            </w:r>
          </w:p>
        </w:tc>
      </w:tr>
      <w:tr>
        <w:trPr>
          <w:trHeight w:val="258"/>
        </w:trPr>
        <w:tc>
          <w:tcPr>
            <w:tcW w:w="45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Phone and Email of Contact Person:</w:t>
            </w:r>
          </w:p>
        </w:tc>
        <w:tc>
          <w:tcPr>
            <w:tcW w:w="6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_____________________________________</w:t>
            </w:r>
          </w:p>
        </w:tc>
      </w:tr>
      <w:tr>
        <w:trPr>
          <w:trHeight w:val="715"/>
        </w:trPr>
        <w:tc>
          <w:tcPr>
            <w:tcW w:w="4500" w:type="dxa"/>
            <w:vAlign w:val="bottom"/>
          </w:tcPr>
          <w:p>
            <w:pPr>
              <w:spacing w:after="0"/>
              <w:rPr>
                <w:sz w:val="24"/>
                <w:szCs w:val="24"/>
                <w:color w:val="auto"/>
              </w:rPr>
            </w:pPr>
          </w:p>
        </w:tc>
        <w:tc>
          <w:tcPr>
            <w:tcW w:w="67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12</w:t>
            </w:r>
          </w:p>
        </w:tc>
      </w:tr>
      <w:tr>
        <w:trPr>
          <w:trHeight w:val="931"/>
        </w:trPr>
        <w:tc>
          <w:tcPr>
            <w:tcW w:w="45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4" w:name="page75"/>
    <w:bookmarkEnd w:id="74"/>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Distribution Partner’s Obligations to Sub-Distributors and End Users; and Required Flow-down Provisions in all Service Contracts</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This Exhibit 3 contains the following two (2) parts: </w:t>
      </w:r>
      <w:r>
        <w:rPr>
          <w:rFonts w:ascii="Times New Roman" w:cs="Times New Roman" w:eastAsia="Times New Roman" w:hAnsi="Times New Roman"/>
          <w:sz w:val="20"/>
          <w:szCs w:val="20"/>
          <w:u w:val="single" w:color="auto"/>
          <w:color w:val="auto"/>
        </w:rPr>
        <w:t>Part I</w:t>
      </w:r>
      <w:r>
        <w:rPr>
          <w:rFonts w:ascii="Times New Roman" w:cs="Times New Roman" w:eastAsia="Times New Roman" w:hAnsi="Times New Roman"/>
          <w:sz w:val="20"/>
          <w:szCs w:val="20"/>
          <w:color w:val="auto"/>
        </w:rPr>
        <w:t xml:space="preserve">, Distribution Partner’s general obligations to its Sub-Distributors and End Users; and </w:t>
      </w:r>
      <w:r>
        <w:rPr>
          <w:rFonts w:ascii="Times New Roman" w:cs="Times New Roman" w:eastAsia="Times New Roman" w:hAnsi="Times New Roman"/>
          <w:sz w:val="20"/>
          <w:szCs w:val="20"/>
          <w:u w:val="single" w:color="auto"/>
          <w:color w:val="auto"/>
        </w:rPr>
        <w:t>Part II</w:t>
      </w:r>
      <w:r>
        <w:rPr>
          <w:rFonts w:ascii="Times New Roman" w:cs="Times New Roman" w:eastAsia="Times New Roman" w:hAnsi="Times New Roman"/>
          <w:sz w:val="20"/>
          <w:szCs w:val="20"/>
          <w:color w:val="auto"/>
        </w:rPr>
        <w:t>, providing Distribution Partner (and its Sub-Distributors, as applicable) with the specific flow-down provisions required in all Service Contracts and which apply where Distribution Partner is itself an End User. Unless otherwise specified herein, capitalized terms used in Exhibit 3 will have the meanings attributed to them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 -</w:t>
      </w:r>
      <w:r>
        <w:rPr>
          <w:rFonts w:ascii="Times New Roman" w:cs="Times New Roman" w:eastAsia="Times New Roman" w:hAnsi="Times New Roman"/>
          <w:sz w:val="20"/>
          <w:szCs w:val="20"/>
          <w:b w:val="1"/>
          <w:bCs w:val="1"/>
          <w:color w:val="auto"/>
        </w:rPr>
        <w:t xml:space="preserve"> General Obligations of Distribution Partner to Sub-Distributors and End Users.</w:t>
      </w:r>
    </w:p>
    <w:p>
      <w:pPr>
        <w:spacing w:after="0" w:line="219" w:lineRule="exact"/>
        <w:rPr>
          <w:sz w:val="20"/>
          <w:szCs w:val="20"/>
          <w:color w:val="auto"/>
        </w:rPr>
      </w:pPr>
    </w:p>
    <w:p>
      <w:pPr>
        <w:jc w:val="both"/>
        <w:ind w:left="760" w:hanging="752"/>
        <w:spacing w:after="0" w:line="245" w:lineRule="auto"/>
        <w:tabs>
          <w:tab w:leader="none" w:pos="7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Sub-Distributors and/or End Users, Distribution Partner shall (1) enter into Service Contracts (and/or cause its Sub-Distributors to do the same with respect to End Users and Sub-Distributors as applicable); (2) ensure Sub-Distributor and/or End User abide by the terms and conditions of its applicable Service Contract; and (3) provide only the OneWeb Approved Equipment to be used solely with the OneWeb Service. Additionally, and where Distribution Partner is itself an End User, (A) Part II(b) of this Exhibit 3 shall apply to Distribution Partner and Distribution Partner shall abide by all such terms and conditions contained therein as an End User; and (B) no separate Service Contract shall be required.</w:t>
      </w:r>
    </w:p>
    <w:p>
      <w:pPr>
        <w:spacing w:after="0" w:line="128" w:lineRule="exact"/>
        <w:rPr>
          <w:rFonts w:ascii="Times New Roman" w:cs="Times New Roman" w:eastAsia="Times New Roman" w:hAnsi="Times New Roman"/>
          <w:sz w:val="20"/>
          <w:szCs w:val="20"/>
          <w:color w:val="auto"/>
        </w:rPr>
      </w:pPr>
    </w:p>
    <w:p>
      <w:pPr>
        <w:ind w:left="760" w:hanging="752"/>
        <w:spacing w:after="0" w:line="268" w:lineRule="auto"/>
        <w:tabs>
          <w:tab w:leader="none" w:pos="7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Partner may use its own template for any Service Contracts so long as each Service Contract meets the following requirements:</w:t>
      </w:r>
    </w:p>
    <w:p>
      <w:pPr>
        <w:spacing w:after="0" w:line="106" w:lineRule="exact"/>
        <w:rPr>
          <w:rFonts w:ascii="Times New Roman" w:cs="Times New Roman" w:eastAsia="Times New Roman" w:hAnsi="Times New Roman"/>
          <w:sz w:val="20"/>
          <w:szCs w:val="20"/>
          <w:color w:val="auto"/>
        </w:rPr>
      </w:pPr>
    </w:p>
    <w:p>
      <w:pPr>
        <w:ind w:left="1500" w:hanging="690"/>
        <w:spacing w:after="0" w:line="249" w:lineRule="auto"/>
        <w:tabs>
          <w:tab w:leader="none" w:pos="12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contains, at a minimum: (A) when a Service Contract is with a Sub-Distributor, or terms that are consistent with and no less restrictive than those required Sub-Distributor flow-down provisions provided below in </w:t>
      </w:r>
      <w:r>
        <w:rPr>
          <w:rFonts w:ascii="Times New Roman" w:cs="Times New Roman" w:eastAsia="Times New Roman" w:hAnsi="Times New Roman"/>
          <w:sz w:val="20"/>
          <w:szCs w:val="20"/>
          <w:u w:val="single" w:color="auto"/>
          <w:color w:val="auto"/>
        </w:rPr>
        <w:t>Part II</w:t>
      </w:r>
      <w:r>
        <w:rPr>
          <w:rFonts w:ascii="Times New Roman" w:cs="Times New Roman" w:eastAsia="Times New Roman" w:hAnsi="Times New Roman"/>
          <w:sz w:val="20"/>
          <w:szCs w:val="20"/>
          <w:color w:val="auto"/>
        </w:rPr>
        <w:t xml:space="preserve">(a); and (B) when a Service Contract is with an End User, or terms that are consistent with and no less restrictive than those required End User flow-down provisions provided below in </w:t>
      </w:r>
      <w:r>
        <w:rPr>
          <w:rFonts w:ascii="Times New Roman" w:cs="Times New Roman" w:eastAsia="Times New Roman" w:hAnsi="Times New Roman"/>
          <w:sz w:val="20"/>
          <w:szCs w:val="20"/>
          <w:u w:val="single" w:color="auto"/>
          <w:color w:val="auto"/>
        </w:rPr>
        <w:t>Part II</w:t>
      </w:r>
      <w:r>
        <w:rPr>
          <w:rFonts w:ascii="Times New Roman" w:cs="Times New Roman" w:eastAsia="Times New Roman" w:hAnsi="Times New Roman"/>
          <w:sz w:val="20"/>
          <w:szCs w:val="20"/>
          <w:color w:val="auto"/>
        </w:rPr>
        <w:t>(b) (the “</w:t>
      </w:r>
      <w:r>
        <w:rPr>
          <w:rFonts w:ascii="Times New Roman" w:cs="Times New Roman" w:eastAsia="Times New Roman" w:hAnsi="Times New Roman"/>
          <w:sz w:val="20"/>
          <w:szCs w:val="20"/>
          <w:b w:val="1"/>
          <w:bCs w:val="1"/>
          <w:color w:val="auto"/>
        </w:rPr>
        <w:t>End User Flow-down Provisions</w:t>
      </w:r>
      <w:r>
        <w:rPr>
          <w:rFonts w:ascii="Times New Roman" w:cs="Times New Roman" w:eastAsia="Times New Roman" w:hAnsi="Times New Roman"/>
          <w:sz w:val="20"/>
          <w:szCs w:val="20"/>
          <w:color w:val="auto"/>
        </w:rPr>
        <w:t>”); and</w:t>
      </w:r>
    </w:p>
    <w:p>
      <w:pPr>
        <w:spacing w:after="0" w:line="124" w:lineRule="exact"/>
        <w:rPr>
          <w:rFonts w:ascii="Times New Roman" w:cs="Times New Roman" w:eastAsia="Times New Roman" w:hAnsi="Times New Roman"/>
          <w:sz w:val="20"/>
          <w:szCs w:val="20"/>
          <w:color w:val="auto"/>
        </w:rPr>
      </w:pPr>
    </w:p>
    <w:p>
      <w:pPr>
        <w:ind w:left="1500" w:right="20" w:hanging="690"/>
        <w:spacing w:after="0" w:line="268" w:lineRule="auto"/>
        <w:tabs>
          <w:tab w:leader="none" w:pos="12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contain any terms or conditions that are inconsistent with the terms and conditions of this Agreement (including, without limitation, this Exhibit 3).</w:t>
      </w:r>
    </w:p>
    <w:p>
      <w:pPr>
        <w:spacing w:after="0" w:line="106" w:lineRule="exact"/>
        <w:rPr>
          <w:rFonts w:ascii="Times New Roman" w:cs="Times New Roman" w:eastAsia="Times New Roman" w:hAnsi="Times New Roman"/>
          <w:sz w:val="20"/>
          <w:szCs w:val="20"/>
          <w:color w:val="auto"/>
        </w:rPr>
      </w:pPr>
    </w:p>
    <w:p>
      <w:pPr>
        <w:ind w:left="760" w:hanging="752"/>
        <w:spacing w:after="0" w:line="268" w:lineRule="auto"/>
        <w:tabs>
          <w:tab w:leader="none" w:pos="7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and with respect to all Service Contracts, Distribution Partner shall be solely responsible (at its expense) for the following:</w:t>
      </w:r>
    </w:p>
    <w:p>
      <w:pPr>
        <w:spacing w:after="0" w:line="106"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acts or omissions by each Sub-Distributor and/or End User in violation of its applicable Service Contract;</w:t>
      </w:r>
    </w:p>
    <w:p>
      <w:pPr>
        <w:spacing w:after="0" w:line="161" w:lineRule="exact"/>
        <w:rPr>
          <w:rFonts w:ascii="Times New Roman" w:cs="Times New Roman" w:eastAsia="Times New Roman" w:hAnsi="Times New Roman"/>
          <w:sz w:val="20"/>
          <w:szCs w:val="20"/>
          <w:color w:val="auto"/>
        </w:rPr>
      </w:pPr>
    </w:p>
    <w:p>
      <w:pPr>
        <w:ind w:left="1500" w:hanging="690"/>
        <w:spacing w:after="0" w:line="249" w:lineRule="auto"/>
        <w:tabs>
          <w:tab w:leader="none" w:pos="12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all obligations set forth in any Service Contract including, without limitation, performing and providing all necessary (A) credit risk / know your customer analysis related thereto, (B) accounting, billing, and collections activities related thereto and (C) support to resolve all technical and non-technical issues in connection with Sub-Distributors distribution of the OneWeb Services and/or End User’s access and use of the OneWeb Services; and</w:t>
      </w:r>
    </w:p>
    <w:p>
      <w:pPr>
        <w:spacing w:after="0" w:line="124" w:lineRule="exact"/>
        <w:rPr>
          <w:rFonts w:ascii="Times New Roman" w:cs="Times New Roman" w:eastAsia="Times New Roman" w:hAnsi="Times New Roman"/>
          <w:sz w:val="20"/>
          <w:szCs w:val="20"/>
          <w:color w:val="auto"/>
        </w:rPr>
      </w:pPr>
    </w:p>
    <w:p>
      <w:pPr>
        <w:ind w:left="1500" w:right="20" w:hanging="690"/>
        <w:spacing w:after="0" w:line="268" w:lineRule="auto"/>
        <w:tabs>
          <w:tab w:leader="none" w:pos="12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enforcing any provisions of a Service Contract against the applicable Sub-Distributor and/or End User when requested to do so by OneWeb.</w:t>
      </w:r>
    </w:p>
    <w:p>
      <w:pPr>
        <w:spacing w:after="0" w:line="106" w:lineRule="exact"/>
        <w:rPr>
          <w:rFonts w:ascii="Times New Roman" w:cs="Times New Roman" w:eastAsia="Times New Roman" w:hAnsi="Times New Roman"/>
          <w:sz w:val="20"/>
          <w:szCs w:val="20"/>
          <w:color w:val="auto"/>
        </w:rPr>
      </w:pPr>
    </w:p>
    <w:p>
      <w:pPr>
        <w:ind w:left="760" w:hanging="752"/>
        <w:spacing w:after="0" w:line="268" w:lineRule="auto"/>
        <w:tabs>
          <w:tab w:leader="none" w:pos="7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in this Agreement to the contrary, all of Distribution Partner’s obligations to OneWeb in this Agreement (including, without limitation, its indemnification and</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20"/>
          <w:szCs w:val="20"/>
          <w:color w:val="auto"/>
        </w:rPr>
        <w:t>defense obligations to OneWeb) shall remain in full force and effect even in the event that Distribution Partner breaches its obligation in Part I(a)-(b) of this 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w:t>
      </w:r>
      <w:r>
        <w:rPr>
          <w:rFonts w:ascii="Times New Roman" w:cs="Times New Roman" w:eastAsia="Times New Roman" w:hAnsi="Times New Roman"/>
          <w:sz w:val="20"/>
          <w:szCs w:val="20"/>
          <w:b w:val="1"/>
          <w:bCs w:val="1"/>
          <w:color w:val="auto"/>
        </w:rPr>
        <w:t xml:space="preserve"> Required Flow-down Provisions in all Service Contracts.</w:t>
      </w:r>
    </w:p>
    <w:p>
      <w:pPr>
        <w:spacing w:after="0" w:line="219" w:lineRule="exact"/>
        <w:rPr>
          <w:sz w:val="20"/>
          <w:szCs w:val="20"/>
          <w:color w:val="auto"/>
        </w:rPr>
      </w:pPr>
    </w:p>
    <w:p>
      <w:pPr>
        <w:jc w:val="both"/>
        <w:ind w:left="760" w:hanging="752"/>
        <w:spacing w:after="0" w:line="242" w:lineRule="auto"/>
        <w:tabs>
          <w:tab w:leader="none" w:pos="760" w:val="left"/>
        </w:tabs>
        <w:numPr>
          <w:ilvl w:val="0"/>
          <w:numId w:val="11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Sub-Distributor Service Contracts</w:t>
      </w:r>
      <w:r>
        <w:rPr>
          <w:rFonts w:ascii="Times New Roman" w:cs="Times New Roman" w:eastAsia="Times New Roman" w:hAnsi="Times New Roman"/>
          <w:sz w:val="20"/>
          <w:szCs w:val="20"/>
          <w:color w:val="auto"/>
        </w:rPr>
        <w:t>. Through a Service Contract, and subject to the terms and conditions of this Agreement, Distribution Partner shall provide each of its Sub-Distributors and each of its Sub-Distributors shall accept, a limited, non-exclusive, non-transferable, non-sublicensable license to resell directly (or indirectly solely through its own Service Contract with its own Sub-Distributor) the OneWeb Services only to End Users on terms and conditions at least as restrictive as those on Distribution Partner, which are set forth in this Agreement. Prior to Sub-Distributor committing to provide the OneWeb Services to an End User, each End User shall enter into a Service Contract with Sub-Distributor that contains - at a minimum - the End User Flow-down Provisions (with changes made to the language below to account for Sub-Distributor being in privity of contract with End User rather than Distribution Partner) and does not contain any terms or conditions that are inconsistent with the terms and conditions of this Agreement (including, without limitation, those terms and conditions contained in this Exhibit 3). Upon written notice, each of Distribution Partner’s Service Contract with a Sub-Distributor is freely assignable - without Sub-Distributor’s consent - to OneWeb or any of its affiliates.</w:t>
      </w:r>
    </w:p>
    <w:p>
      <w:pPr>
        <w:spacing w:after="0" w:line="132" w:lineRule="exact"/>
        <w:rPr>
          <w:rFonts w:ascii="Times New Roman" w:cs="Times New Roman" w:eastAsia="Times New Roman" w:hAnsi="Times New Roman"/>
          <w:sz w:val="20"/>
          <w:szCs w:val="20"/>
          <w:u w:val="single" w:color="auto"/>
          <w:color w:val="auto"/>
        </w:rPr>
      </w:pPr>
    </w:p>
    <w:p>
      <w:pPr>
        <w:ind w:left="760" w:hanging="752"/>
        <w:spacing w:after="0" w:line="268" w:lineRule="auto"/>
        <w:tabs>
          <w:tab w:leader="none" w:pos="760" w:val="left"/>
        </w:tabs>
        <w:numPr>
          <w:ilvl w:val="0"/>
          <w:numId w:val="11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End User Service Contracts</w:t>
      </w:r>
      <w:r>
        <w:rPr>
          <w:rFonts w:ascii="Times New Roman" w:cs="Times New Roman" w:eastAsia="Times New Roman" w:hAnsi="Times New Roman"/>
          <w:sz w:val="20"/>
          <w:szCs w:val="20"/>
          <w:color w:val="auto"/>
        </w:rPr>
        <w:t>. The following provisions or terms that are consistent with and no less restrictive than these provisions are required in all Service Contracts with End Users:</w:t>
      </w:r>
    </w:p>
    <w:p>
      <w:pPr>
        <w:spacing w:after="0" w:line="200" w:lineRule="exact"/>
        <w:rPr>
          <w:sz w:val="20"/>
          <w:szCs w:val="20"/>
          <w:color w:val="auto"/>
        </w:rPr>
      </w:pPr>
    </w:p>
    <w:p>
      <w:pPr>
        <w:spacing w:after="0" w:line="284" w:lineRule="exact"/>
        <w:rPr>
          <w:sz w:val="20"/>
          <w:szCs w:val="20"/>
          <w:color w:val="auto"/>
        </w:rPr>
      </w:pPr>
    </w:p>
    <w:p>
      <w:pPr>
        <w:ind w:left="760" w:hanging="752"/>
        <w:spacing w:after="0" w:line="268" w:lineRule="auto"/>
        <w:tabs>
          <w:tab w:leader="none" w:pos="760"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Service Description</w:t>
      </w:r>
      <w:r>
        <w:rPr>
          <w:rFonts w:ascii="Times New Roman" w:cs="Times New Roman" w:eastAsia="Times New Roman" w:hAnsi="Times New Roman"/>
          <w:sz w:val="20"/>
          <w:szCs w:val="20"/>
          <w:color w:val="auto"/>
        </w:rPr>
        <w:t>. Subject to the terms and conditions of this Service Contract, Distribution Partner shall provide End User with the OneWeb Services.</w:t>
      </w:r>
    </w:p>
    <w:p>
      <w:pPr>
        <w:spacing w:after="0" w:line="106" w:lineRule="exact"/>
        <w:rPr>
          <w:rFonts w:ascii="Times New Roman" w:cs="Times New Roman" w:eastAsia="Times New Roman" w:hAnsi="Times New Roman"/>
          <w:sz w:val="20"/>
          <w:szCs w:val="20"/>
          <w:u w:val="single" w:color="auto"/>
          <w:color w:val="auto"/>
        </w:rPr>
      </w:pPr>
    </w:p>
    <w:p>
      <w:pPr>
        <w:ind w:left="1320" w:right="20" w:hanging="563"/>
        <w:spacing w:after="0" w:line="268" w:lineRule="auto"/>
        <w:tabs>
          <w:tab w:leader="none" w:pos="115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OneWeb Approved Equipment</w:t>
      </w:r>
      <w:r>
        <w:rPr>
          <w:rFonts w:ascii="Times New Roman" w:cs="Times New Roman" w:eastAsia="Times New Roman" w:hAnsi="Times New Roman"/>
          <w:sz w:val="20"/>
          <w:szCs w:val="20"/>
          <w:color w:val="auto"/>
        </w:rPr>
        <w:t>. The OneWeb Approved Equipment shall be used solely with respect to the OneWeb Services and the site address of the OneWeb Approved Equipment may not be changed without OneWeb’s consent.</w:t>
      </w:r>
    </w:p>
    <w:p>
      <w:pPr>
        <w:spacing w:after="0" w:line="106" w:lineRule="exact"/>
        <w:rPr>
          <w:rFonts w:ascii="Times New Roman" w:cs="Times New Roman" w:eastAsia="Times New Roman" w:hAnsi="Times New Roman"/>
          <w:sz w:val="20"/>
          <w:szCs w:val="20"/>
          <w:color w:val="auto"/>
        </w:rPr>
      </w:pPr>
    </w:p>
    <w:p>
      <w:pPr>
        <w:ind w:left="1320" w:hanging="563"/>
        <w:spacing w:after="0" w:line="268" w:lineRule="auto"/>
        <w:tabs>
          <w:tab w:leader="none" w:pos="115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End User Support</w:t>
      </w:r>
      <w:r>
        <w:rPr>
          <w:rFonts w:ascii="Times New Roman" w:cs="Times New Roman" w:eastAsia="Times New Roman" w:hAnsi="Times New Roman"/>
          <w:sz w:val="20"/>
          <w:szCs w:val="20"/>
          <w:color w:val="auto"/>
        </w:rPr>
        <w:t>. Distribution Partner shall provide twenty-four (24) hours a day, seven (7) days a week support for any and all issues with the OneWeb Services.</w:t>
      </w:r>
    </w:p>
    <w:p>
      <w:pPr>
        <w:spacing w:after="0" w:line="106" w:lineRule="exact"/>
        <w:rPr>
          <w:rFonts w:ascii="Times New Roman" w:cs="Times New Roman" w:eastAsia="Times New Roman" w:hAnsi="Times New Roman"/>
          <w:sz w:val="20"/>
          <w:szCs w:val="20"/>
          <w:color w:val="auto"/>
        </w:rPr>
      </w:pPr>
    </w:p>
    <w:p>
      <w:pPr>
        <w:jc w:val="both"/>
        <w:ind w:left="760" w:hanging="752"/>
        <w:spacing w:after="0" w:line="246" w:lineRule="auto"/>
        <w:tabs>
          <w:tab w:leader="none" w:pos="760"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End User Obligations</w:t>
      </w:r>
      <w:r>
        <w:rPr>
          <w:rFonts w:ascii="Times New Roman" w:cs="Times New Roman" w:eastAsia="Times New Roman" w:hAnsi="Times New Roman"/>
          <w:sz w:val="20"/>
          <w:szCs w:val="20"/>
          <w:color w:val="auto"/>
        </w:rPr>
        <w:t>. End User shall provide Distribution Partner with (i) all required provisioning information to enable OneWeb to fulfill End User’s order for the OneWeb Services; (ii) all other necessary information for OneWeb to resolve any other issues with End User (including, without limitation, End User’s use of the OneWeb Services); and (iii) immediate notice of any suspected security breach of any End User system connected to (or providing access to) the OneWeb Services and/or the OneWeb Network (including, without limitation, the OneWeb Approved Equipment).</w:t>
      </w:r>
    </w:p>
    <w:p>
      <w:pPr>
        <w:spacing w:after="0" w:line="129"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License Grant and Restrictions.</w:t>
      </w:r>
    </w:p>
    <w:p>
      <w:pPr>
        <w:spacing w:after="0" w:line="161" w:lineRule="exact"/>
        <w:rPr>
          <w:rFonts w:ascii="Times New Roman" w:cs="Times New Roman" w:eastAsia="Times New Roman" w:hAnsi="Times New Roman"/>
          <w:sz w:val="20"/>
          <w:szCs w:val="20"/>
          <w:u w:val="single" w:color="auto"/>
          <w:color w:val="auto"/>
        </w:rPr>
      </w:pPr>
    </w:p>
    <w:p>
      <w:pPr>
        <w:ind w:left="1500" w:hanging="690"/>
        <w:spacing w:after="0" w:line="246" w:lineRule="auto"/>
        <w:tabs>
          <w:tab w:leader="none" w:pos="1240" w:val="left"/>
        </w:tabs>
        <w:numPr>
          <w:ilvl w:val="2"/>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License Grant</w:t>
      </w:r>
      <w:r>
        <w:rPr>
          <w:rFonts w:ascii="Times New Roman" w:cs="Times New Roman" w:eastAsia="Times New Roman" w:hAnsi="Times New Roman"/>
          <w:sz w:val="20"/>
          <w:szCs w:val="20"/>
          <w:color w:val="auto"/>
        </w:rPr>
        <w:t>. End User hereby grants to Distribution Partner, OneWeb and/or each of their respective affiliates an irrevocable, perpetual, non-exclusive, royalty-free (for no additional remuneration whatsoever) license to any System Data in an anonymized manner for (A) all purposes for which Distribution Partner, OneWeb and/or each of their respective affiliates do business; (B) use for purposes of product and service enhancements and/or developments; and (C) use in any other commercial manner.</w:t>
      </w:r>
    </w:p>
    <w:p>
      <w:pPr>
        <w:spacing w:after="0" w:line="3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ind w:left="1500" w:hanging="690"/>
        <w:spacing w:after="0" w:line="246" w:lineRule="auto"/>
        <w:tabs>
          <w:tab w:leader="none" w:pos="121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End User shall not (A) copy, modify, disassemble, decompile, reverse engineer, create derivative works of, or make any other attempt to discover or obtain the source code for any of the software or systems which deliver the OneWeb Service; (B) create or attempt to create a substitute/competitive product or service using the OneWeb Service under any circumstances; and/or (C) permit either direct or indirect use of the OneWeb Service by any third party (except as expressly set forth in this Service Contract).</w:t>
      </w:r>
    </w:p>
    <w:p>
      <w:pPr>
        <w:spacing w:after="0" w:line="129" w:lineRule="exact"/>
        <w:rPr>
          <w:rFonts w:ascii="Times New Roman" w:cs="Times New Roman" w:eastAsia="Times New Roman" w:hAnsi="Times New Roman"/>
          <w:sz w:val="20"/>
          <w:szCs w:val="20"/>
          <w:color w:val="auto"/>
        </w:rPr>
      </w:pPr>
    </w:p>
    <w:p>
      <w:pPr>
        <w:ind w:left="1500" w:hanging="690"/>
        <w:spacing w:after="0" w:line="268" w:lineRule="auto"/>
        <w:tabs>
          <w:tab w:leader="none" w:pos="121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OneWeb Intellectual Property Rights</w:t>
      </w:r>
      <w:r>
        <w:rPr>
          <w:rFonts w:ascii="Times New Roman" w:cs="Times New Roman" w:eastAsia="Times New Roman" w:hAnsi="Times New Roman"/>
          <w:sz w:val="20"/>
          <w:szCs w:val="20"/>
          <w:color w:val="auto"/>
        </w:rPr>
        <w:t>. All Intellectual Property rights of OneWeb are deemed Confidential Information of OneWeb.</w:t>
      </w:r>
    </w:p>
    <w:p>
      <w:pPr>
        <w:spacing w:after="0" w:line="106"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u w:val="single" w:color="auto"/>
          <w:color w:val="auto"/>
        </w:rPr>
      </w:pPr>
    </w:p>
    <w:p>
      <w:pPr>
        <w:ind w:left="1500" w:hanging="690"/>
        <w:spacing w:after="0" w:line="245" w:lineRule="auto"/>
        <w:tabs>
          <w:tab w:leader="none" w:pos="12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End User represents, warrants and covenants that (A) use of the OneWeb Service is for its own internal use and not for resale (or to be bundled) by End User; (B) it has obtained any necessary consents and permissions for all provisioning information (however submitted) of End User and such provisioning information is accurate, reliable and complete, and that End User will update such provisioning information as needed on a timely basis; and (C) it shall not engage in any practices that may harm or be detrimental to OneWeb, the OneWeb Marks, OneWeb’s brand and/or the public image, reputation or goodwill of OneWeb.</w:t>
      </w:r>
    </w:p>
    <w:p>
      <w:pPr>
        <w:spacing w:after="0" w:line="128" w:lineRule="exact"/>
        <w:rPr>
          <w:rFonts w:ascii="Times New Roman" w:cs="Times New Roman" w:eastAsia="Times New Roman" w:hAnsi="Times New Roman"/>
          <w:sz w:val="20"/>
          <w:szCs w:val="20"/>
          <w:color w:val="auto"/>
        </w:rPr>
      </w:pPr>
    </w:p>
    <w:p>
      <w:pPr>
        <w:ind w:left="1500" w:hanging="690"/>
        <w:spacing w:after="0" w:line="244" w:lineRule="auto"/>
        <w:tabs>
          <w:tab w:leader="none" w:pos="12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End User represents, warrants and covenants to comply with all Laws (including, without limitation, Anti-Corruption Laws and all applicable export control laws and regulations) in connection with its performance under this Service Contract, including, without limitation, (A) obtaining and/or maintaining all regulatory and legal licenses and certifications, governmental or otherwise necessary for End User’s performance under this Service Contract; (B) furnishing to Distribution Partner all documentation legally required in connection with the exportation or importation of the OneWeb Services; and/or (C) complying with any conditions or restrictions on the provision of the OneWeb Services and/or the OneWeb Approved Equipment.</w:t>
      </w:r>
    </w:p>
    <w:p>
      <w:pPr>
        <w:spacing w:after="0" w:line="130" w:lineRule="exact"/>
        <w:rPr>
          <w:sz w:val="20"/>
          <w:szCs w:val="20"/>
          <w:color w:val="auto"/>
        </w:rPr>
      </w:pPr>
    </w:p>
    <w:p>
      <w:pPr>
        <w:ind w:left="1500" w:hanging="690"/>
        <w:spacing w:after="0" w:line="242" w:lineRule="auto"/>
        <w:tabs>
          <w:tab w:leader="none" w:pos="121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End User represents, warrants and covenants to (A) comply with all applicable Sanctions; and (B) not deliver, transfer, export, or re-export any of the OneWeb Services, hardware, software, technical data or other information, directly or indirectly, to any individual or entity that is: (w) designated or identified on any list of persons that are the subject or target of Sanctions, including, without limitation, the Specially Designated Nationals and Blocked Persons List, the Consolidated List of Persons, Groups and Entities Subject to EU Financial Sanctions and the Consolidated List of Financial Sanctions Targets in the UK; (x) located, organized or resident in a country or territory that is the subject of comprehensive Sanctions, including, as of the date hereof, Cuba, Iran, North Korea, Syria and the Crimea region of Ukraine; (y) owned or controlled by, or acting for on behalf of, any individual or entity described in the foregoing subsections (A) or (B); or (z) otherwise the subject or target of Sanctions.</w:t>
      </w:r>
    </w:p>
    <w:p>
      <w:pPr>
        <w:spacing w:after="0" w:line="137"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Termination and Suspension</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u w:val="single" w:color="auto"/>
          <w:color w:val="auto"/>
        </w:rPr>
      </w:pPr>
    </w:p>
    <w:p>
      <w:pPr>
        <w:ind w:left="1500" w:hanging="690"/>
        <w:spacing w:after="0" w:line="253" w:lineRule="auto"/>
        <w:tabs>
          <w:tab w:leader="none" w:pos="120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Distribution Partner Agreement between OneWeb and Distribution Partner under which the applicable OneWeb Services are resold to End User is terminated for any reason, then this Service Contract shall immediately terminate unless otherwise agreed to in writing by OneWeb.</w:t>
      </w:r>
    </w:p>
    <w:p>
      <w:pPr>
        <w:spacing w:after="0" w:line="122" w:lineRule="exact"/>
        <w:rPr>
          <w:rFonts w:ascii="Times New Roman" w:cs="Times New Roman" w:eastAsia="Times New Roman" w:hAnsi="Times New Roman"/>
          <w:sz w:val="20"/>
          <w:szCs w:val="20"/>
          <w:color w:val="auto"/>
        </w:rPr>
      </w:pPr>
    </w:p>
    <w:p>
      <w:pPr>
        <w:ind w:left="1500" w:right="20" w:hanging="690"/>
        <w:spacing w:after="0" w:line="268" w:lineRule="auto"/>
        <w:tabs>
          <w:tab w:leader="none" w:pos="120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Service Contract to the contrary and in addition to Distribution Partner’s rights set forth in this Service Contract or under applicable Laws,</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7" w:name="page78"/>
    <w:bookmarkEnd w:id="77"/>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Distribution Partner may - at its option but subject to the direction of OneWeb - either immediately terminate this Service Contract or suspend the provision of the OneWeb Services under this Service Contract upon notice to End User in the event that Distribution Partner and/or OneWeb determines, each in their sole discretion, that (A) End User has breached Part II(b)(3) (License Grant and Restrictions) and/or (ll)(b)(4) (Representations and Warranties); (B) End User does not have the necessary OneWeb Approved Equipment; (C) End User fails to pay fees when due under this Service Contract; and/or (D) End User has failed to comply with any provision of Part II(b)(8) (Acceptable Use Policy) herein.</w:t>
      </w:r>
    </w:p>
    <w:p>
      <w:pPr>
        <w:spacing w:after="0" w:line="129" w:lineRule="exact"/>
        <w:rPr>
          <w:sz w:val="20"/>
          <w:szCs w:val="20"/>
          <w:color w:val="auto"/>
        </w:rPr>
      </w:pPr>
    </w:p>
    <w:p>
      <w:pPr>
        <w:ind w:left="1500" w:hanging="690"/>
        <w:spacing w:after="0" w:line="246" w:lineRule="auto"/>
        <w:tabs>
          <w:tab w:leader="none" w:pos="120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of chronic, extreme or an ongoing violation of the AUP, as determined by OneWeb’s sole discretion without notice, the OneWeb Approved Equipment and/or End User’s use of the OneWeb Service and the OneWeb Network may be suspended by OneWeb, temporarily or permanently, and the OneWeb Services may be terminated by OneWeb if Distribution Partner fails to cause the OneWeb Approved Equipment and/or End User to cure the violating conditions within five (5) days following a subsequent notification from OneWeb to Distribution Partner of the same.</w:t>
      </w:r>
    </w:p>
    <w:p>
      <w:pPr>
        <w:spacing w:after="0" w:line="129" w:lineRule="exact"/>
        <w:rPr>
          <w:rFonts w:ascii="Times New Roman" w:cs="Times New Roman" w:eastAsia="Times New Roman" w:hAnsi="Times New Roman"/>
          <w:sz w:val="20"/>
          <w:szCs w:val="20"/>
          <w:color w:val="auto"/>
        </w:rPr>
      </w:pPr>
    </w:p>
    <w:p>
      <w:pPr>
        <w:ind w:left="760" w:hanging="752"/>
        <w:spacing w:after="0" w:line="268" w:lineRule="auto"/>
        <w:tabs>
          <w:tab w:leader="none" w:pos="760" w:val="left"/>
        </w:tabs>
        <w:numPr>
          <w:ilvl w:val="0"/>
          <w:numId w:val="1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Right of Indemnification Against OneWeb</w:t>
      </w:r>
      <w:r>
        <w:rPr>
          <w:rFonts w:ascii="Times New Roman" w:cs="Times New Roman" w:eastAsia="Times New Roman" w:hAnsi="Times New Roman"/>
          <w:sz w:val="20"/>
          <w:szCs w:val="20"/>
          <w:color w:val="auto"/>
        </w:rPr>
        <w:t>. End User acknowledges and agrees that it shall have no right to seek, and shall not seek, any indemnification (or defense obligations) from OneWeb.</w:t>
      </w:r>
    </w:p>
    <w:p>
      <w:pPr>
        <w:spacing w:after="0" w:line="106"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1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Conditions and Limitations and Disclaimer of Warranties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u w:val="single" w:color="auto"/>
          <w:color w:val="auto"/>
        </w:rPr>
      </w:pPr>
    </w:p>
    <w:p>
      <w:pPr>
        <w:ind w:left="1500" w:hanging="690"/>
        <w:spacing w:after="0" w:line="249" w:lineRule="auto"/>
        <w:tabs>
          <w:tab w:leader="none" w:pos="12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 User acknowledges and agrees that OneWeb and/or Distribution Partner may (A) share with each other any and all relevant information, including, but not limited to, Confidential Information of End User relating to this Service Contract and/or the OneWeb Services provided herein; and (B) request End User to take reasonable action against its end users or vendors directly to prevent a breach of this Service Contract.</w:t>
      </w:r>
    </w:p>
    <w:p>
      <w:pPr>
        <w:spacing w:after="0" w:line="124" w:lineRule="exact"/>
        <w:rPr>
          <w:rFonts w:ascii="Times New Roman" w:cs="Times New Roman" w:eastAsia="Times New Roman" w:hAnsi="Times New Roman"/>
          <w:sz w:val="20"/>
          <w:szCs w:val="20"/>
          <w:color w:val="auto"/>
        </w:rPr>
      </w:pPr>
    </w:p>
    <w:p>
      <w:pPr>
        <w:ind w:left="1500" w:hanging="690"/>
        <w:spacing w:after="0" w:line="244" w:lineRule="auto"/>
        <w:tabs>
          <w:tab w:leader="none" w:pos="12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in this Service Contract to the contrary, Distribution Partner, OneWeb and each of their respective affiliates shall not be liable to End User, nor shall End User make any claim against any of the foregoing parties, for (A) injury, loss, or damage sustained by reason of any unavailability, delay, faultiness, use, or failure of the OneWeb Approved Equipment, the OneWeb Services and/or the OneWeb Network; and/or (B) any acts or omissions of Distribution Partner, OneWeb and each of their respective affiliates made in response to (y) a violation or suspected violation of the AUP; or (z) an emergency response or in compliance with a government order (including, without limitation, interruption, deactivation, or diversion of the OneWeb Services).</w:t>
      </w:r>
    </w:p>
    <w:p>
      <w:pPr>
        <w:spacing w:after="0" w:line="129" w:lineRule="exact"/>
        <w:rPr>
          <w:rFonts w:ascii="Times New Roman" w:cs="Times New Roman" w:eastAsia="Times New Roman" w:hAnsi="Times New Roman"/>
          <w:sz w:val="20"/>
          <w:szCs w:val="20"/>
          <w:color w:val="auto"/>
        </w:rPr>
      </w:pPr>
    </w:p>
    <w:p>
      <w:pPr>
        <w:ind w:left="1500" w:hanging="690"/>
        <w:spacing w:after="0" w:line="244" w:lineRule="auto"/>
        <w:tabs>
          <w:tab w:leader="none" w:pos="12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OneWeb Services, the OneWeb Network and the OneWeb Approved Equipment is provided “AS IS” and “AS AVAILABLE” and, to the maximum extent permitted by applicable Law, Distribution Partner and OneWeb disclaim all, and there are no, warranties (whether express, implied or statutory) or other standards of performance, guarantees, or any other terms implied by law, including, without limitation, any implied warranties of merchantability, fitness for a particular purpose, requirement or use, and any warranty arising out of course of performance, dealing or trade usage. Specifically, Distribution Partner and OneWeb do not warrant that use of any or all of the OneWeb service, the OneWeb Network and/or the OneWeb Approved Equipment will meet End User’s requirements, be uninterrupted or error free.</w:t>
      </w:r>
    </w:p>
    <w:p>
      <w:pPr>
        <w:spacing w:after="0" w:line="129" w:lineRule="exact"/>
        <w:rPr>
          <w:rFonts w:ascii="Times New Roman" w:cs="Times New Roman" w:eastAsia="Times New Roman" w:hAnsi="Times New Roman"/>
          <w:sz w:val="20"/>
          <w:szCs w:val="20"/>
          <w:color w:val="auto"/>
        </w:rPr>
      </w:pPr>
    </w:p>
    <w:p>
      <w:pPr>
        <w:ind w:left="760" w:hanging="752"/>
        <w:spacing w:after="0" w:line="268" w:lineRule="auto"/>
        <w:tabs>
          <w:tab w:leader="none" w:pos="760" w:val="left"/>
        </w:tabs>
        <w:numPr>
          <w:ilvl w:val="0"/>
          <w:numId w:val="1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Acceptable Use Policy</w:t>
      </w:r>
      <w:r>
        <w:rPr>
          <w:rFonts w:ascii="Times New Roman" w:cs="Times New Roman" w:eastAsia="Times New Roman" w:hAnsi="Times New Roman"/>
          <w:sz w:val="20"/>
          <w:szCs w:val="20"/>
          <w:color w:val="auto"/>
        </w:rPr>
        <w:t>. OneWeb’s acceptable use policy for the OneWeb Services and the OneWeb Network is attached hereto as Attachment 1 to Part II- of this Exhibit 3 (collectively, the “Acceptable Use Policy” or the “AUP “).</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8" w:name="page79"/>
    <w:bookmarkEnd w:id="78"/>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ind w:left="760" w:hanging="752"/>
        <w:spacing w:after="0" w:line="268" w:lineRule="auto"/>
        <w:tabs>
          <w:tab w:leader="none" w:pos="760" w:val="left"/>
        </w:tabs>
        <w:numPr>
          <w:ilvl w:val="0"/>
          <w:numId w:val="1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Audit</w:t>
      </w:r>
      <w:r>
        <w:rPr>
          <w:rFonts w:ascii="Times New Roman" w:cs="Times New Roman" w:eastAsia="Times New Roman" w:hAnsi="Times New Roman"/>
          <w:sz w:val="20"/>
          <w:szCs w:val="20"/>
          <w:color w:val="auto"/>
        </w:rPr>
        <w:t>. Distribution Partner shall have the right, at its expense, and upon reasonable notice to audit End User’s compliance with the terms of this Service Contract and/or the OneWeb Services.</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9" w:name="page80"/>
    <w:bookmarkEnd w:id="79"/>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ATTACHMENT 1 TO PART II - OF EXHIBIT 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ACCEPTABLE USE POLICY</w:t>
      </w:r>
    </w:p>
    <w:p>
      <w:pPr>
        <w:spacing w:after="0" w:line="135" w:lineRule="exact"/>
        <w:rPr>
          <w:sz w:val="20"/>
          <w:szCs w:val="20"/>
          <w:color w:val="auto"/>
        </w:rPr>
      </w:pPr>
    </w:p>
    <w:p>
      <w:pPr>
        <w:jc w:val="both"/>
        <w:ind w:firstLine="8"/>
        <w:spacing w:after="0"/>
        <w:tabs>
          <w:tab w:leader="none" w:pos="39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Fair Access Policy</w:t>
      </w:r>
      <w:r>
        <w:rPr>
          <w:rFonts w:ascii="Times New Roman" w:cs="Times New Roman" w:eastAsia="Times New Roman" w:hAnsi="Times New Roman"/>
          <w:sz w:val="20"/>
          <w:szCs w:val="20"/>
          <w:color w:val="auto"/>
        </w:rPr>
        <w:t>. To ensure that all of OneWeb’s partners, customers and End Users have equitable access to the OneWeb Network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to avoid unfair and disruptive use of the OneWeb Network, OneWeb has implemented a Fair Access Policy (“FAP”), which is a part of the AUP and establishes an equitable balance in accessing and using the capacity of the OneWeb Network. OneWeb has the right to (A) measure and monitor the OneWeb Network for upload and download activity; (B) restrict applications that cause disruption of data transfer rates and poor performance of the OneWeb Service or the OneWeb Network; and (C) use other traffic management, shaping and prioritization at its discretion. OneWeb may reduce data speeds at any time if any of the OneWeb Approved Equipment data usage exceeds an identified threshold with such data usage calculated based on a combination of all inbound and outbound data from the OneWeb Approved Equipment. If any End User or the OneWeb Approved Equipment engages in excessive upload and download data activity and contributes to any disruption of the OneWeb Service or the OneWeb Network, OneWeb is authorized to temporarily restrict the transfer rate at which such OneWeb Approved Equipment and/or End User can send and receive data over the OneWeb Network without liability. In most cases, the restriction on the OneWeb Approved Equipment and/or End User transfer rate will last until the end of the then-current data allowance period for the OneWeb Services. If the OneWeb Approved Equipment and/or End User again engages in excessive upload and download data activity following the restoration of normal transfer rate after commencement of a new data allowance period, OneWeb may further temporarily restrict such transfer rate. Excessive use shall be determined by OneWeb in its sole discretion, based on the limits associated with the OneWeb Approved Equipment and/or the OneWeb Services and pro-rata allocation of network capacity across all of OneWeb’s sub-distributors and each of OneWeb’s (and its sub-distributor’s) end users simultaneously using the OneWeb Network at any point in time. Excessive use includes, without limitation, the use of web cameras, voice or VoIP services, peer to peer file sharing or gaming software applications, streaming media and excessively large file downloads or uploads. Restriction of the transfer rate permitted to a particular OneWeb Approved Equipment and/or End User as described above will reduce the speed at which such OneWeb Approved Equipment and/or End User can upload and download data, but will not altogether prevent the use of the OneWeb Service and the OneWeb Network by such OneWeb Approved Equipment and/or End User.</w:t>
      </w:r>
    </w:p>
    <w:p>
      <w:pPr>
        <w:spacing w:after="0" w:line="146" w:lineRule="exact"/>
        <w:rPr>
          <w:rFonts w:ascii="Times New Roman" w:cs="Times New Roman" w:eastAsia="Times New Roman" w:hAnsi="Times New Roman"/>
          <w:sz w:val="20"/>
          <w:szCs w:val="20"/>
          <w:color w:val="auto"/>
        </w:rPr>
      </w:pPr>
    </w:p>
    <w:p>
      <w:pPr>
        <w:jc w:val="both"/>
        <w:ind w:firstLine="8"/>
        <w:spacing w:after="0" w:line="241" w:lineRule="auto"/>
        <w:tabs>
          <w:tab w:leader="none" w:pos="39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Content and Security</w:t>
      </w:r>
      <w:r>
        <w:rPr>
          <w:rFonts w:ascii="Times New Roman" w:cs="Times New Roman" w:eastAsia="Times New Roman" w:hAnsi="Times New Roman"/>
          <w:sz w:val="20"/>
          <w:szCs w:val="20"/>
          <w:color w:val="auto"/>
        </w:rPr>
        <w:t>. End User acknowledges and agrees that (A) access to the Internet and all messages/content through the OneWeb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and/or the OneWeb Network is done so at End User’s sole risk and End User assumes all responsibility, risk and liability for any claims, liability or damages with respect to the OneWeb Services and/or the OneWeb Network (1) for the security, confidentiality and integrity of such messages/content, (2) for the application of security policies designed to prevent unwanted or unauthorized activity or access thereto and/or (3) arising from any use of and/or access to the Internet through its account by any person (even if such use was unauthorized) and, with respect to the foregoing subsections (1)-(3), End User shall take responsibility for the implementation of suitable data archiving or other housekeeping activities which could minimize the effect of any of the foregoing; (B) the reliability, availability, legality, performance and other aspects of resources and content accessed through the Internet are beyond OneWeb’s reasonable control and are not in any way warranted, endorsed or supported by OneWeb and accordingly OneWeb is not responsible or liable for any content, advertising, products, or other materials on or available from sites or resources available through the OneWeb Network and OneWeb Services, including, without limitation, the absence of bugs, errors or viruses, accuracy or reliability of any material or claims contained therein; (C) safeguards related to copyright, ownership, appropriateness, reliability, legality and integrity of content may be unsuitable, insufficient or entirely absent with respect to the Internet and content accessible through it; (D) the Internet is an inherently insecure medium and understands that OneWeb does not represent, warrant, covenant and/or guarantee the security or integrity of any communications made or received using the OneWeb Services or OneWeb Network; and (E) it will ensure that it has the legal authority (based on copyright, trademark, contract, or other body of law) for the</w:t>
      </w:r>
    </w:p>
    <w:p>
      <w:pPr>
        <w:spacing w:after="0" w:line="3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0" w:name="page81"/>
    <w:bookmarkEnd w:id="80"/>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5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transmission and duplication of any programming, content, or other materials that it transmits-directly or indirectly - over the OneWeb Service and/or the OneWeb Network.</w:t>
      </w:r>
    </w:p>
    <w:p>
      <w:pPr>
        <w:spacing w:after="0" w:line="103" w:lineRule="exact"/>
        <w:rPr>
          <w:sz w:val="20"/>
          <w:szCs w:val="20"/>
          <w:color w:val="auto"/>
        </w:rPr>
      </w:pPr>
    </w:p>
    <w:p>
      <w:pPr>
        <w:jc w:val="both"/>
        <w:ind w:firstLine="8"/>
        <w:spacing w:after="0" w:line="250" w:lineRule="auto"/>
        <w:tabs>
          <w:tab w:leader="none" w:pos="39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Prohibited Activities</w:t>
      </w:r>
      <w:r>
        <w:rPr>
          <w:rFonts w:ascii="Times New Roman" w:cs="Times New Roman" w:eastAsia="Times New Roman" w:hAnsi="Times New Roman"/>
          <w:sz w:val="20"/>
          <w:szCs w:val="20"/>
          <w:color w:val="auto"/>
        </w:rPr>
        <w:t>. As determined by OneWeb (in its sole discretion), and in addition to the foregoing subsections (i) and (ii) above,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 User shall not undertake, or attempt to undertake any use of the OneWeb Network and/or the OneWeb Services in a manner that is (A) inconsistent with the rights of other users of the OneWeb Network and/or this [name of Service Contract]; and/or (B) unethical, unlawful, abusive, excessive, fraudulent or otherwise an unacceptable use, including, without limitation, the following:</w:t>
      </w:r>
    </w:p>
    <w:p>
      <w:pPr>
        <w:spacing w:after="0" w:line="124" w:lineRule="exact"/>
        <w:rPr>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posting, disseminating, spamming, storing or transmitting unsolicited messages or unsolicited email (commercial or otherwise);</w:t>
      </w:r>
    </w:p>
    <w:p>
      <w:pPr>
        <w:spacing w:after="0" w:line="161" w:lineRule="exact"/>
        <w:rPr>
          <w:rFonts w:ascii="Times New Roman" w:cs="Times New Roman" w:eastAsia="Times New Roman" w:hAnsi="Times New Roman"/>
          <w:sz w:val="20"/>
          <w:szCs w:val="20"/>
          <w:color w:val="auto"/>
        </w:rPr>
      </w:pPr>
    </w:p>
    <w:p>
      <w:pPr>
        <w:jc w:val="both"/>
        <w:ind w:firstLine="8"/>
        <w:spacing w:after="0" w:line="253" w:lineRule="auto"/>
        <w:tabs>
          <w:tab w:leader="none" w:pos="39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posting, uploading, disseminating, storing or transmitting material of any kind or nature that, to a reasonable person, may be abusive, obscene, harmful, hateful, pornographic, defamatory, harassing, libelous, deceptive, fraudulent, invasive of another’s privacy, grossly offensive, vulgar, threatening, malicious, a nuisance, racially or ethnically offensive or otherwise objectionable;</w:t>
      </w:r>
    </w:p>
    <w:p>
      <w:pPr>
        <w:spacing w:after="0" w:line="122"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hacking into, breaching, scanning vulnerability of /or unauthorized access to data, systems or networks;</w:t>
      </w:r>
    </w:p>
    <w:p>
      <w:pPr>
        <w:spacing w:after="0" w:line="16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unauthorized monitoring of data or traffic on any network system;</w:t>
      </w:r>
    </w:p>
    <w:p>
      <w:pPr>
        <w:spacing w:after="0" w:line="16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transmitting viruses and/or interfering or disrupting service to any other user, host or network;</w:t>
      </w:r>
    </w:p>
    <w:p>
      <w:pPr>
        <w:spacing w:after="0" w:line="16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forging of any TCP-IP packet header or any part of the header information in an email or newsgroup posting;</w:t>
      </w:r>
    </w:p>
    <w:p>
      <w:pPr>
        <w:spacing w:after="0" w:line="16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relaying mail via another site’s mail server without express permission of that site;</w:t>
      </w:r>
    </w:p>
    <w:p>
      <w:pPr>
        <w:spacing w:after="0" w:line="16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impersonating any person or entity, including any OneWeb employee or representative;</w:t>
      </w:r>
    </w:p>
    <w:p>
      <w:pPr>
        <w:spacing w:after="0" w:line="161" w:lineRule="exact"/>
        <w:rPr>
          <w:rFonts w:ascii="Times New Roman" w:cs="Times New Roman" w:eastAsia="Times New Roman" w:hAnsi="Times New Roman"/>
          <w:sz w:val="20"/>
          <w:szCs w:val="20"/>
          <w:color w:val="auto"/>
        </w:rPr>
      </w:pPr>
    </w:p>
    <w:p>
      <w:pPr>
        <w:ind w:right="40" w:firstLine="8"/>
        <w:spacing w:after="0" w:line="268" w:lineRule="auto"/>
        <w:tabs>
          <w:tab w:leader="none" w:pos="39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passwords or other means for accessing the OneWeb Service, operating and provisioning platforms, APIs or OneWeb Network to any third party, or otherwise facilitating unauthorized access thereto;</w:t>
      </w:r>
    </w:p>
    <w:p>
      <w:pPr>
        <w:spacing w:after="0" w:line="106"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the OneWeb Services or the OneWeb Network in any jurisdiction where they are not licensed or authorized;</w:t>
      </w:r>
    </w:p>
    <w:p>
      <w:pPr>
        <w:spacing w:after="0" w:line="16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avoiding fees or charges for the OneWeb Services;</w:t>
      </w:r>
    </w:p>
    <w:p>
      <w:pPr>
        <w:spacing w:after="0" w:line="16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any VoIP service for forwarding US toll-free numbers internationally; and/or</w:t>
      </w:r>
    </w:p>
    <w:p>
      <w:pPr>
        <w:spacing w:after="0" w:line="161" w:lineRule="exact"/>
        <w:rPr>
          <w:rFonts w:ascii="Times New Roman" w:cs="Times New Roman" w:eastAsia="Times New Roman" w:hAnsi="Times New Roman"/>
          <w:sz w:val="20"/>
          <w:szCs w:val="20"/>
          <w:color w:val="auto"/>
        </w:rPr>
      </w:pPr>
    </w:p>
    <w:p>
      <w:pPr>
        <w:ind w:right="20" w:firstLine="8"/>
        <w:spacing w:after="0" w:line="268" w:lineRule="auto"/>
        <w:tabs>
          <w:tab w:leader="none" w:pos="39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duplicating, using before or after the valid viewing dates, or otherwise violating the copyright and distribution agreements for content available through the OneWeb Services and/or the OneWeb Network.</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Gogo Inc. treats as private or confidential.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OneWeb Branding Guidelines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indicated in this Exhibit 4, Distribution Partner shall submit for OneWeb’s prior written approval any promotional materials bearing the OneWeb Marks (the “</w:t>
      </w:r>
      <w:r>
        <w:rPr>
          <w:rFonts w:ascii="Times New Roman" w:cs="Times New Roman" w:eastAsia="Times New Roman" w:hAnsi="Times New Roman"/>
          <w:sz w:val="20"/>
          <w:szCs w:val="20"/>
          <w:b w:val="1"/>
          <w:bCs w:val="1"/>
          <w:color w:val="auto"/>
        </w:rPr>
        <w:t>Promotional Materials</w:t>
      </w:r>
      <w:r>
        <w:rPr>
          <w:rFonts w:ascii="Times New Roman" w:cs="Times New Roman" w:eastAsia="Times New Roman" w:hAnsi="Times New Roman"/>
          <w:sz w:val="20"/>
          <w:szCs w:val="20"/>
          <w:color w:val="auto"/>
        </w:rPr>
        <w:t xml:space="preserve">”) at least ten (10) business days prior to: (A) fabrication, if the OneWeb Mark is to be printed in physical form, or (B) its planned release, if the OneWeb Mark is to be distributed digitally. For the avoidance of doubt, the Promotional Materials include, without limitation, any materials used in public relations, social media, sponsorship, packaging, labeling, hang tags, advertising materials, product brochures, websites, events and display materials that bear the OneWeb Marks. All such Promotional Materials with details of which publication or where they are to be reproduced shall be submitted electronically to OneWeb at the following email address: </w:t>
      </w:r>
      <w:r>
        <w:rPr>
          <w:rFonts w:ascii="Times New Roman" w:cs="Times New Roman" w:eastAsia="Times New Roman" w:hAnsi="Times New Roman"/>
          <w:sz w:val="20"/>
          <w:szCs w:val="20"/>
          <w:u w:val="single" w:color="auto"/>
          <w:color w:val="auto"/>
        </w:rPr>
        <w:t>communications@oneweb.net</w:t>
      </w:r>
      <w:r>
        <w:rPr>
          <w:rFonts w:ascii="Times New Roman" w:cs="Times New Roman" w:eastAsia="Times New Roman" w:hAnsi="Times New Roman"/>
          <w:sz w:val="20"/>
          <w:szCs w:val="20"/>
          <w:color w:val="auto"/>
        </w:rPr>
        <w:t>. All properly submitted Promotional Materials shall be subject to approval by OneWeb within five (5) business days of receipt.</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Distribution Partner shall not directly or indirectly (such as through its Sub-Distributors and/or End Users) bring disrepute to or in any manner impair or damage the OneWeb Marks or the image, reputation or goodwill associated with the OneWeb Marks. From time to time, and in addition to OneWeb’s rights contained in Section 12 (Audit) of this Agreement, OneWeb shall have the right to review Distribution Partner’s use of the OneWeb Marks (including, without limitation, in the Promotional Materials) to ensure that the Guidelines are being adhered to and that the image, reputation and goodwill associated with the OneWeb Marks is not being adversely affected by Distribution Partner, its Sub-Distributors or its End Users. At OneWeb’s request, Distribution Partner shall provide to OneWeb descriptions of such use and representative samples of Promotional Materials. If OneWeb reasonably determines that such use of the OneWeb Marks and/or the Promotional Materials are of a type or quality that is inconsistent with the terms of this Agreement (including, without limitation, the Guidelines), or is likely to affect the image, reputation, or goodwill associated with the OneWeb Marks, then Distribution Partner shall improve such use of the OneWeb Marks and/or such Promotional Materials to a quality that is consistent with the terms of this Agreement (including, without limitation, the Guidelines), and that does not adversely affect the image, reputation, or goodwill associated with the OneWeb Marks, as reasonably determined by OneWeb. If Distribution Partner fails to make such improvements, as reasonably determined by OneWeb, Distribution Partner must immediately discontinue its use of the OneWeb Marks and the Promotional Materials.</w:t>
      </w: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Oakleigh Thorne, certify that:</w:t>
      </w:r>
    </w:p>
    <w:p>
      <w:pPr>
        <w:spacing w:after="0" w:line="80" w:lineRule="exact"/>
        <w:rPr>
          <w:sz w:val="20"/>
          <w:szCs w:val="20"/>
          <w:color w:val="auto"/>
        </w:rPr>
      </w:pPr>
    </w:p>
    <w:p>
      <w:pPr>
        <w:ind w:left="360" w:hanging="352"/>
        <w:spacing w:after="0"/>
        <w:tabs>
          <w:tab w:leader="none" w:pos="3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2"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60" w:hanging="512"/>
        <w:spacing w:after="0" w:line="265" w:lineRule="auto"/>
        <w:tabs>
          <w:tab w:leader="none" w:pos="3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Times New Roman" w:cs="Times New Roman" w:eastAsia="Times New Roman" w:hAnsi="Times New Roman"/>
          <w:sz w:val="18"/>
          <w:szCs w:val="18"/>
          <w:color w:val="auto"/>
        </w:rPr>
      </w:pPr>
    </w:p>
    <w:p>
      <w:pPr>
        <w:ind w:left="1020" w:right="500" w:hanging="479"/>
        <w:spacing w:after="0" w:line="297" w:lineRule="auto"/>
        <w:tabs>
          <w:tab w:leader="none" w:pos="894"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3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40" w:hanging="479"/>
        <w:spacing w:after="0" w:line="281" w:lineRule="auto"/>
        <w:tabs>
          <w:tab w:leader="none" w:pos="89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479"/>
        <w:spacing w:after="0" w:line="281" w:lineRule="auto"/>
        <w:tabs>
          <w:tab w:leader="none" w:pos="89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91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Jessica G. Betjemann, certify that:</w:t>
      </w:r>
    </w:p>
    <w:p>
      <w:pPr>
        <w:spacing w:after="0" w:line="80" w:lineRule="exact"/>
        <w:rPr>
          <w:sz w:val="20"/>
          <w:szCs w:val="20"/>
          <w:color w:val="auto"/>
        </w:rPr>
      </w:pPr>
    </w:p>
    <w:p>
      <w:pPr>
        <w:ind w:left="360" w:hanging="352"/>
        <w:spacing w:after="0"/>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2"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60" w:hanging="512"/>
        <w:spacing w:after="0" w:line="265" w:lineRule="auto"/>
        <w:tabs>
          <w:tab w:leader="none" w:pos="37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Times New Roman" w:cs="Times New Roman" w:eastAsia="Times New Roman" w:hAnsi="Times New Roman"/>
          <w:sz w:val="18"/>
          <w:szCs w:val="18"/>
          <w:color w:val="auto"/>
        </w:rPr>
      </w:pPr>
    </w:p>
    <w:p>
      <w:pPr>
        <w:ind w:left="1020" w:right="500" w:hanging="479"/>
        <w:spacing w:after="0" w:line="297" w:lineRule="auto"/>
        <w:tabs>
          <w:tab w:leader="none" w:pos="894"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37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40" w:hanging="479"/>
        <w:spacing w:after="0" w:line="281" w:lineRule="auto"/>
        <w:tabs>
          <w:tab w:leader="none" w:pos="8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479"/>
        <w:spacing w:after="0" w:line="281" w:lineRule="auto"/>
        <w:tabs>
          <w:tab w:leader="none" w:pos="8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November 5,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 Oakleigh Thorne, Chief Executive Officer and Chair of the Board of Gogo Inc. (the “Company”), do hereby certify, pursuant to 18 U.S.C. Section 1350, as adopted pursuant to Section 906 of the Sarbanes-Oxley Act of 2002, that to the best of my knowledge:</w:t>
      </w:r>
    </w:p>
    <w:p>
      <w:pPr>
        <w:spacing w:after="0" w:line="163" w:lineRule="exact"/>
        <w:rPr>
          <w:sz w:val="20"/>
          <w:szCs w:val="20"/>
          <w:color w:val="auto"/>
        </w:rPr>
      </w:pPr>
    </w:p>
    <w:p>
      <w:pPr>
        <w:ind w:left="760" w:right="900" w:hanging="378"/>
        <w:spacing w:after="0" w:line="281" w:lineRule="auto"/>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91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G. Betjemann, Executive Vice President and Chief Financial Officer of Gogo Inc.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06" w:lineRule="exact"/>
        <w:rPr>
          <w:sz w:val="20"/>
          <w:szCs w:val="20"/>
          <w:color w:val="auto"/>
        </w:rPr>
      </w:pPr>
    </w:p>
    <w:p>
      <w:pPr>
        <w:ind w:left="760" w:right="900" w:hanging="378"/>
        <w:spacing w:after="0" w:line="281" w:lineRule="auto"/>
        <w:tabs>
          <w:tab w:leader="none" w:pos="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20" w:right="120" w:firstLine="362"/>
        <w:spacing w:after="0" w:line="539" w:lineRule="auto"/>
        <w:tabs>
          <w:tab w:leader="none" w:pos="7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5, 2024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decimal"/>
      <w:start w:val="1"/>
    </w:lvl>
  </w:abstractNum>
  <w:abstractNum w:abstractNumId="3">
    <w:nsid w:val="25A70BF7"/>
    <w:multiLevelType w:val="hybridMultilevel"/>
    <w:lvl w:ilvl="0">
      <w:lvlJc w:val="left"/>
      <w:lvlText w:val="%1."/>
      <w:numFmt w:val="decimal"/>
      <w:start w:val="2"/>
    </w:lvl>
  </w:abstractNum>
  <w:abstractNum w:abstractNumId="4">
    <w:nsid w:val="1DBABF00"/>
    <w:multiLevelType w:val="hybridMultilevel"/>
    <w:lvl w:ilvl="0">
      <w:lvlJc w:val="left"/>
      <w:lvlText w:val="%1."/>
      <w:numFmt w:val="decimal"/>
      <w:start w:val="3"/>
    </w:lvl>
  </w:abstractNum>
  <w:abstractNum w:abstractNumId="5">
    <w:nsid w:val="4AD084E9"/>
    <w:multiLevelType w:val="hybridMultilevel"/>
    <w:lvl w:ilvl="0">
      <w:lvlJc w:val="left"/>
      <w:lvlText w:val="%1."/>
      <w:numFmt w:val="decimal"/>
      <w:start w:val="4"/>
    </w:lvl>
  </w:abstractNum>
  <w:abstractNum w:abstractNumId="6">
    <w:nsid w:val="1F48EAA1"/>
    <w:multiLevelType w:val="hybridMultilevel"/>
    <w:lvl w:ilvl="0">
      <w:lvlJc w:val="left"/>
      <w:lvlText w:val="%1."/>
      <w:numFmt w:val="decimal"/>
      <w:start w:val="5"/>
    </w:lvl>
  </w:abstractNum>
  <w:abstractNum w:abstractNumId="7">
    <w:nsid w:val="1381823A"/>
    <w:multiLevelType w:val="hybridMultilevel"/>
    <w:lvl w:ilvl="0">
      <w:lvlJc w:val="left"/>
      <w:lvlText w:val="%1."/>
      <w:numFmt w:val="decimal"/>
      <w:start w:val="6"/>
    </w:lvl>
  </w:abstractNum>
  <w:abstractNum w:abstractNumId="8">
    <w:nsid w:val="5DB70AE5"/>
    <w:multiLevelType w:val="hybridMultilevel"/>
    <w:lvl w:ilvl="0">
      <w:lvlJc w:val="left"/>
      <w:lvlText w:val="%1."/>
      <w:numFmt w:val="decimal"/>
      <w:start w:val="7"/>
    </w:lvl>
  </w:abstractNum>
  <w:abstractNum w:abstractNumId="9">
    <w:nsid w:val="100F8FCA"/>
    <w:multiLevelType w:val="hybridMultilevel"/>
    <w:lvl w:ilvl="0">
      <w:lvlJc w:val="left"/>
      <w:lvlText w:val="%1."/>
      <w:numFmt w:val="decimal"/>
      <w:start w:val="8"/>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1."/>
      <w:numFmt w:val="decimal"/>
      <w:start w:val="9"/>
    </w:lvl>
  </w:abstractNum>
  <w:abstractNum w:abstractNumId="12">
    <w:nsid w:val="5F5E7FD0"/>
    <w:multiLevelType w:val="hybridMultilevel"/>
    <w:lvl w:ilvl="0">
      <w:lvlJc w:val="left"/>
      <w:lvlText w:val="%1."/>
      <w:numFmt w:val="decimal"/>
      <w:start w:val="10"/>
    </w:lvl>
  </w:abstractNum>
  <w:abstractNum w:abstractNumId="13">
    <w:nsid w:val="98A3148"/>
    <w:multiLevelType w:val="hybridMultilevel"/>
    <w:lvl w:ilvl="0">
      <w:lvlJc w:val="left"/>
      <w:lvlText w:val="%1."/>
      <w:numFmt w:val="decimal"/>
      <w:start w:val="11"/>
    </w:lvl>
    <w:lvl w:ilvl="1">
      <w:lvlJc w:val="left"/>
      <w:lvlText w:val="•"/>
      <w:numFmt w:val="bullet"/>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1."/>
      <w:numFmt w:val="decimal"/>
      <w:start w:val="12"/>
    </w:lvl>
  </w:abstractNum>
  <w:abstractNum w:abstractNumId="16">
    <w:nsid w:val="42C296BD"/>
    <w:multiLevelType w:val="hybridMultilevel"/>
    <w:lvl w:ilvl="0">
      <w:lvlJc w:val="left"/>
      <w:lvlText w:val="%1."/>
      <w:numFmt w:val="decimal"/>
      <w:start w:val="13"/>
    </w:lvl>
  </w:abstractNum>
  <w:abstractNum w:abstractNumId="17">
    <w:nsid w:val="168E121F"/>
    <w:multiLevelType w:val="hybridMultilevel"/>
    <w:lvl w:ilvl="0">
      <w:lvlJc w:val="left"/>
      <w:lvlText w:val="%1."/>
      <w:numFmt w:val="decimal"/>
      <w:start w:val="14"/>
    </w:lvl>
  </w:abstractNum>
  <w:abstractNum w:abstractNumId="18">
    <w:nsid w:val="1EBA5D23"/>
    <w:multiLevelType w:val="hybridMultilevel"/>
    <w:lvl w:ilvl="0">
      <w:lvlJc w:val="left"/>
      <w:lvlText w:val="%1."/>
      <w:numFmt w:val="decimal"/>
      <w:start w:val="15"/>
    </w:lvl>
  </w:abstractNum>
  <w:abstractNum w:abstractNumId="19">
    <w:nsid w:val="661E3F1E"/>
    <w:multiLevelType w:val="hybridMultilevel"/>
    <w:lvl w:ilvl="0">
      <w:lvlJc w:val="left"/>
      <w:lvlText w:val="%1."/>
      <w:numFmt w:val="decimal"/>
      <w:start w:val="16"/>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lvl w:ilvl="1">
      <w:lvlJc w:val="left"/>
      <w:lvlText w:val="▪"/>
      <w:numFmt w:val="bullet"/>
      <w:start w:val="1"/>
    </w:lvl>
  </w:abstractNum>
  <w:abstractNum w:abstractNumId="29">
    <w:nsid w:val="8F2B15E"/>
    <w:multiLevelType w:val="hybridMultilevel"/>
    <w:lvl w:ilvl="0">
      <w:lvlJc w:val="left"/>
      <w:lvlText w:val="o"/>
      <w:numFmt w:val="bullet"/>
      <w:start w:val="1"/>
    </w:lvl>
  </w:abstractNum>
  <w:abstractNum w:abstractNumId="30">
    <w:nsid w:val="1A32234B"/>
    <w:multiLevelType w:val="hybridMultilevel"/>
    <w:lvl w:ilvl="0">
      <w:lvlJc w:val="left"/>
      <w:lvlText w:val="(%1)"/>
      <w:numFmt w:val="lowerLetter"/>
      <w:start w:val="1"/>
    </w:lvl>
  </w:abstractNum>
  <w:abstractNum w:abstractNumId="31">
    <w:nsid w:val="3B0FD379"/>
    <w:multiLevelType w:val="hybridMultilevel"/>
    <w:lvl w:ilvl="0">
      <w:lvlJc w:val="left"/>
      <w:lvlText w:val="(%1)"/>
      <w:numFmt w:val="lowerLetter"/>
      <w:start w:val="2"/>
    </w:lvl>
  </w:abstractNum>
  <w:abstractNum w:abstractNumId="32">
    <w:nsid w:val="68EB2F63"/>
    <w:multiLevelType w:val="hybridMultilevel"/>
    <w:lvl w:ilvl="0">
      <w:lvlJc w:val="left"/>
      <w:lvlText w:val="%1)"/>
      <w:numFmt w:val="lowerLetter"/>
      <w:start w:val="1"/>
    </w:lvl>
  </w:abstractNum>
  <w:abstractNum w:abstractNumId="33">
    <w:nsid w:val="4962813B"/>
    <w:multiLevelType w:val="hybridMultilevel"/>
    <w:lvl w:ilvl="0">
      <w:lvlJc w:val="left"/>
      <w:lvlText w:val="*"/>
      <w:numFmt w:val="bullet"/>
      <w:start w:val="1"/>
    </w:lvl>
    <w:lvl w:ilvl="1">
      <w:lvlJc w:val="left"/>
      <w:lvlText w:val="%2"/>
      <w:numFmt w:val="decimal"/>
      <w:start w:val="104"/>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decimal"/>
      <w:start w:val="1"/>
    </w:lvl>
  </w:abstractNum>
  <w:abstractNum w:abstractNumId="37">
    <w:nsid w:val="7FFFCA11"/>
    <w:multiLevelType w:val="hybridMultilevel"/>
    <w:lvl w:ilvl="0">
      <w:lvlJc w:val="left"/>
      <w:lvlText w:val="(%1)"/>
      <w:numFmt w:val="lowerLetter"/>
      <w:start w:val="1"/>
    </w:lvl>
  </w:abstractNum>
  <w:abstractNum w:abstractNumId="38">
    <w:nsid w:val="1A27709E"/>
    <w:multiLevelType w:val="hybridMultilevel"/>
    <w:lvl w:ilvl="0">
      <w:lvlJc w:val="left"/>
      <w:lvlText w:val="%1."/>
      <w:numFmt w:val="decimal"/>
      <w:start w:val="2"/>
    </w:lvl>
  </w:abstractNum>
  <w:abstractNum w:abstractNumId="39">
    <w:nsid w:val="71EA1109"/>
    <w:multiLevelType w:val="hybridMultilevel"/>
    <w:lvl w:ilvl="0">
      <w:lvlJc w:val="left"/>
      <w:lvlText w:val="%1."/>
      <w:numFmt w:val="decimal"/>
      <w:start w:val="3"/>
    </w:lvl>
  </w:abstractNum>
  <w:abstractNum w:abstractNumId="40">
    <w:nsid w:val="100F59DC"/>
    <w:multiLevelType w:val="hybridMultilevel"/>
    <w:lvl w:ilvl="0">
      <w:lvlJc w:val="left"/>
      <w:lvlText w:val="(%1)"/>
      <w:numFmt w:val="lowerLetter"/>
      <w:start w:val="1"/>
    </w:lvl>
  </w:abstractNum>
  <w:abstractNum w:abstractNumId="41">
    <w:nsid w:val="7FB7E0AA"/>
    <w:multiLevelType w:val="hybridMultilevel"/>
    <w:lvl w:ilvl="0">
      <w:lvlJc w:val="left"/>
      <w:lvlText w:val="%1."/>
      <w:numFmt w:val="decimal"/>
      <w:start w:val="4"/>
    </w:lvl>
  </w:abstractNum>
  <w:abstractNum w:abstractNumId="42">
    <w:nsid w:val="6EB5BD4"/>
    <w:multiLevelType w:val="hybridMultilevel"/>
    <w:lvl w:ilvl="0">
      <w:lvlJc w:val="left"/>
      <w:lvlText w:val="(%1)"/>
      <w:numFmt w:val="lowerLetter"/>
      <w:start w:val="1"/>
    </w:lvl>
    <w:lvl w:ilvl="1">
      <w:lvlJc w:val="left"/>
      <w:lvlText w:val="(%2)"/>
      <w:numFmt w:val="decimal"/>
      <w:start w:val="1"/>
    </w:lvl>
  </w:abstractNum>
  <w:abstractNum w:abstractNumId="43">
    <w:nsid w:val="6F6DD9AC"/>
    <w:multiLevelType w:val="hybridMultilevel"/>
    <w:lvl w:ilvl="0">
      <w:lvlJc w:val="left"/>
      <w:lvlText w:val="(%1)"/>
      <w:numFmt w:val="lowerLetter"/>
      <w:start w:val="3"/>
    </w:lvl>
  </w:abstractNum>
  <w:abstractNum w:abstractNumId="44">
    <w:nsid w:val="94211F2"/>
    <w:multiLevelType w:val="hybridMultilevel"/>
    <w:lvl w:ilvl="0">
      <w:lvlJc w:val="left"/>
      <w:lvlText w:val="%1."/>
      <w:numFmt w:val="decimal"/>
      <w:start w:val="5"/>
    </w:lvl>
  </w:abstractNum>
  <w:abstractNum w:abstractNumId="45">
    <w:nsid w:val="885E1B"/>
    <w:multiLevelType w:val="hybridMultilevel"/>
    <w:lvl w:ilvl="0">
      <w:lvlJc w:val="left"/>
      <w:lvlText w:val="(%1)"/>
      <w:numFmt w:val="lowerLetter"/>
      <w:start w:val="1"/>
    </w:lvl>
    <w:lvl w:ilvl="1">
      <w:lvlJc w:val="left"/>
      <w:lvlText w:val="(%2)"/>
      <w:numFmt w:val="decimal"/>
      <w:start w:val="1"/>
    </w:lvl>
  </w:abstractNum>
  <w:abstractNum w:abstractNumId="46">
    <w:nsid w:val="76272110"/>
    <w:multiLevelType w:val="hybridMultilevel"/>
    <w:lvl w:ilvl="0">
      <w:lvlJc w:val="left"/>
      <w:lvlText w:val="%1"/>
      <w:numFmt w:val="decimal"/>
      <w:start w:val="1"/>
    </w:lvl>
    <w:lvl w:ilvl="1">
      <w:lvlJc w:val="left"/>
      <w:lvlText w:val="(%2)"/>
      <w:numFmt w:val="decimal"/>
      <w:start w:val="2"/>
    </w:lvl>
  </w:abstractNum>
  <w:abstractNum w:abstractNumId="47">
    <w:nsid w:val="4C04A8AF"/>
    <w:multiLevelType w:val="hybridMultilevel"/>
    <w:lvl w:ilvl="0">
      <w:lvlJc w:val="left"/>
      <w:lvlText w:val="%1."/>
      <w:numFmt w:val="decimal"/>
      <w:start w:val="6"/>
    </w:lvl>
    <w:lvl w:ilvl="1">
      <w:lvlJc w:val="left"/>
      <w:lvlText w:val="%2"/>
      <w:numFmt w:val="decimal"/>
      <w:start w:val="1"/>
    </w:lvl>
  </w:abstractNum>
  <w:abstractNum w:abstractNumId="48">
    <w:nsid w:val="1716703B"/>
    <w:multiLevelType w:val="hybridMultilevel"/>
    <w:lvl w:ilvl="0">
      <w:lvlJc w:val="left"/>
      <w:lvlText w:val="(%1)"/>
      <w:numFmt w:val="lowerLetter"/>
      <w:start w:val="1"/>
    </w:lvl>
    <w:lvl w:ilvl="1">
      <w:lvlJc w:val="left"/>
      <w:lvlText w:val="(%2)"/>
      <w:numFmt w:val="decimal"/>
      <w:start w:val="1"/>
    </w:lvl>
  </w:abstractNum>
  <w:abstractNum w:abstractNumId="49">
    <w:nsid w:val="14E17E33"/>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50">
    <w:nsid w:val="3222E7CD"/>
    <w:multiLevelType w:val="hybridMultilevel"/>
    <w:lvl w:ilvl="0">
      <w:lvlJc w:val="left"/>
      <w:lvlText w:val="%1."/>
      <w:numFmt w:val="decimal"/>
      <w:start w:val="7"/>
    </w:lvl>
  </w:abstractNum>
  <w:abstractNum w:abstractNumId="51">
    <w:nsid w:val="74DE0EE3"/>
    <w:multiLevelType w:val="hybridMultilevel"/>
    <w:lvl w:ilvl="0">
      <w:lvlJc w:val="left"/>
      <w:lvlText w:val="(%1)"/>
      <w:numFmt w:val="lowerLetter"/>
      <w:start w:val="1"/>
    </w:lvl>
  </w:abstractNum>
  <w:abstractNum w:abstractNumId="52">
    <w:nsid w:val="68EBC550"/>
    <w:multiLevelType w:val="hybridMultilevel"/>
    <w:lvl w:ilvl="0">
      <w:lvlJc w:val="left"/>
      <w:lvlText w:val="(%1)"/>
      <w:numFmt w:val="lowerLetter"/>
      <w:start w:val="2"/>
    </w:lvl>
  </w:abstractNum>
  <w:abstractNum w:abstractNumId="53">
    <w:nsid w:val="2DF6D648"/>
    <w:multiLevelType w:val="hybridMultilevel"/>
    <w:lvl w:ilvl="0">
      <w:lvlJc w:val="left"/>
      <w:lvlText w:val="%1."/>
      <w:numFmt w:val="decimal"/>
      <w:start w:val="8"/>
    </w:lvl>
  </w:abstractNum>
  <w:abstractNum w:abstractNumId="54">
    <w:nsid w:val="46B7D447"/>
    <w:multiLevelType w:val="hybridMultilevel"/>
    <w:lvl w:ilvl="0">
      <w:lvlJc w:val="left"/>
      <w:lvlText w:val="(%1)"/>
      <w:numFmt w:val="lowerLetter"/>
      <w:start w:val="1"/>
    </w:lvl>
  </w:abstractNum>
  <w:abstractNum w:abstractNumId="55">
    <w:nsid w:val="4A2AC315"/>
    <w:multiLevelType w:val="hybridMultilevel"/>
    <w:lvl w:ilvl="0">
      <w:lvlJc w:val="left"/>
      <w:lvlText w:val="%1."/>
      <w:numFmt w:val="decimal"/>
      <w:start w:val="9"/>
    </w:lvl>
  </w:abstractNum>
  <w:abstractNum w:abstractNumId="56">
    <w:nsid w:val="39EE015C"/>
    <w:multiLevelType w:val="hybridMultilevel"/>
    <w:lvl w:ilvl="0">
      <w:lvlJc w:val="left"/>
      <w:lvlText w:val="(%1)"/>
      <w:numFmt w:val="lowerLetter"/>
      <w:start w:val="1"/>
    </w:lvl>
    <w:lvl w:ilvl="1">
      <w:lvlJc w:val="left"/>
      <w:lvlText w:val="(%2)"/>
      <w:numFmt w:val="decimal"/>
      <w:start w:val="1"/>
    </w:lvl>
  </w:abstractNum>
  <w:abstractNum w:abstractNumId="57">
    <w:nsid w:val="57FC4FBB"/>
    <w:multiLevelType w:val="hybridMultilevel"/>
    <w:lvl w:ilvl="0">
      <w:lvlJc w:val="left"/>
      <w:lvlText w:val="%1."/>
      <w:numFmt w:val="decimal"/>
      <w:start w:val="10"/>
    </w:lvl>
  </w:abstractNum>
  <w:abstractNum w:abstractNumId="58">
    <w:nsid w:val="CC1016F"/>
    <w:multiLevelType w:val="hybridMultilevel"/>
    <w:lvl w:ilvl="0">
      <w:lvlJc w:val="left"/>
      <w:lvlText w:val="(%1)"/>
      <w:numFmt w:val="lowerLetter"/>
      <w:start w:val="1"/>
    </w:lvl>
  </w:abstractNum>
  <w:abstractNum w:abstractNumId="59">
    <w:nsid w:val="43F18422"/>
    <w:multiLevelType w:val="hybridMultilevel"/>
    <w:lvl w:ilvl="0">
      <w:lvlJc w:val="left"/>
      <w:lvlText w:val="(%1)"/>
      <w:numFmt w:val="lowerLetter"/>
      <w:start w:val="2"/>
    </w:lvl>
  </w:abstractNum>
  <w:abstractNum w:abstractNumId="60">
    <w:nsid w:val="60EF0119"/>
    <w:multiLevelType w:val="hybridMultilevel"/>
    <w:lvl w:ilvl="0">
      <w:lvlJc w:val="left"/>
      <w:lvlText w:val="%1."/>
      <w:numFmt w:val="decimal"/>
      <w:start w:val="11"/>
    </w:lvl>
  </w:abstractNum>
  <w:abstractNum w:abstractNumId="61">
    <w:nsid w:val="26F324BA"/>
    <w:multiLevelType w:val="hybridMultilevel"/>
    <w:lvl w:ilvl="0">
      <w:lvlJc w:val="left"/>
      <w:lvlText w:val="(%1)"/>
      <w:numFmt w:val="lowerLetter"/>
      <w:start w:val="1"/>
    </w:lvl>
  </w:abstractNum>
  <w:abstractNum w:abstractNumId="62">
    <w:nsid w:val="7F01579B"/>
    <w:multiLevelType w:val="hybridMultilevel"/>
    <w:lvl w:ilvl="0">
      <w:lvlJc w:val="left"/>
      <w:lvlText w:val="(%1)"/>
      <w:numFmt w:val="lowerLetter"/>
      <w:start w:val="4"/>
    </w:lvl>
  </w:abstractNum>
  <w:abstractNum w:abstractNumId="63">
    <w:nsid w:val="49DA307D"/>
    <w:multiLevelType w:val="hybridMultilevel"/>
    <w:lvl w:ilvl="0">
      <w:lvlJc w:val="left"/>
      <w:lvlText w:val="%1."/>
      <w:numFmt w:val="decimal"/>
      <w:start w:val="12"/>
    </w:lvl>
  </w:abstractNum>
  <w:abstractNum w:abstractNumId="64">
    <w:nsid w:val="7055A5F5"/>
    <w:multiLevelType w:val="hybridMultilevel"/>
    <w:lvl w:ilvl="0">
      <w:lvlJc w:val="left"/>
      <w:lvlText w:val="(%1)"/>
      <w:numFmt w:val="lowerLetter"/>
      <w:start w:val="1"/>
    </w:lvl>
  </w:abstractNum>
  <w:abstractNum w:abstractNumId="65">
    <w:nsid w:val="5FB8370B"/>
    <w:multiLevelType w:val="hybridMultilevel"/>
    <w:lvl w:ilvl="0">
      <w:lvlJc w:val="left"/>
      <w:lvlText w:val="(%1)"/>
      <w:numFmt w:val="lowerLetter"/>
      <w:start w:val="2"/>
    </w:lvl>
  </w:abstractNum>
  <w:abstractNum w:abstractNumId="66">
    <w:nsid w:val="50801EE1"/>
    <w:multiLevelType w:val="hybridMultilevel"/>
    <w:lvl w:ilvl="0">
      <w:lvlJc w:val="left"/>
      <w:lvlText w:val="(%1)"/>
      <w:numFmt w:val="lowerLetter"/>
      <w:start w:val="3"/>
    </w:lvl>
    <w:lvl w:ilvl="1">
      <w:lvlJc w:val="left"/>
      <w:lvlText w:val="(%2)"/>
      <w:numFmt w:val="decimal"/>
      <w:start w:val="1"/>
    </w:lvl>
  </w:abstractNum>
  <w:abstractNum w:abstractNumId="67">
    <w:nsid w:val="488AC1A"/>
    <w:multiLevelType w:val="hybridMultilevel"/>
    <w:lvl w:ilvl="0">
      <w:lvlJc w:val="left"/>
      <w:lvlText w:val="(%1)"/>
      <w:numFmt w:val="lowerLetter"/>
      <w:start w:val="7"/>
    </w:lvl>
  </w:abstractNum>
  <w:abstractNum w:abstractNumId="68">
    <w:nsid w:val="5FB8011C"/>
    <w:multiLevelType w:val="hybridMultilevel"/>
    <w:lvl w:ilvl="0">
      <w:lvlJc w:val="left"/>
      <w:lvlText w:val="%1."/>
      <w:numFmt w:val="decimal"/>
      <w:start w:val="1"/>
    </w:lvl>
  </w:abstractNum>
  <w:abstractNum w:abstractNumId="69">
    <w:nsid w:val="6AA78F7F"/>
    <w:multiLevelType w:val="hybridMultilevel"/>
    <w:lvl w:ilvl="0">
      <w:lvlJc w:val="left"/>
      <w:lvlText w:val="%1."/>
      <w:numFmt w:val="decimal"/>
      <w:start w:val="2"/>
    </w:lvl>
  </w:abstractNum>
  <w:abstractNum w:abstractNumId="70">
    <w:nsid w:val="7672BD23"/>
    <w:multiLevelType w:val="hybridMultilevel"/>
    <w:lvl w:ilvl="0">
      <w:lvlJc w:val="left"/>
      <w:lvlText w:val="%1."/>
      <w:numFmt w:val="decimal"/>
      <w:start w:val="3"/>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1."/>
      <w:numFmt w:val="decimal"/>
      <w:start w:val="4"/>
    </w:lvl>
  </w:abstractNum>
  <w:abstractNum w:abstractNumId="73">
    <w:nsid w:val="7D5E18F8"/>
    <w:multiLevelType w:val="hybridMultilevel"/>
    <w:lvl w:ilvl="0">
      <w:lvlJc w:val="left"/>
      <w:lvlText w:val="o"/>
      <w:numFmt w:val="bullet"/>
      <w:start w:val="1"/>
    </w:lvl>
  </w:abstractNum>
  <w:abstractNum w:abstractNumId="74">
    <w:nsid w:val="5F3534A4"/>
    <w:multiLevelType w:val="hybridMultilevel"/>
    <w:lvl w:ilvl="0">
      <w:lvlJc w:val="left"/>
      <w:lvlText w:val="o"/>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decimal"/>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1."/>
      <w:numFmt w:val="decimal"/>
      <w:start w:val="2"/>
    </w:lvl>
  </w:abstractNum>
  <w:abstractNum w:abstractNumId="79">
    <w:nsid w:val="14FCE74E"/>
    <w:multiLevelType w:val="hybridMultilevel"/>
    <w:lvl w:ilvl="0">
      <w:lvlJc w:val="left"/>
      <w:lvlText w:val="%1."/>
      <w:numFmt w:val="decimal"/>
      <w:start w:val="3"/>
    </w:lvl>
    <w:lvl w:ilvl="1">
      <w:lvlJc w:val="left"/>
      <w:lvlText w:val="•"/>
      <w:numFmt w:val="bullet"/>
      <w:start w:val="1"/>
    </w:lvl>
  </w:abstractNum>
  <w:abstractNum w:abstractNumId="80">
    <w:nsid w:val="6A3DD3E8"/>
    <w:multiLevelType w:val="hybridMultilevel"/>
    <w:lvl w:ilvl="0">
      <w:lvlJc w:val="left"/>
      <w:lvlText w:val="%1"/>
      <w:numFmt w:val="upperLetter"/>
      <w:start w:val="1"/>
    </w:lvl>
    <w:lvl w:ilvl="1">
      <w:lvlJc w:val="left"/>
      <w:lvlText w:val="•"/>
      <w:numFmt w:val="bullet"/>
      <w:start w:val="1"/>
    </w:lvl>
  </w:abstractNum>
  <w:abstractNum w:abstractNumId="81">
    <w:nsid w:val="71C91298"/>
    <w:multiLevelType w:val="hybridMultilevel"/>
    <w:lvl w:ilvl="0">
      <w:lvlJc w:val="left"/>
      <w:lvlText w:val="(%1)"/>
      <w:numFmt w:val="decimal"/>
      <w:start w:val="1"/>
    </w:lvl>
    <w:lvl w:ilvl="1">
      <w:lvlJc w:val="left"/>
      <w:lvlText w:val="%2"/>
      <w:numFmt w:val="lowerRoman"/>
      <w:start w:val="2"/>
    </w:lvl>
  </w:abstractNum>
  <w:abstractNum w:abstractNumId="82">
    <w:nsid w:val="9DAF632"/>
    <w:multiLevelType w:val="hybridMultilevel"/>
    <w:lvl w:ilvl="0">
      <w:lvlJc w:val="left"/>
      <w:lvlText w:val="%1"/>
      <w:numFmt w:val="lowerRoman"/>
      <w:start w:val="3"/>
    </w:lvl>
  </w:abstractNum>
  <w:abstractNum w:abstractNumId="83">
    <w:nsid w:val="53299938"/>
    <w:multiLevelType w:val="hybridMultilevel"/>
    <w:lvl w:ilvl="0">
      <w:lvlJc w:val="left"/>
      <w:lvlText w:val="(%1)"/>
      <w:numFmt w:val="decimal"/>
      <w:start w:val="1"/>
    </w:lvl>
    <w:lvl w:ilvl="1">
      <w:lvlJc w:val="left"/>
      <w:lvlText w:val="•"/>
      <w:numFmt w:val="bullet"/>
      <w:start w:val="1"/>
    </w:lvl>
  </w:abstractNum>
  <w:abstractNum w:abstractNumId="84">
    <w:nsid w:val="1FBFE8E0"/>
    <w:multiLevelType w:val="hybridMultilevel"/>
    <w:lvl w:ilvl="0">
      <w:lvlJc w:val="left"/>
      <w:lvlText w:val="i"/>
      <w:numFmt w:val="bullet"/>
      <w:start w:val="1"/>
    </w:lvl>
  </w:abstractNum>
  <w:abstractNum w:abstractNumId="85">
    <w:nsid w:val="5092CA79"/>
    <w:multiLevelType w:val="hybridMultilevel"/>
    <w:lvl w:ilvl="0">
      <w:lvlJc w:val="left"/>
      <w:lvlText w:val="%1"/>
      <w:numFmt w:val="lowerRoman"/>
      <w:start w:val="2"/>
    </w:lvl>
  </w:abstractNum>
  <w:abstractNum w:abstractNumId="86">
    <w:nsid w:val="1D545C4D"/>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87">
    <w:nsid w:val="59ADEA3D"/>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88">
    <w:nsid w:val="288F1A34"/>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89">
    <w:nsid w:val="2A155DBC"/>
    <w:multiLevelType w:val="hybridMultilevel"/>
    <w:lvl w:ilvl="0">
      <w:lvlJc w:val="left"/>
      <w:lvlText w:val="%1."/>
      <w:numFmt w:val="lowerLetter"/>
      <w:start w:val="1"/>
    </w:lvl>
  </w:abstractNum>
  <w:abstractNum w:abstractNumId="90">
    <w:nsid w:val="1D9F6E5F"/>
    <w:multiLevelType w:val="hybridMultilevel"/>
    <w:lvl w:ilvl="0">
      <w:lvlJc w:val="left"/>
      <w:lvlText w:val="%1."/>
      <w:numFmt w:val="lowerLetter"/>
      <w:start w:val="8"/>
    </w:lvl>
  </w:abstractNum>
  <w:abstractNum w:abstractNumId="91">
    <w:nsid w:val="97E1B4E"/>
    <w:multiLevelType w:val="hybridMultilevel"/>
    <w:lvl w:ilvl="0">
      <w:lvlJc w:val="left"/>
      <w:lvlText w:val="%1"/>
      <w:numFmt w:val="decimal"/>
      <w:start w:val="1"/>
    </w:lvl>
    <w:lvl w:ilvl="1">
      <w:lvlJc w:val="left"/>
      <w:lvlText w:val="(%2)"/>
      <w:numFmt w:val="decimal"/>
      <w:start w:val="2"/>
    </w:lvl>
  </w:abstractNum>
  <w:abstractNum w:abstractNumId="92">
    <w:nsid w:val="51088277"/>
    <w:multiLevelType w:val="hybridMultilevel"/>
    <w:lvl w:ilvl="0">
      <w:lvlJc w:val="left"/>
      <w:lvlText w:val="%1."/>
      <w:numFmt w:val="decimal"/>
      <w:start w:val="4"/>
    </w:lvl>
    <w:lvl w:ilvl="1">
      <w:lvlJc w:val="left"/>
      <w:lvlText w:val="%2"/>
      <w:numFmt w:val="decimal"/>
      <w:start w:val="1"/>
    </w:lvl>
  </w:abstractNum>
  <w:abstractNum w:abstractNumId="93">
    <w:nsid w:val="1CA0C5FA"/>
    <w:multiLevelType w:val="hybridMultilevel"/>
    <w:lvl w:ilvl="0">
      <w:lvlJc w:val="left"/>
      <w:lvlText w:val="%1."/>
      <w:numFmt w:val="upperLetter"/>
      <w:start w:val="1"/>
    </w:lvl>
    <w:lvl w:ilvl="1">
      <w:lvlJc w:val="left"/>
      <w:lvlText w:val="•"/>
      <w:numFmt w:val="bullet"/>
      <w:start w:val="1"/>
    </w:lvl>
  </w:abstractNum>
  <w:abstractNum w:abstractNumId="94">
    <w:nsid w:val="53584BCB"/>
    <w:multiLevelType w:val="hybridMultilevel"/>
    <w:lvl w:ilvl="0">
      <w:lvlJc w:val="left"/>
      <w:lvlText w:val="(%1)"/>
      <w:numFmt w:val="decimal"/>
      <w:start w:val="1"/>
    </w:lvl>
  </w:abstractNum>
  <w:abstractNum w:abstractNumId="95">
    <w:nsid w:val="415E286C"/>
    <w:multiLevelType w:val="hybridMultilevel"/>
    <w:lvl w:ilvl="0">
      <w:lvlJc w:val="left"/>
      <w:lvlText w:val="(%1)"/>
      <w:numFmt w:val="decimal"/>
      <w:start w:val="2"/>
    </w:lvl>
  </w:abstractNum>
  <w:abstractNum w:abstractNumId="96">
    <w:nsid w:val="7C58FD05"/>
    <w:multiLevelType w:val="hybridMultilevel"/>
    <w:lvl w:ilvl="0">
      <w:lvlJc w:val="left"/>
      <w:lvlText w:val="(%1)"/>
      <w:numFmt w:val="decimal"/>
      <w:start w:val="3"/>
    </w:lvl>
  </w:abstractNum>
  <w:abstractNum w:abstractNumId="97">
    <w:nsid w:val="23D86AAC"/>
    <w:multiLevelType w:val="hybridMultilevel"/>
    <w:lvl w:ilvl="0">
      <w:lvlJc w:val="left"/>
      <w:lvlText w:val="%1."/>
      <w:numFmt w:val="upperLetter"/>
      <w:start w:val="2"/>
    </w:lvl>
    <w:lvl w:ilvl="1">
      <w:lvlJc w:val="left"/>
      <w:lvlText w:val="(%2)"/>
      <w:numFmt w:val="decimal"/>
      <w:start w:val="1"/>
    </w:lvl>
  </w:abstractNum>
  <w:abstractNum w:abstractNumId="98">
    <w:nsid w:val="45E6D486"/>
    <w:multiLevelType w:val="hybridMultilevel"/>
    <w:lvl w:ilvl="0">
      <w:lvlJc w:val="left"/>
      <w:lvlText w:val="%1."/>
      <w:numFmt w:val="upperLetter"/>
      <w:start w:val="3"/>
    </w:lvl>
    <w:lvl w:ilvl="1">
      <w:lvlJc w:val="left"/>
      <w:lvlText w:val="(%2)"/>
      <w:numFmt w:val="decimal"/>
      <w:start w:val="1"/>
    </w:lvl>
  </w:abstractNum>
  <w:abstractNum w:abstractNumId="99">
    <w:nsid w:val="5C10FE21"/>
    <w:multiLevelType w:val="hybridMultilevel"/>
    <w:lvl w:ilvl="0">
      <w:lvlJc w:val="left"/>
      <w:lvlText w:val="(%1)"/>
      <w:numFmt w:val="decimal"/>
      <w:start w:val="2"/>
    </w:lvl>
  </w:abstractNum>
  <w:abstractNum w:abstractNumId="100">
    <w:nsid w:val="E7FFA2B"/>
    <w:multiLevelType w:val="hybridMultilevel"/>
    <w:lvl w:ilvl="0">
      <w:lvlJc w:val="left"/>
      <w:lvlText w:val="%1"/>
      <w:numFmt w:val="upperLetter"/>
      <w:start w:val="1"/>
    </w:lvl>
    <w:lvl w:ilvl="1">
      <w:lvlJc w:val="left"/>
      <w:lvlText w:val="(%2)"/>
      <w:numFmt w:val="decimal"/>
      <w:start w:val="2"/>
    </w:lvl>
  </w:abstractNum>
  <w:abstractNum w:abstractNumId="101">
    <w:nsid w:val="3C5991AA"/>
    <w:multiLevelType w:val="hybridMultilevel"/>
    <w:lvl w:ilvl="0">
      <w:lvlJc w:val="left"/>
      <w:lvlText w:val="%1."/>
      <w:numFmt w:val="decimal"/>
      <w:start w:val="5"/>
    </w:lvl>
  </w:abstractNum>
  <w:abstractNum w:abstractNumId="102">
    <w:nsid w:val="4BD8591A"/>
    <w:multiLevelType w:val="hybridMultilevel"/>
    <w:lvl w:ilvl="0">
      <w:lvlJc w:val="left"/>
      <w:lvlText w:val="%1."/>
      <w:numFmt w:val="upperLetter"/>
      <w:start w:val="1"/>
    </w:lvl>
  </w:abstractNum>
  <w:abstractNum w:abstractNumId="103">
    <w:nsid w:val="78DF6A55"/>
    <w:multiLevelType w:val="hybridMultilevel"/>
    <w:lvl w:ilvl="0">
      <w:lvlJc w:val="left"/>
      <w:lvlText w:val="%1."/>
      <w:numFmt w:val="decimal"/>
      <w:start w:val="6"/>
    </w:lvl>
  </w:abstractNum>
  <w:abstractNum w:abstractNumId="104">
    <w:nsid w:val="39B7AAA2"/>
    <w:multiLevelType w:val="hybridMultilevel"/>
    <w:lvl w:ilvl="0">
      <w:lvlJc w:val="left"/>
      <w:lvlText w:val="%1."/>
      <w:numFmt w:val="upperLetter"/>
      <w:start w:val="1"/>
    </w:lvl>
  </w:abstractNum>
  <w:abstractNum w:abstractNumId="105">
    <w:nsid w:val="2B0D8DBE"/>
    <w:multiLevelType w:val="hybridMultilevel"/>
    <w:lvl w:ilvl="0">
      <w:lvlJc w:val="left"/>
      <w:lvlText w:val="%1."/>
      <w:numFmt w:val="upperLetter"/>
      <w:start w:val="2"/>
    </w:lvl>
    <w:lvl w:ilvl="1">
      <w:lvlJc w:val="left"/>
      <w:lvlText w:val="•"/>
      <w:numFmt w:val="bullet"/>
      <w:start w:val="1"/>
    </w:lvl>
  </w:abstractNum>
  <w:abstractNum w:abstractNumId="106">
    <w:nsid w:val="6C80EC70"/>
    <w:multiLevelType w:val="hybridMultilevel"/>
    <w:lvl w:ilvl="0">
      <w:lvlJc w:val="left"/>
      <w:lvlText w:val="%1."/>
      <w:numFmt w:val="decimal"/>
      <w:start w:val="7"/>
    </w:lvl>
  </w:abstractNum>
  <w:abstractNum w:abstractNumId="107">
    <w:nsid w:val="379E21B5"/>
    <w:multiLevelType w:val="hybridMultilevel"/>
    <w:lvl w:ilvl="0">
      <w:lvlJc w:val="left"/>
      <w:lvlText w:val="%1."/>
      <w:numFmt w:val="upperLetter"/>
      <w:start w:val="1"/>
    </w:lvl>
    <w:lvl w:ilvl="1">
      <w:lvlJc w:val="left"/>
      <w:lvlText w:val="•"/>
      <w:numFmt w:val="bullet"/>
      <w:start w:val="1"/>
    </w:lvl>
  </w:abstractNum>
  <w:abstractNum w:abstractNumId="108">
    <w:nsid w:val="69E373"/>
    <w:multiLevelType w:val="hybridMultilevel"/>
    <w:lvl w:ilvl="0">
      <w:lvlJc w:val="left"/>
      <w:lvlText w:val="%1."/>
      <w:numFmt w:val="upperLetter"/>
      <w:start w:val="2"/>
    </w:lvl>
    <w:lvl w:ilvl="1">
      <w:lvlJc w:val="left"/>
      <w:lvlText w:val="•"/>
      <w:numFmt w:val="bullet"/>
      <w:start w:val="1"/>
    </w:lvl>
  </w:abstractNum>
  <w:abstractNum w:abstractNumId="109">
    <w:nsid w:val="2C27173B"/>
    <w:multiLevelType w:val="hybridMultilevel"/>
    <w:lvl w:ilvl="0">
      <w:lvlJc w:val="left"/>
      <w:lvlText w:val=" "/>
      <w:numFmt w:val="bullet"/>
      <w:start w:val="1"/>
    </w:lvl>
  </w:abstractNum>
  <w:abstractNum w:abstractNumId="110">
    <w:nsid w:val="4C9B0904"/>
    <w:multiLevelType w:val="hybridMultilevel"/>
    <w:lvl w:ilvl="0">
      <w:lvlJc w:val="left"/>
      <w:lvlText w:val="(%1)"/>
      <w:numFmt w:val="lowerLetter"/>
      <w:start w:val="1"/>
    </w:lvl>
    <w:lvl w:ilvl="1">
      <w:lvlJc w:val="left"/>
      <w:lvlText w:val="(%2)"/>
      <w:numFmt w:val="decimal"/>
      <w:start w:val="1"/>
    </w:lvl>
  </w:abstractNum>
  <w:abstractNum w:abstractNumId="111">
    <w:nsid w:val="6AA7B75C"/>
    <w:multiLevelType w:val="hybridMultilevel"/>
    <w:lvl w:ilvl="0">
      <w:lvlJc w:val="left"/>
      <w:lvlText w:val="(%1)"/>
      <w:numFmt w:val="lowerLetter"/>
      <w:start w:val="1"/>
    </w:lvl>
  </w:abstractNum>
  <w:abstractNum w:abstractNumId="112">
    <w:nsid w:val="1DF029D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13">
    <w:nsid w:val="5675FF36"/>
    <w:multiLevelType w:val="hybridMultilevel"/>
    <w:lvl w:ilvl="0">
      <w:lvlJc w:val="left"/>
      <w:lvlText w:val="%1"/>
      <w:numFmt w:val="decimal"/>
      <w:start w:val="1"/>
    </w:lvl>
    <w:lvl w:ilvl="1">
      <w:lvlJc w:val="left"/>
      <w:lvlText w:val="(%2)"/>
      <w:numFmt w:val="lowerRoman"/>
      <w:start w:val="2"/>
    </w:lvl>
  </w:abstractNum>
  <w:abstractNum w:abstractNumId="114">
    <w:nsid w:val="3DD15094"/>
    <w:multiLevelType w:val="hybridMultilevel"/>
    <w:lvl w:ilvl="0">
      <w:lvlJc w:val="left"/>
      <w:lvlText w:val="(%1)"/>
      <w:numFmt w:val="decimal"/>
      <w:start w:val="4"/>
    </w:lvl>
    <w:lvl w:ilvl="1">
      <w:lvlJc w:val="left"/>
      <w:lvlText w:val="(%2)"/>
      <w:numFmt w:val="lowerRoman"/>
      <w:start w:val="1"/>
    </w:lvl>
  </w:abstractNum>
  <w:abstractNum w:abstractNumId="115">
    <w:nsid w:val="3DB012B3"/>
    <w:multiLevelType w:val="hybridMultilevel"/>
    <w:lvl w:ilvl="0">
      <w:lvlJc w:val="left"/>
      <w:lvlText w:val="%1"/>
      <w:numFmt w:val="decimal"/>
      <w:start w:val="1"/>
    </w:lvl>
    <w:lvl w:ilvl="1">
      <w:lvlJc w:val="left"/>
      <w:lvlText w:val="(%2)"/>
      <w:numFmt w:val="lowerRoman"/>
      <w:start w:val="2"/>
    </w:lvl>
  </w:abstractNum>
  <w:abstractNum w:abstractNumId="116">
    <w:nsid w:val="2708C9AF"/>
    <w:multiLevelType w:val="hybridMultilevel"/>
    <w:lvl w:ilvl="0">
      <w:lvlJc w:val="left"/>
      <w:lvlText w:val="(%1)"/>
      <w:numFmt w:val="decimal"/>
      <w:start w:val="5"/>
    </w:lvl>
    <w:lvl w:ilvl="1">
      <w:lvlJc w:val="left"/>
      <w:lvlText w:val="(%2)"/>
      <w:numFmt w:val="lowerRoman"/>
      <w:start w:val="1"/>
    </w:lvl>
  </w:abstractNum>
  <w:abstractNum w:abstractNumId="117">
    <w:nsid w:val="5B25ACE2"/>
    <w:multiLevelType w:val="hybridMultilevel"/>
    <w:lvl w:ilvl="0">
      <w:lvlJc w:val="left"/>
      <w:lvlText w:val="%1"/>
      <w:numFmt w:val="decimal"/>
      <w:start w:val="1"/>
    </w:lvl>
    <w:lvl w:ilvl="1">
      <w:lvlJc w:val="left"/>
      <w:lvlText w:val="(%2)"/>
      <w:numFmt w:val="lowerRoman"/>
      <w:start w:val="3"/>
    </w:lvl>
  </w:abstractNum>
  <w:abstractNum w:abstractNumId="118">
    <w:nsid w:val="175DFCF0"/>
    <w:multiLevelType w:val="hybridMultilevel"/>
    <w:lvl w:ilvl="0">
      <w:lvlJc w:val="left"/>
      <w:lvlText w:val="(%1)"/>
      <w:numFmt w:val="decimal"/>
      <w:start w:val="6"/>
    </w:lvl>
    <w:lvl w:ilvl="1">
      <w:lvlJc w:val="left"/>
      <w:lvlText w:val="(%2)"/>
      <w:numFmt w:val="lowerRoman"/>
      <w:start w:val="1"/>
    </w:lvl>
  </w:abstractNum>
  <w:abstractNum w:abstractNumId="119">
    <w:nsid w:val="4F97E3E4"/>
    <w:multiLevelType w:val="hybridMultilevel"/>
    <w:lvl w:ilvl="0">
      <w:lvlJc w:val="left"/>
      <w:lvlText w:val="(%1)"/>
      <w:numFmt w:val="decimal"/>
      <w:start w:val="9"/>
    </w:lvl>
  </w:abstractNum>
  <w:abstractNum w:abstractNumId="120">
    <w:nsid w:val="53B0A9E"/>
    <w:multiLevelType w:val="hybridMultilevel"/>
    <w:lvl w:ilvl="0">
      <w:lvlJc w:val="left"/>
      <w:lvlText w:val="(%1)"/>
      <w:numFmt w:val="lowerRoman"/>
      <w:start w:val="1"/>
    </w:lvl>
  </w:abstractNum>
  <w:abstractNum w:abstractNumId="121">
    <w:nsid w:val="34FD6B4F"/>
    <w:multiLevelType w:val="hybridMultilevel"/>
    <w:lvl w:ilvl="0">
      <w:lvlJc w:val="left"/>
      <w:lvlText w:val="(%1)"/>
      <w:numFmt w:val="lowerRoman"/>
      <w:start w:val="3"/>
    </w:lvl>
  </w:abstractNum>
  <w:abstractNum w:abstractNumId="122">
    <w:nsid w:val="5915FF32"/>
    <w:multiLevelType w:val="hybridMultilevel"/>
    <w:lvl w:ilvl="0">
      <w:lvlJc w:val="left"/>
      <w:lvlText w:val="(%1)"/>
      <w:numFmt w:val="decimal"/>
      <w:start w:val="1"/>
    </w:lvl>
  </w:abstractNum>
  <w:abstractNum w:abstractNumId="123">
    <w:nsid w:val="56438D15"/>
    <w:multiLevelType w:val="hybridMultilevel"/>
    <w:lvl w:ilvl="0">
      <w:lvlJc w:val="left"/>
      <w:lvlText w:val="%1."/>
      <w:numFmt w:val="decimal"/>
      <w:start w:val="1"/>
    </w:lvl>
    <w:lvl w:ilvl="1">
      <w:lvlJc w:val="left"/>
      <w:lvlText w:val="(%2)"/>
      <w:numFmt w:val="lowerLetter"/>
      <w:start w:val="1"/>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342" Type="http://schemas.openxmlformats.org/officeDocument/2006/relationships/hyperlink" Target="https://www.sec.gov/ix?doc=/Archives/edgar/data/1537054/000119312524230178/d856479d8ka.htm" TargetMode="External"/><Relationship Id="rId343" Type="http://schemas.openxmlformats.org/officeDocument/2006/relationships/hyperlink" Target="https://www.sec.gov/ix?doc=/Archives/edgar/data/1537054/000095017024109063/gogo-202409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2024-11-05T15:43:01Z</dcterms:created>
  <dcterms:modified xsi:type="dcterms:W3CDTF">2024-11-05T15:43:01Z</dcterms:modified>
</cp:coreProperties>
</file>