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Section 13 or 15(d) of</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2026</w:t>
      </w:r>
    </w:p>
    <w:p>
      <w:pPr>
        <w:spacing w:after="0" w:line="2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color w:val="auto"/>
        </w:rPr>
        <w:t>GOGO INC.</w:t>
      </w:r>
    </w:p>
    <w:p>
      <w:pPr>
        <w:spacing w:after="0" w:line="3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091" w:right="479" w:bottom="1440" w:gutter="0" w:footer="0" w:header="0"/>
        </w:sectPr>
      </w:pPr>
    </w:p>
    <w:p>
      <w:pPr>
        <w:spacing w:after="0" w:line="192"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21"/>
          <w:szCs w:val="21"/>
          <w:b w:val="1"/>
          <w:bCs w:val="1"/>
          <w:color w:val="auto"/>
        </w:rPr>
        <w:t>001-35975</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27-1650905</w:t>
      </w:r>
    </w:p>
    <w:p>
      <w:pPr>
        <w:spacing w:after="0" w:line="45" w:lineRule="exact"/>
        <w:rPr>
          <w:sz w:val="24"/>
          <w:szCs w:val="24"/>
          <w:color w:val="auto"/>
        </w:rPr>
      </w:pPr>
    </w:p>
    <w:p>
      <w:pPr>
        <w:sectPr>
          <w:pgSz w:w="11900" w:h="16838" w:orient="portrait"/>
          <w:cols w:equalWidth="0" w:num="3">
            <w:col w:w="4440" w:space="720"/>
            <w:col w:w="2800" w:space="720"/>
            <w:col w:w="2420"/>
          </w:cols>
          <w:pgMar w:left="320" w:top="1091"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600" w:space="720"/>
            <w:col w:w="3140"/>
          </w:cols>
          <w:pgMar w:left="320" w:top="1091" w:right="479" w:bottom="1440" w:gutter="0" w:footer="0" w:header="0"/>
          <w:type w:val="continuous"/>
        </w:sectPr>
      </w:pPr>
    </w:p>
    <w:p>
      <w:pPr>
        <w:spacing w:after="0" w:line="20"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21"/>
          <w:szCs w:val="21"/>
          <w:b w:val="1"/>
          <w:bCs w:val="1"/>
          <w:color w:val="auto"/>
        </w:rPr>
        <w:t>105 Edgeview Dr., Suite 300</w:t>
      </w:r>
    </w:p>
    <w:p>
      <w:pPr>
        <w:spacing w:after="0" w:line="30"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22"/>
          <w:szCs w:val="22"/>
          <w:b w:val="1"/>
          <w:bCs w:val="1"/>
          <w:color w:val="auto"/>
        </w:rPr>
        <w:t>Broomfield, CO</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80021</w:t>
      </w:r>
    </w:p>
    <w:p>
      <w:pPr>
        <w:spacing w:after="0" w:line="41" w:lineRule="exact"/>
        <w:rPr>
          <w:sz w:val="24"/>
          <w:szCs w:val="24"/>
          <w:color w:val="auto"/>
        </w:rPr>
      </w:pPr>
    </w:p>
    <w:p>
      <w:pPr>
        <w:sectPr>
          <w:pgSz w:w="11900" w:h="16838" w:orient="portrait"/>
          <w:cols w:equalWidth="0" w:num="2">
            <w:col w:w="6780" w:space="720"/>
            <w:col w:w="3600"/>
          </w:cols>
          <w:pgMar w:left="320" w:top="1091" w:right="4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40"/>
        <w:spacing w:after="0"/>
        <w:rPr>
          <w:sz w:val="20"/>
          <w:szCs w:val="20"/>
          <w:color w:val="auto"/>
        </w:rPr>
      </w:pPr>
      <w:r>
        <w:rPr>
          <w:rFonts w:ascii="Times New Roman" w:cs="Times New Roman" w:eastAsia="Times New Roman" w:hAnsi="Times New Roman"/>
          <w:sz w:val="17"/>
          <w:szCs w:val="17"/>
          <w:color w:val="auto"/>
        </w:rPr>
        <w:t>(Zip Code)</w:t>
      </w:r>
    </w:p>
    <w:p>
      <w:pPr>
        <w:spacing w:after="0" w:line="206" w:lineRule="exact"/>
        <w:rPr>
          <w:sz w:val="24"/>
          <w:szCs w:val="24"/>
          <w:color w:val="auto"/>
        </w:rPr>
      </w:pPr>
    </w:p>
    <w:p>
      <w:pPr>
        <w:sectPr>
          <w:pgSz w:w="11900" w:h="16838" w:orient="portrait"/>
          <w:cols w:equalWidth="0" w:num="2">
            <w:col w:w="6660" w:space="720"/>
            <w:col w:w="3720"/>
          </w:cols>
          <w:pgMar w:left="320" w:top="1091"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303-301-3271</w:t>
      </w:r>
    </w:p>
    <w:p>
      <w:pPr>
        <w:spacing w:after="0" w:line="10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8" w:lineRule="exact"/>
        <w:rPr>
          <w:rFonts w:ascii="MS PGothic" w:cs="MS PGothic" w:eastAsia="MS PGothic" w:hAnsi="MS PGothic"/>
          <w:sz w:val="22"/>
          <w:szCs w:val="22"/>
          <w:color w:val="auto"/>
        </w:rPr>
      </w:pPr>
    </w:p>
    <w:p>
      <w:pPr>
        <w:ind w:left="240" w:hanging="232"/>
        <w:spacing w:after="0" w:line="225" w:lineRule="auto"/>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240" w:hanging="232"/>
        <w:spacing w:after="0" w:line="225" w:lineRule="auto"/>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40" w:right="2820" w:hanging="32"/>
        <w:spacing w:after="0" w:line="233" w:lineRule="auto"/>
        <w:tabs>
          <w:tab w:leader="none" w:pos="23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0" w:type="dxa"/>
        <w:tblCellMar>
          <w:top w:w="0" w:type="dxa"/>
          <w:left w:w="0" w:type="dxa"/>
          <w:bottom w:w="0" w:type="dxa"/>
          <w:right w:w="0" w:type="dxa"/>
        </w:tblCellMar>
      </w:tblPr>
      <w:tr>
        <w:trPr>
          <w:trHeight w:val="143"/>
        </w:trPr>
        <w:tc>
          <w:tcPr>
            <w:tcW w:w="1320" w:type="dxa"/>
            <w:vAlign w:val="bottom"/>
          </w:tcPr>
          <w:p>
            <w:pPr>
              <w:spacing w:after="0"/>
              <w:rPr>
                <w:sz w:val="12"/>
                <w:szCs w:val="12"/>
                <w:color w:val="auto"/>
              </w:rPr>
            </w:pPr>
          </w:p>
        </w:tc>
        <w:tc>
          <w:tcPr>
            <w:tcW w:w="35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Title of Class</w:t>
            </w:r>
          </w:p>
        </w:tc>
        <w:tc>
          <w:tcPr>
            <w:tcW w:w="2880" w:type="dxa"/>
            <w:vAlign w:val="bottom"/>
            <w:gridSpan w:val="2"/>
          </w:tcPr>
          <w:p>
            <w:pPr>
              <w:jc w:val="center"/>
              <w:ind w:right="1940"/>
              <w:spacing w:after="0" w:line="143" w:lineRule="exact"/>
              <w:rPr>
                <w:sz w:val="20"/>
                <w:szCs w:val="20"/>
                <w:color w:val="auto"/>
              </w:rPr>
            </w:pPr>
            <w:r>
              <w:rPr>
                <w:rFonts w:ascii="Times New Roman" w:cs="Times New Roman" w:eastAsia="Times New Roman" w:hAnsi="Times New Roman"/>
                <w:sz w:val="14"/>
                <w:szCs w:val="14"/>
                <w:color w:val="auto"/>
              </w:rPr>
              <w:t>Trading Symbol</w:t>
            </w:r>
          </w:p>
        </w:tc>
        <w:tc>
          <w:tcPr>
            <w:tcW w:w="2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19"/>
        </w:trPr>
        <w:tc>
          <w:tcPr>
            <w:tcW w:w="48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2880" w:type="dxa"/>
            <w:vAlign w:val="bottom"/>
            <w:gridSpan w:val="2"/>
          </w:tcPr>
          <w:p>
            <w:pPr>
              <w:jc w:val="center"/>
              <w:ind w:right="1940"/>
              <w:spacing w:after="0" w:line="119" w:lineRule="exact"/>
              <w:rPr>
                <w:sz w:val="20"/>
                <w:szCs w:val="20"/>
                <w:color w:val="auto"/>
              </w:rPr>
            </w:pPr>
            <w:r>
              <w:rPr>
                <w:rFonts w:ascii="Times New Roman" w:cs="Times New Roman" w:eastAsia="Times New Roman" w:hAnsi="Times New Roman"/>
                <w:sz w:val="13"/>
                <w:szCs w:val="13"/>
                <w:color w:val="auto"/>
              </w:rPr>
              <w:t>GOGO</w:t>
            </w:r>
          </w:p>
        </w:tc>
        <w:tc>
          <w:tcPr>
            <w:tcW w:w="26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r>
      <w:tr>
        <w:trPr>
          <w:trHeight w:val="188"/>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288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color w:val="auto"/>
              </w:rPr>
              <w:t>GOGO</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13"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1"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112" w:lineRule="exact"/>
        <w:rPr>
          <w:sz w:val="20"/>
          <w:szCs w:val="20"/>
          <w:color w:val="auto"/>
        </w:rPr>
      </w:pPr>
    </w:p>
    <w:p>
      <w:pPr>
        <w:ind w:right="320" w:firstLine="749"/>
        <w:spacing w:after="0" w:line="269" w:lineRule="auto"/>
        <w:rPr>
          <w:sz w:val="20"/>
          <w:szCs w:val="20"/>
          <w:color w:val="auto"/>
        </w:rPr>
      </w:pPr>
      <w:r>
        <w:rPr>
          <w:rFonts w:ascii="Times New Roman" w:cs="Times New Roman" w:eastAsia="Times New Roman" w:hAnsi="Times New Roman"/>
          <w:sz w:val="20"/>
          <w:szCs w:val="20"/>
          <w:color w:val="auto"/>
        </w:rPr>
        <w:t>On May 7, 2026, Gogo Inc. issued a press release and infographic announcing its results of operations for the first quarter ended March 31, 2026. Copies of the press release and infographic are attached hereto as Exhibit 99.1 and Exhibit 99.2,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No.</w:t>
            </w:r>
          </w:p>
        </w:tc>
        <w:tc>
          <w:tcPr>
            <w:tcW w:w="88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92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99.1</w:t>
            </w:r>
          </w:p>
        </w:tc>
        <w:tc>
          <w:tcPr>
            <w:tcW w:w="1400" w:type="dxa"/>
            <w:vAlign w:val="bottom"/>
          </w:tcPr>
          <w:p>
            <w:pPr>
              <w:spacing w:after="0"/>
              <w:rPr>
                <w:sz w:val="17"/>
                <w:szCs w:val="17"/>
                <w:color w:val="auto"/>
              </w:rPr>
            </w:pPr>
          </w:p>
        </w:tc>
        <w:tc>
          <w:tcPr>
            <w:tcW w:w="242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Press Release dated May 7, 2026.</w:t>
            </w:r>
          </w:p>
        </w:tc>
        <w:tc>
          <w:tcPr>
            <w:tcW w:w="6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20"/>
                <w:szCs w:val="20"/>
                <w:color w:val="auto"/>
              </w:rPr>
              <w:t>99.2</w:t>
            </w:r>
          </w:p>
        </w:tc>
        <w:tc>
          <w:tcPr>
            <w:tcW w:w="1400" w:type="dxa"/>
            <w:vAlign w:val="bottom"/>
          </w:tcPr>
          <w:p>
            <w:pPr>
              <w:spacing w:after="0"/>
              <w:rPr>
                <w:sz w:val="18"/>
                <w:szCs w:val="18"/>
                <w:color w:val="auto"/>
              </w:rPr>
            </w:pPr>
          </w:p>
        </w:tc>
        <w:tc>
          <w:tcPr>
            <w:tcW w:w="8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Infographic dated May 7, 2026</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104</w:t>
            </w:r>
          </w:p>
        </w:tc>
        <w:tc>
          <w:tcPr>
            <w:tcW w:w="1400" w:type="dxa"/>
            <w:vAlign w:val="bottom"/>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20" w:type="dxa"/>
            <w:vAlign w:val="bottom"/>
            <w:gridSpan w:val="2"/>
            <w:vMerge w:val="continue"/>
          </w:tcPr>
          <w:p>
            <w:pPr>
              <w:spacing w:after="0"/>
              <w:rPr>
                <w:sz w:val="23"/>
                <w:szCs w:val="23"/>
                <w:color w:val="auto"/>
              </w:rPr>
            </w:pPr>
          </w:p>
        </w:tc>
        <w:tc>
          <w:tcPr>
            <w:tcW w:w="1400" w:type="dxa"/>
            <w:vAlign w:val="bottom"/>
          </w:tcPr>
          <w:p>
            <w:pPr>
              <w:spacing w:after="0"/>
              <w:rPr>
                <w:sz w:val="23"/>
                <w:szCs w:val="23"/>
                <w:color w:val="auto"/>
              </w:rPr>
            </w:pP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46"/>
        </w:trPr>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GOGO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 xml:space="preserve">By: </w:t>
      </w:r>
      <w:r>
        <w:rPr>
          <w:rFonts w:ascii="Times New Roman" w:cs="Times New Roman" w:eastAsia="Times New Roman" w:hAnsi="Times New Roman"/>
          <w:sz w:val="20"/>
          <w:szCs w:val="20"/>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-8255</wp:posOffset>
            </wp:positionV>
            <wp:extent cx="1570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Zachary Cotner</w:t>
      </w:r>
    </w:p>
    <w:p>
      <w:pPr>
        <w:ind w:left="5620"/>
        <w:spacing w:after="0"/>
        <w:rPr>
          <w:sz w:val="20"/>
          <w:szCs w:val="20"/>
          <w:color w:val="auto"/>
        </w:rPr>
      </w:pPr>
      <w:r>
        <w:rPr>
          <w:rFonts w:ascii="Times New Roman" w:cs="Times New Roman" w:eastAsia="Times New Roman" w:hAnsi="Times New Roman"/>
          <w:sz w:val="20"/>
          <w:szCs w:val="20"/>
          <w:color w:val="auto"/>
        </w:rPr>
        <w:t>Executive Vice President and</w:t>
      </w:r>
    </w:p>
    <w:p>
      <w:pPr>
        <w:ind w:left="56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-190500</wp:posOffset>
            </wp:positionV>
            <wp:extent cx="1148715"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8715" cy="7118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b w:val="1"/>
                <w:bCs w:val="1"/>
                <w:color w:val="auto"/>
              </w:rPr>
              <w:t>Investor Relations Contact:</w:t>
            </w:r>
          </w:p>
        </w:tc>
        <w:tc>
          <w:tcPr>
            <w:tcW w:w="5080" w:type="dxa"/>
            <w:vAlign w:val="bottom"/>
          </w:tcPr>
          <w:p>
            <w:pPr>
              <w:jc w:val="right"/>
              <w:spacing w:after="0"/>
              <w:rPr>
                <w:sz w:val="20"/>
                <w:szCs w:val="20"/>
                <w:color w:val="auto"/>
              </w:rPr>
            </w:pPr>
            <w:r>
              <w:rPr>
                <w:rFonts w:ascii="Arial" w:cs="Arial" w:eastAsia="Arial" w:hAnsi="Arial"/>
                <w:sz w:val="18"/>
                <w:szCs w:val="18"/>
                <w:b w:val="1"/>
                <w:bCs w:val="1"/>
                <w:color w:val="auto"/>
              </w:rPr>
              <w:t>Media Relations Contact:</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Collected Strategies</w:t>
            </w: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Stacey Giglio</w:t>
            </w:r>
          </w:p>
        </w:tc>
      </w:tr>
      <w:tr>
        <w:trPr>
          <w:trHeight w:val="203"/>
        </w:trPr>
        <w:tc>
          <w:tcPr>
            <w:tcW w:w="5720" w:type="dxa"/>
            <w:vAlign w:val="bottom"/>
          </w:tcPr>
          <w:p>
            <w:pPr>
              <w:spacing w:after="0"/>
              <w:rPr>
                <w:sz w:val="17"/>
                <w:szCs w:val="17"/>
                <w:color w:val="auto"/>
              </w:rPr>
            </w:pP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+1 321-525-4607</w:t>
            </w:r>
          </w:p>
        </w:tc>
      </w:tr>
      <w:tr>
        <w:trPr>
          <w:trHeight w:val="239"/>
        </w:trPr>
        <w:tc>
          <w:tcPr>
            <w:tcW w:w="5720" w:type="dxa"/>
            <w:vAlign w:val="bottom"/>
          </w:tcPr>
          <w:p>
            <w:pPr>
              <w:spacing w:after="0"/>
              <w:rPr>
                <w:sz w:val="20"/>
                <w:szCs w:val="20"/>
                <w:color w:val="auto"/>
              </w:rPr>
            </w:pPr>
            <w:r>
              <w:rPr>
                <w:rFonts w:ascii="Arial" w:cs="Arial" w:eastAsia="Arial" w:hAnsi="Arial"/>
                <w:sz w:val="18"/>
                <w:szCs w:val="18"/>
                <w:color w:val="auto"/>
              </w:rPr>
              <w:t>Gogo-CS@collectedstrategies.com</w:t>
            </w:r>
          </w:p>
        </w:tc>
        <w:tc>
          <w:tcPr>
            <w:tcW w:w="5080" w:type="dxa"/>
            <w:vAlign w:val="bottom"/>
          </w:tcPr>
          <w:p>
            <w:pPr>
              <w:jc w:val="right"/>
              <w:spacing w:after="0"/>
              <w:rPr>
                <w:sz w:val="20"/>
                <w:szCs w:val="20"/>
                <w:color w:val="auto"/>
              </w:rPr>
            </w:pPr>
            <w:r>
              <w:rPr>
                <w:rFonts w:ascii="Arial" w:cs="Arial" w:eastAsia="Arial" w:hAnsi="Arial"/>
                <w:sz w:val="18"/>
                <w:szCs w:val="18"/>
                <w:color w:val="auto"/>
              </w:rPr>
              <w:t>sgiglio@gogoair.com</w:t>
            </w: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GOGO ANNOUNCES FIRST QUARTER RESULTS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Total Revenue of $226.3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Equipment Revenue up 22% Year-Over-Year to $38.6 million on Record ATG Unit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Net Income of $13.1 million, Adjusted EBITDA</w:t>
      </w:r>
      <w:r>
        <w:rPr>
          <w:rFonts w:ascii="Arial" w:cs="Arial" w:eastAsia="Arial" w:hAnsi="Arial"/>
          <w:sz w:val="26"/>
          <w:szCs w:val="26"/>
          <w:b w:val="1"/>
          <w:bCs w:val="1"/>
          <w:i w:val="1"/>
          <w:iCs w:val="1"/>
          <w:color w:val="auto"/>
          <w:vertAlign w:val="superscript"/>
        </w:rPr>
        <w:t>1</w:t>
      </w:r>
      <w:r>
        <w:rPr>
          <w:rFonts w:ascii="Arial" w:cs="Arial" w:eastAsia="Arial" w:hAnsi="Arial"/>
          <w:sz w:val="20"/>
          <w:szCs w:val="20"/>
          <w:b w:val="1"/>
          <w:bCs w:val="1"/>
          <w:i w:val="1"/>
          <w:iCs w:val="1"/>
          <w:color w:val="auto"/>
        </w:rPr>
        <w:t xml:space="preserve"> of $53.3 million, up 41% Sequentially</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Gogo Galileo and 5G Expected to Ramp in 2026</w:t>
      </w:r>
    </w:p>
    <w:p>
      <w:pPr>
        <w:spacing w:after="0" w:line="200"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BROOMFIELD, Colo. - May 7, 2026 </w:t>
      </w:r>
      <w:r>
        <w:rPr>
          <w:rFonts w:ascii="Arial" w:cs="Arial" w:eastAsia="Arial" w:hAnsi="Arial"/>
          <w:sz w:val="20"/>
          <w:szCs w:val="20"/>
          <w:color w:val="auto"/>
        </w:rPr>
        <w:t>– Gogo Inc. (NASDAQ: GOGO) (“Gogo” or the “Company”), a leading global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broadband connectivity services for the business and military/government aviation markets, today announced its financial results for the quarter ended March 31, 2026.</w:t>
      </w:r>
    </w:p>
    <w:p>
      <w:pPr>
        <w:spacing w:after="0" w:line="170"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“We are pleased with our results in the quarter as Gogo continues its transformation from a domestic provider of air-to-ground (“ATG”) connectivity into a global provider of high-speed broadband to the underpenetrated business and military/government aviation markets,” said Chris Moore, CEO of Gogo. “Gogo Galileo is scaling globally, our sovereign 5G network is live and gaining traction amongst our business and military/government aviation customers, and our geostationary earth orbit (“GEO”) business continues to be resilient.”</w:t>
      </w:r>
    </w:p>
    <w:p>
      <w:pPr>
        <w:spacing w:after="0" w:line="175" w:lineRule="exact"/>
        <w:rPr>
          <w:sz w:val="20"/>
          <w:szCs w:val="20"/>
          <w:color w:val="auto"/>
        </w:rPr>
      </w:pPr>
    </w:p>
    <w:p>
      <w:pPr>
        <w:ind w:right="440"/>
        <w:spacing w:after="0" w:line="241" w:lineRule="auto"/>
        <w:rPr>
          <w:sz w:val="20"/>
          <w:szCs w:val="20"/>
          <w:color w:val="auto"/>
        </w:rPr>
      </w:pPr>
      <w:r>
        <w:rPr>
          <w:rFonts w:ascii="Arial" w:cs="Arial" w:eastAsia="Arial" w:hAnsi="Arial"/>
          <w:sz w:val="20"/>
          <w:szCs w:val="20"/>
          <w:color w:val="auto"/>
        </w:rPr>
        <w:t>Zac Cotner, CFO of Gogo, commented, “Our first quarter reflects the strong demand for our next-generation products as demonstrated by our record ATG and robust Gogo Galileo shipments. Further, our $ 21.1 million debt principal repayment in April underscores our commitment to de-lever the balance sheet, which remains our top capital allocation priority.”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Q1 2026 Financial Highlights</w:t>
      </w:r>
    </w:p>
    <w:p>
      <w:pPr>
        <w:spacing w:after="0" w:line="20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of $226.3 million decreased 2% compared to Q1 2025 and 2% compared to Q4 2025.</w:t>
      </w:r>
    </w:p>
    <w:p>
      <w:pPr>
        <w:spacing w:after="0" w:line="214" w:lineRule="exact"/>
        <w:rPr>
          <w:rFonts w:ascii="Times New Roman" w:cs="Times New Roman" w:eastAsia="Times New Roman" w:hAnsi="Times New Roman"/>
          <w:sz w:val="20"/>
          <w:szCs w:val="20"/>
          <w:color w:val="auto"/>
        </w:rPr>
      </w:pPr>
    </w:p>
    <w:p>
      <w:pPr>
        <w:ind w:left="1040"/>
        <w:spacing w:after="0"/>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Equipment Revenue</w:t>
      </w:r>
    </w:p>
    <w:p>
      <w:pPr>
        <w:spacing w:after="0" w:line="4" w:lineRule="exact"/>
        <w:rPr>
          <w:rFonts w:ascii="Times New Roman" w:cs="Times New Roman" w:eastAsia="Times New Roman" w:hAnsi="Times New Roman"/>
          <w:sz w:val="20"/>
          <w:szCs w:val="20"/>
          <w:color w:val="auto"/>
        </w:rPr>
      </w:pPr>
    </w:p>
    <w:p>
      <w:pPr>
        <w:ind w:left="1020" w:right="14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Equipment revenue of $38.6 million increased 22% compared to Q1 2025 and was flat compared to Q4 2025.</w:t>
      </w:r>
      <w:r>
        <w:rPr>
          <w:rFonts w:ascii="Times New Roman" w:cs="Times New Roman" w:eastAsia="Times New Roman" w:hAnsi="Times New Roman"/>
          <w:sz w:val="20"/>
          <w:szCs w:val="20"/>
          <w:color w:val="auto"/>
        </w:rPr>
        <w:t xml:space="preserve"> o </w:t>
      </w:r>
      <w:r>
        <w:rPr>
          <w:rFonts w:ascii="Arial" w:cs="Arial" w:eastAsia="Arial" w:hAnsi="Arial"/>
          <w:sz w:val="20"/>
          <w:szCs w:val="20"/>
          <w:color w:val="auto"/>
        </w:rPr>
        <w:t>ATG equipment units sold in Q1 2026 totaled 511, an all-time record, and was up 8% compared to Q4 2025.</w:t>
      </w:r>
      <w:r>
        <w:rPr>
          <w:rFonts w:ascii="Times New Roman" w:cs="Times New Roman" w:eastAsia="Times New Roman" w:hAnsi="Times New Roman"/>
          <w:sz w:val="20"/>
          <w:szCs w:val="20"/>
          <w:color w:val="auto"/>
        </w:rPr>
        <w:t xml:space="preserve"> o </w:t>
      </w:r>
      <w:r>
        <w:rPr>
          <w:rFonts w:ascii="Arial" w:cs="Arial" w:eastAsia="Arial" w:hAnsi="Arial"/>
          <w:sz w:val="20"/>
          <w:szCs w:val="20"/>
          <w:color w:val="auto"/>
        </w:rPr>
        <w:t>Q1 equipment units shipped for Gogo Galileo, Gogo's new cutting-edge Low Earth Orbit ("LEO") satellite</w:t>
      </w:r>
    </w:p>
    <w:p>
      <w:pPr>
        <w:spacing w:after="0" w:line="2" w:lineRule="exact"/>
        <w:rPr>
          <w:rFonts w:ascii="Times New Roman" w:cs="Times New Roman" w:eastAsia="Times New Roman" w:hAnsi="Times New Roman"/>
          <w:sz w:val="20"/>
          <w:szCs w:val="20"/>
          <w:color w:val="auto"/>
        </w:rPr>
      </w:pPr>
    </w:p>
    <w:p>
      <w:pPr>
        <w:ind w:left="1540" w:right="800"/>
        <w:spacing w:after="0" w:line="239" w:lineRule="auto"/>
        <w:rPr>
          <w:rFonts w:ascii="Times New Roman" w:cs="Times New Roman" w:eastAsia="Times New Roman" w:hAnsi="Times New Roman"/>
          <w:sz w:val="20"/>
          <w:szCs w:val="20"/>
          <w:color w:val="auto"/>
        </w:rPr>
      </w:pPr>
      <w:r>
        <w:rPr>
          <w:rFonts w:ascii="Arial" w:cs="Arial" w:eastAsia="Arial" w:hAnsi="Arial"/>
          <w:sz w:val="20"/>
          <w:szCs w:val="20"/>
          <w:color w:val="auto"/>
        </w:rPr>
        <w:t>broadband service, totaled 92, down 42% compared to Q4 2025. Cumulative Gogo Galileo equipment shipments reached 410 units.</w:t>
      </w:r>
    </w:p>
    <w:p>
      <w:pPr>
        <w:spacing w:after="0" w:line="171" w:lineRule="exact"/>
        <w:rPr>
          <w:rFonts w:ascii="Times New Roman" w:cs="Times New Roman" w:eastAsia="Times New Roman" w:hAnsi="Times New Roman"/>
          <w:sz w:val="20"/>
          <w:szCs w:val="20"/>
          <w:color w:val="auto"/>
        </w:rPr>
      </w:pPr>
    </w:p>
    <w:p>
      <w:pPr>
        <w:ind w:left="1040"/>
        <w:spacing w:after="0"/>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Service Revenue</w:t>
      </w:r>
    </w:p>
    <w:p>
      <w:pPr>
        <w:spacing w:after="0" w:line="4" w:lineRule="exact"/>
        <w:rPr>
          <w:rFonts w:ascii="Times New Roman" w:cs="Times New Roman" w:eastAsia="Times New Roman" w:hAnsi="Times New Roman"/>
          <w:sz w:val="20"/>
          <w:szCs w:val="20"/>
          <w:color w:val="auto"/>
        </w:rPr>
      </w:pPr>
    </w:p>
    <w:p>
      <w:pPr>
        <w:ind w:left="1540" w:right="320" w:hanging="509"/>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20"/>
          <w:szCs w:val="20"/>
          <w:color w:val="auto"/>
        </w:rPr>
        <w:t>Service revenue of $187.7 million decreased 5% compared to Q1 2025 and decreased 2% compared to Q4 2025.</w:t>
      </w:r>
    </w:p>
    <w:p>
      <w:pPr>
        <w:spacing w:after="0" w:line="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left="2040" w:right="700" w:hanging="505"/>
        <w:spacing w:after="0" w:line="234" w:lineRule="auto"/>
        <w:tabs>
          <w:tab w:leader="none" w:pos="20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Business aviation service revenue of $154.4 million decreased 9% compared to Q1 2025 and 4% compared to Q4 2025.</w:t>
      </w:r>
    </w:p>
    <w:p>
      <w:pPr>
        <w:ind w:left="2040" w:right="420" w:hanging="505"/>
        <w:spacing w:after="0" w:line="224" w:lineRule="auto"/>
        <w:tabs>
          <w:tab w:leader="none" w:pos="20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Military / Government service revenue of $33.4 million increased 14% compared to Q1 2025 and 7% compared to Q4 2025.</w:t>
      </w:r>
    </w:p>
    <w:p>
      <w:pPr>
        <w:spacing w:after="0" w:line="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Aircraft online ("AOL") as of March 31, 2026:</w:t>
      </w:r>
    </w:p>
    <w:p>
      <w:pPr>
        <w:spacing w:after="0" w:line="12" w:lineRule="exact"/>
        <w:rPr>
          <w:rFonts w:ascii="Times New Roman" w:cs="Times New Roman" w:eastAsia="Times New Roman" w:hAnsi="Times New Roman"/>
          <w:sz w:val="20"/>
          <w:szCs w:val="20"/>
          <w:color w:val="auto"/>
        </w:rPr>
      </w:pPr>
    </w:p>
    <w:p>
      <w:pPr>
        <w:ind w:left="1020"/>
        <w:spacing w:after="0" w:line="20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19"/>
          <w:szCs w:val="19"/>
          <w:color w:val="auto"/>
        </w:rPr>
        <w:t>Total ATG AOL</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of 6,116 decreased 11% versus Q1 2025 and 4% versus Q4 2025.</w:t>
      </w:r>
    </w:p>
    <w:p>
      <w:pPr>
        <w:ind w:left="2040" w:hanging="505"/>
        <w:spacing w:after="0" w:line="224" w:lineRule="auto"/>
        <w:tabs>
          <w:tab w:leader="none" w:pos="20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ATG AVANCE AOL of 4,851 increased 3% compared to March 31, 2025 and decreased 2% compared to December 31, 2025.</w:t>
      </w:r>
    </w:p>
    <w:p>
      <w:pPr>
        <w:spacing w:after="0" w:line="1" w:lineRule="exact"/>
        <w:rPr>
          <w:rFonts w:ascii="Times New Roman" w:cs="Times New Roman" w:eastAsia="Times New Roman" w:hAnsi="Times New Roman"/>
          <w:sz w:val="20"/>
          <w:szCs w:val="20"/>
          <w:color w:val="auto"/>
        </w:rPr>
      </w:pPr>
    </w:p>
    <w:p>
      <w:pPr>
        <w:ind w:left="2040" w:hanging="505"/>
        <w:spacing w:after="0" w:line="236" w:lineRule="auto"/>
        <w:tabs>
          <w:tab w:leader="none" w:pos="204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ATG C-1 AOL of 557 increased 69% from 330 as of December 31, 2025. Gogo's C-1 solution is a simple</w:t>
      </w:r>
    </w:p>
    <w:p>
      <w:pPr>
        <w:ind w:left="2040" w:right="180"/>
        <w:spacing w:after="0" w:line="225" w:lineRule="auto"/>
        <w:rPr>
          <w:sz w:val="20"/>
          <w:szCs w:val="20"/>
          <w:color w:val="auto"/>
        </w:rPr>
      </w:pPr>
      <w:r>
        <w:rPr>
          <w:rFonts w:ascii="Arial" w:cs="Arial" w:eastAsia="Arial" w:hAnsi="Arial"/>
          <w:sz w:val="20"/>
          <w:szCs w:val="20"/>
          <w:color w:val="auto"/>
        </w:rPr>
        <w:t>box swap designed to allow connectivity for Classic ATG customers on Gogo's new LTE network which is expected to come online in 2026.</w:t>
      </w:r>
    </w:p>
    <w:p>
      <w:pPr>
        <w:spacing w:after="0" w:line="1" w:lineRule="exact"/>
        <w:rPr>
          <w:sz w:val="20"/>
          <w:szCs w:val="20"/>
          <w:color w:val="auto"/>
        </w:rPr>
      </w:pPr>
    </w:p>
    <w:p>
      <w:pPr>
        <w:ind w:left="1540" w:right="320" w:hanging="514"/>
        <w:spacing w:after="0" w:line="224" w:lineRule="auto"/>
        <w:tabs>
          <w:tab w:leader="none" w:pos="154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Broadband GEO AOL of 1,306 increased 2% compared to March 31, 2025 and decreased 1% compared to December 31, 2025.</w:t>
      </w:r>
    </w:p>
    <w:p>
      <w:pPr>
        <w:spacing w:after="0" w:line="1" w:lineRule="exact"/>
        <w:rPr>
          <w:rFonts w:ascii="Times New Roman" w:cs="Times New Roman" w:eastAsia="Times New Roman" w:hAnsi="Times New Roman"/>
          <w:sz w:val="20"/>
          <w:szCs w:val="20"/>
          <w:color w:val="auto"/>
        </w:rPr>
      </w:pPr>
    </w:p>
    <w:p>
      <w:pPr>
        <w:ind w:left="1540" w:hanging="514"/>
        <w:spacing w:after="0" w:line="238" w:lineRule="auto"/>
        <w:tabs>
          <w:tab w:leader="none" w:pos="154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Gogo Galileo AOL of 111 increased 50% from 74 as of December 31, 2025.</w:t>
      </w:r>
    </w:p>
    <w:p>
      <w:pPr>
        <w:ind w:left="1020" w:right="160" w:hanging="503"/>
        <w:spacing w:after="0" w:line="251"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Net income for the quarter was $13.1 million, which includes a $4.9 million pre-tax reduction to the earn-out accrual related to the Satcom Direct acquisition. Net income was $12.0 million in Q1 2025 and ($10.0) million in Q4 2025.</w:t>
      </w:r>
    </w:p>
    <w:p>
      <w:pPr>
        <w:spacing w:after="0" w:line="1" w:lineRule="exact"/>
        <w:rPr>
          <w:rFonts w:ascii="Times New Roman" w:cs="Times New Roman" w:eastAsia="Times New Roman" w:hAnsi="Times New Roman"/>
          <w:sz w:val="19"/>
          <w:szCs w:val="19"/>
          <w:color w:val="auto"/>
        </w:rPr>
      </w:pPr>
    </w:p>
    <w:p>
      <w:pPr>
        <w:ind w:left="1020" w:right="40" w:hanging="503"/>
        <w:spacing w:after="0" w:line="19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$53.3 million decreased 14% compared to Q1 2025 and increased 41% compared to Q4 2025. Adjusted EBITDA includes $6.1 million of expense incurred in the quarter for ongoing litigation matters.</w:t>
      </w:r>
    </w:p>
    <w:p>
      <w:pPr>
        <w:ind w:left="1020" w:right="500" w:hanging="503"/>
        <w:spacing w:after="0" w:line="23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cash (used in) provided by operating activities was $(7.2) million in Q1 2026, down from $32.5 million in Q1 2025 and down from $8.5 million in Q4 2025.</w:t>
      </w:r>
    </w:p>
    <w:p>
      <w:pPr>
        <w:ind w:left="1020" w:right="80" w:hanging="503"/>
        <w:spacing w:after="0" w:line="20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$(19.2) million in Q1 2026 was down from $30.0 million in Q1 2025 and down from $(4.9) million in Q4 2025. Free Cash Flow in the quarter was impacted by annual bonus payouts of $14 million and a reduction in accounts payable and accruals related to inventory purchases.</w:t>
      </w:r>
    </w:p>
    <w:p>
      <w:pPr>
        <w:spacing w:after="0" w:line="2" w:lineRule="exact"/>
        <w:rPr>
          <w:rFonts w:ascii="Times New Roman" w:cs="Times New Roman" w:eastAsia="Times New Roman" w:hAnsi="Times New Roman"/>
          <w:sz w:val="20"/>
          <w:szCs w:val="20"/>
          <w:color w:val="auto"/>
        </w:rPr>
      </w:pPr>
    </w:p>
    <w:p>
      <w:pPr>
        <w:ind w:left="1020" w:right="20" w:hanging="503"/>
        <w:spacing w:after="0" w:line="23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was $103.5 million as of March 31, 2026 compared to $125.2 million as of December 31, 2025 and $70.3 million as of March 31, 2025.</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Developments</w:t>
      </w:r>
    </w:p>
    <w:p>
      <w:pPr>
        <w:spacing w:after="0" w:line="204" w:lineRule="exact"/>
        <w:rPr>
          <w:sz w:val="20"/>
          <w:szCs w:val="20"/>
          <w:color w:val="auto"/>
        </w:rPr>
      </w:pPr>
    </w:p>
    <w:p>
      <w:pPr>
        <w:ind w:left="1020" w:right="720" w:hanging="503"/>
        <w:spacing w:after="0" w:line="23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received approval for an extension under the FCC Reimbursement Program related to its LTE network deployment through November 8, 2026.</w:t>
      </w:r>
    </w:p>
    <w:p>
      <w:pPr>
        <w:ind w:left="1020" w:right="200" w:hanging="503"/>
        <w:spacing w:after="0" w:line="22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NetJets Europe is expected to fully roll out Gogo Galileo in the first half of 2026, comprising over half of our current Gogo Galileo AOL. Gogo has also started fleet installations with NetJets North America.</w:t>
      </w:r>
    </w:p>
    <w:p>
      <w:pPr>
        <w:spacing w:after="0" w:line="1" w:lineRule="exact"/>
        <w:rPr>
          <w:rFonts w:ascii="Times New Roman" w:cs="Times New Roman" w:eastAsia="Times New Roman" w:hAnsi="Times New Roman"/>
          <w:sz w:val="20"/>
          <w:szCs w:val="20"/>
          <w:color w:val="auto"/>
        </w:rPr>
      </w:pPr>
    </w:p>
    <w:p>
      <w:pPr>
        <w:ind w:left="1020" w:right="760" w:hanging="503"/>
        <w:spacing w:after="0" w:line="22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Gogo has been awarded approximately $7.5 million in contracts from the National Oceanic and Atmospheric Administration (“NOAA”) that will be delivered over the next five years.</w:t>
      </w:r>
    </w:p>
    <w:p>
      <w:pPr>
        <w:spacing w:after="0" w:line="1" w:lineRule="exact"/>
        <w:rPr>
          <w:rFonts w:ascii="Times New Roman" w:cs="Times New Roman" w:eastAsia="Times New Roman" w:hAnsi="Times New Roman"/>
          <w:sz w:val="20"/>
          <w:szCs w:val="20"/>
          <w:color w:val="auto"/>
        </w:rPr>
      </w:pPr>
    </w:p>
    <w:p>
      <w:pPr>
        <w:jc w:val="both"/>
        <w:ind w:left="1020" w:right="160" w:hanging="503"/>
        <w:spacing w:after="0" w:line="225"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has now completed 35 Gogo Galileo commercial supplemental type certificates ("STCs"), covering a total addressable market of approximately 7,000 aircraft. Fourteen additional STCs are expected in the second and third quarters of 2026.</w:t>
      </w:r>
    </w:p>
    <w:p>
      <w:pPr>
        <w:ind w:left="1020" w:right="600" w:hanging="503"/>
        <w:spacing w:after="0" w:line="22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Gogo made a $40.0 million earn-out payment in April 2026 related to the Satcom Direct acquisition, due to the strong 2025 performance of the GEO business.</w:t>
      </w:r>
    </w:p>
    <w:p>
      <w:pPr>
        <w:spacing w:after="0" w:line="1" w:lineRule="exact"/>
        <w:rPr>
          <w:rFonts w:ascii="Times New Roman" w:cs="Times New Roman" w:eastAsia="Times New Roman" w:hAnsi="Times New Roman"/>
          <w:sz w:val="20"/>
          <w:szCs w:val="20"/>
          <w:color w:val="auto"/>
        </w:rPr>
      </w:pPr>
    </w:p>
    <w:p>
      <w:pPr>
        <w:ind w:left="1020" w:right="240" w:hanging="503"/>
        <w:spacing w:after="0" w:line="23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Gogo made a $21.1 million principal payment in April 2026 on the HPS term loan facility which is in alignment with our strategy to de-lever the balance sheet.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Reaffirms 2026 Financial Guidance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Gogo reiterates its 2026 financial guidance provided in February.</w:t>
      </w:r>
    </w:p>
    <w:p>
      <w:pPr>
        <w:spacing w:after="0" w:line="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Total revenue in the range of $905 million to $945 million, split ~80% service revenue and ~20% equipment revenue.</w:t>
      </w:r>
    </w:p>
    <w:p>
      <w:pPr>
        <w:spacing w:after="0" w:line="12" w:lineRule="exact"/>
        <w:rPr>
          <w:rFonts w:ascii="Times New Roman" w:cs="Times New Roman" w:eastAsia="Times New Roman" w:hAnsi="Times New Roman"/>
          <w:sz w:val="19"/>
          <w:szCs w:val="19"/>
          <w:color w:val="auto"/>
        </w:rPr>
      </w:pPr>
    </w:p>
    <w:p>
      <w:pPr>
        <w:ind w:left="11140"/>
        <w:spacing w:after="0"/>
        <w:rPr>
          <w:rFonts w:ascii="Times New Roman" w:cs="Times New Roman" w:eastAsia="Times New Roman" w:hAnsi="Times New Roman"/>
          <w:sz w:val="19"/>
          <w:szCs w:val="19"/>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 w:name="page6"/>
    <w:bookmarkEnd w:id="5"/>
    <w:p>
      <w:pPr>
        <w:ind w:left="1020" w:right="40" w:hanging="503"/>
        <w:spacing w:after="0" w:line="223"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in the range of $198 million to $218 million, which includes $3 million in strategic investments and $8 million of ongoing litigation expense.</w:t>
      </w:r>
    </w:p>
    <w:p>
      <w:pPr>
        <w:spacing w:after="0" w:line="1" w:lineRule="exact"/>
        <w:rPr>
          <w:rFonts w:ascii="Times New Roman" w:cs="Times New Roman" w:eastAsia="Times New Roman" w:hAnsi="Times New Roman"/>
          <w:sz w:val="20"/>
          <w:szCs w:val="20"/>
          <w:color w:val="auto"/>
        </w:rPr>
      </w:pPr>
    </w:p>
    <w:p>
      <w:pPr>
        <w:jc w:val="both"/>
        <w:ind w:left="1020" w:right="460" w:hanging="503"/>
        <w:spacing w:after="0" w:line="204"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in the range of $90 million to $110 million (based on a range of net cash provided by operating activities of $108 million to $128 million). This Free Cash Flow guidance includes $30 million slated for strategic investments in 2026, net of any FCC reimbursement.</w:t>
      </w:r>
    </w:p>
    <w:p>
      <w:pPr>
        <w:spacing w:after="0" w:line="2" w:lineRule="exact"/>
        <w:rPr>
          <w:rFonts w:ascii="Times New Roman" w:cs="Times New Roman" w:eastAsia="Times New Roman" w:hAnsi="Times New Roman"/>
          <w:sz w:val="20"/>
          <w:szCs w:val="20"/>
          <w:color w:val="auto"/>
        </w:rPr>
      </w:pPr>
    </w:p>
    <w:p>
      <w:pPr>
        <w:ind w:left="1020" w:right="260" w:hanging="503"/>
        <w:spacing w:after="0" w:line="239"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capital expenditures of $20 million. This assumes $45 million in reimbursement from the FCC Reimbursement Program.</w:t>
      </w:r>
    </w:p>
    <w:p>
      <w:pPr>
        <w:spacing w:after="0" w:line="26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See "Non-GAAP Financial Measures" below.</w:t>
      </w:r>
    </w:p>
    <w:p>
      <w:pPr>
        <w:spacing w:after="0" w:line="3"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See "Key Business Metrics" below.</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96"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The Company will host its first quarter conference call on May 7, 2026 at 8:30 a.m. ET. A live webcast of the conference call, as well as a replay, will be available online on the Investor Relations section of the Company’s investor website at https://ir.gogoair.com.</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Q1 Earnings Call Webcast Link: https://edge.media-server.com/mmc/p/u2r8pusu</w:t>
      </w:r>
    </w:p>
    <w:p>
      <w:pPr>
        <w:spacing w:after="0" w:line="94" w:lineRule="exact"/>
        <w:rPr>
          <w:sz w:val="20"/>
          <w:szCs w:val="20"/>
          <w:color w:val="auto"/>
        </w:rPr>
      </w:pPr>
    </w:p>
    <w:p>
      <w:pPr>
        <w:ind w:right="1640"/>
        <w:spacing w:after="0" w:line="257" w:lineRule="auto"/>
        <w:rPr>
          <w:sz w:val="20"/>
          <w:szCs w:val="20"/>
          <w:color w:val="auto"/>
        </w:rPr>
      </w:pPr>
      <w:r>
        <w:rPr>
          <w:rFonts w:ascii="Arial" w:cs="Arial" w:eastAsia="Arial" w:hAnsi="Arial"/>
          <w:sz w:val="20"/>
          <w:szCs w:val="20"/>
          <w:color w:val="auto"/>
        </w:rPr>
        <w:t>Participants can use the below link to retrieve your unique conference ID to use to access the conference call. https://register-conf.media-server.com/register/BIc4f987ec8e6641bcacc75d30405fcd9f</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6" w:lineRule="exact"/>
        <w:rPr>
          <w:sz w:val="20"/>
          <w:szCs w:val="20"/>
          <w:color w:val="auto"/>
        </w:rPr>
      </w:pPr>
    </w:p>
    <w:p>
      <w:pPr>
        <w:ind w:right="20"/>
        <w:spacing w:after="0"/>
        <w:rPr>
          <w:sz w:val="20"/>
          <w:szCs w:val="20"/>
          <w:color w:val="auto"/>
        </w:rPr>
      </w:pPr>
      <w:r>
        <w:rPr>
          <w:rFonts w:ascii="Arial" w:cs="Arial" w:eastAsia="Arial" w:hAnsi="Arial"/>
          <w:sz w:val="19"/>
          <w:szCs w:val="19"/>
          <w:color w:val="auto"/>
        </w:rPr>
        <w:t>We report certain non-GAAP financial measurements, including Adjusted EBITDA and Free Cash Flow in the discussion above.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and Free Cash Flow are not recognized measurements under accounting principles generally accepted in the United States, or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(loss) attributable to common stock as a measure of operating results, and (iii) use Free Cash Flow in addition to, and not as an alternative to, consolidated net cash provided by (used in) operating activities when evaluating our liquidity. No reconciliation of the forecasted amounts of Adjusted EBITDA for fiscal 2026 is included in this release because we are unable to quantify certain amounts that would be required to be included in the corresponding GAAP measure without unreasonable efforts, due to high variability and complexity with respect to estimating certain forward-looking amounts, and we are therefore unable to estimate the probable significance of such amounts. We believe such reconciliation would imply a degree of precision that would be confusing or misleading to investors.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Key Business Metrics</w:t>
      </w:r>
    </w:p>
    <w:p>
      <w:pPr>
        <w:spacing w:after="0" w:line="96" w:lineRule="exact"/>
        <w:rPr>
          <w:sz w:val="20"/>
          <w:szCs w:val="20"/>
          <w:color w:val="auto"/>
        </w:rPr>
      </w:pPr>
    </w:p>
    <w:p>
      <w:pPr>
        <w:jc w:val="both"/>
        <w:ind w:right="400"/>
        <w:spacing w:after="0" w:line="234" w:lineRule="auto"/>
        <w:rPr>
          <w:sz w:val="20"/>
          <w:szCs w:val="20"/>
          <w:color w:val="auto"/>
        </w:rPr>
      </w:pPr>
      <w:r>
        <w:rPr>
          <w:rFonts w:ascii="Arial" w:cs="Arial" w:eastAsia="Arial" w:hAnsi="Arial"/>
          <w:sz w:val="20"/>
          <w:szCs w:val="20"/>
          <w:color w:val="auto"/>
        </w:rPr>
        <w:t>Our management regularly reviews financial and business metrics, including the key business metrics in this press release under "Supplemental Information - Key Business Metrics," to evaluate the performance of our business and our success in executing our business plan, make decisions regarding resource allocation and corporate strategies, and evaluate forward-looking projections. Certain of these business metrics may be added, removed or updated from time to time as our business evolves.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6" w:lineRule="exact"/>
        <w:rPr>
          <w:sz w:val="20"/>
          <w:szCs w:val="20"/>
          <w:color w:val="auto"/>
        </w:rPr>
      </w:pPr>
    </w:p>
    <w:p>
      <w:pPr>
        <w:ind w:right="240"/>
        <w:spacing w:after="0" w:line="226" w:lineRule="auto"/>
        <w:rPr>
          <w:sz w:val="20"/>
          <w:szCs w:val="20"/>
          <w:color w:val="auto"/>
        </w:rPr>
      </w:pPr>
      <w:r>
        <w:rPr>
          <w:rFonts w:ascii="Arial" w:cs="Arial" w:eastAsia="Arial" w:hAnsi="Arial"/>
          <w:sz w:val="20"/>
          <w:szCs w:val="20"/>
          <w:i w:val="1"/>
          <w:iCs w:val="1"/>
          <w:color w:val="auto"/>
        </w:rPr>
        <w:t>Certain disclosures in this press release and related comments by our management include forward-looking statements within the meaning of the Private Securities Litigation Reform Act of 1995. These forward-looking</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ind w:right="20"/>
        <w:spacing w:after="0"/>
        <w:rPr>
          <w:sz w:val="20"/>
          <w:szCs w:val="20"/>
          <w:color w:val="auto"/>
        </w:rPr>
      </w:pPr>
      <w:r>
        <w:rPr>
          <w:rFonts w:ascii="Arial" w:cs="Arial" w:eastAsia="Arial" w:hAnsi="Arial"/>
          <w:sz w:val="19"/>
          <w:szCs w:val="19"/>
          <w:i w:val="1"/>
          <w:iCs w:val="1"/>
          <w:color w:val="auto"/>
        </w:rPr>
        <w:t>statements include, without limitation, statements regarding our business outlook,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press release. Forward-looking statements are based on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 our ability to continue to generate revenue from the provision of our connectivity and other service offerings; our development and fixed-price contracts; our reliance on our key OEMs and dealers for equipment sales; our dependence on single-source, third party satellite network providers; the impact of competition; our ability to maintain high-quality customer support; our reliance on third parties for equipment components and services; our participation in U.S. government contracts; our participation in non-U.S. government contracts; the finite useful life of satellites; the impact of global supply chain and logistics issues, tariffs and inflationary trends; the continued expansion of our business outside of the United States and its impact of such expansion on our corporate culture; foreign currency risk; our ability to recruit, train and retain highly skilled employees, and the loss of any key personnel; the impact of pandemics or other outbreaks of contagious diseases, and the measures implemented to combat them; the impact of adverse economic conditions and geopolitical instability; our ability to fully utilize portions of our deferred tax assets; the impact of climate change and other sustainability-related matters; our ability to evaluate or pursue strategic opportunities; our recently-deployed Gogo 5G and Gogo Galileo services may not compete well in the market or face problems relating to implementation; our ability to innovate next-generation technologies and provide products and services useful to our customers and passengers without delay in developing or deploying such technologies, products and services; our ability to maintain our rights to use our licensed 4Mhz of ATG spectrum in the United States and obtain rights to additional spectrum if needed; the impact of service interruptions or delays, cybersecurity incidents, technology failures, equipment damage or system disruptions or failures; the impact of assertions by third parties of infringement, misappropriation or other violations; our ability to protect our intellectual property rights; risks associated with the use of artificial intelligence in our products and services; the impact of our use of open-source software; the impact of equipment failure or material defects or errors in our software; our ability to comply with applicable foreign ownership limitations; the impact of government regulation of communication networks, and the internet; our possession and use of personal information; risks associated with participation in the FCC Reimbursement Program; our ability to comply with anti-bribery, anti-corruption and anti-money laundering laws; the extent of expenses, liabilities or business disruptions resulting from litigation; the impact of the distribution of income among various jurisdictions in which we operate as well as changes in tax law or regulation on our U.S. and non-U.S. tax liabilities; the impact of changes in laws and regulations on U.S. government contractors; the impact of our substantial indebtedness; our ability to obtain additional financing to refinance or repay our existing indebtedness; the impact of restrictions and limitations in the agreements and instruments governing our debt; the impact of increases in interest rates; the impact of a substantial portion of our indebtedness being secured by substantially all of our assets; the impact of a substantial change in rating assigned by a rating agency; the volatility of our stock price; our ability to fully utilize our tax losses; the dilutive impact of potential future stock issuances; the impact of our stockholder concentration; our ability to fulfill the obligations of being a public company; the impact of an identified material weakness in our internal controls; the impact of certain provisions of our charter, bylaws, and Delaware law; and other factors listed under the caption “Risk Factors” in our annual report on Form 10-K for the year ended December 31, 2025 as filed with the Securities and Exchange Commission (“SEC”) on February 27, 2026 and in our subsequent quarterly reports on Form 10-Q as filed with the SEC.</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 w:name="page8"/>
    <w:bookmarkEnd w:id="7"/>
    <w:p>
      <w:pPr>
        <w:ind w:right="40"/>
        <w:spacing w:after="0" w:line="234" w:lineRule="auto"/>
        <w:rPr>
          <w:sz w:val="20"/>
          <w:szCs w:val="20"/>
          <w:color w:val="auto"/>
        </w:rPr>
      </w:pPr>
      <w:r>
        <w:rPr>
          <w:rFonts w:ascii="Arial" w:cs="Arial" w:eastAsia="Arial" w:hAnsi="Arial"/>
          <w:sz w:val="20"/>
          <w:szCs w:val="20"/>
          <w:i w:val="1"/>
          <w:iCs w:val="1"/>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Gogo</w:t>
      </w:r>
    </w:p>
    <w:p>
      <w:pPr>
        <w:spacing w:after="0" w:line="96"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Gogo is the only multi-orbit, multi-band in-flight connectivity provider offering connectivity technology purpose-built for business and military/government mobility aviation. Its industry-leading product portfolio offers best-in-class solutions for all aircraft types, from small to large and heavy jets and beyond.</w:t>
      </w:r>
    </w:p>
    <w:p>
      <w:pPr>
        <w:spacing w:after="0" w:line="63" w:lineRule="exact"/>
        <w:rPr>
          <w:sz w:val="20"/>
          <w:szCs w:val="20"/>
          <w:color w:val="auto"/>
        </w:rPr>
      </w:pPr>
    </w:p>
    <w:p>
      <w:pPr>
        <w:ind w:right="580"/>
        <w:spacing w:after="0" w:line="241" w:lineRule="auto"/>
        <w:rPr>
          <w:sz w:val="20"/>
          <w:szCs w:val="20"/>
          <w:color w:val="auto"/>
        </w:rPr>
      </w:pPr>
      <w:r>
        <w:rPr>
          <w:rFonts w:ascii="Arial" w:cs="Arial" w:eastAsia="Arial" w:hAnsi="Arial"/>
          <w:sz w:val="20"/>
          <w:szCs w:val="20"/>
          <w:color w:val="auto"/>
        </w:rPr>
        <w:t>The Gogo offering uniquely incorporates Air-to-Ground technology and access to multiple satellite constellations to deliver consistent, global tip-to-tail connectivity through a sophisticated suite of software, hardware, and advanced infrastructure supported by a 24/7/365 in person customer support team.</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Gogo consistently strives to set new standards for reliability, security and innovation and is shaping the future of inflight aviation to make it easier for every customer to stay connected.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Gogo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14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Ended March 31,</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Service revenue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187,732</w:t>
            </w:r>
          </w:p>
        </w:tc>
        <w:tc>
          <w:tcPr>
            <w:tcW w:w="160" w:type="dxa"/>
            <w:vAlign w:val="bottom"/>
          </w:tcPr>
          <w:p>
            <w:pPr>
              <w:spacing w:after="0"/>
              <w:rPr>
                <w:sz w:val="14"/>
                <w:szCs w:val="14"/>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198,612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Arial" w:cs="Arial" w:eastAsia="Arial" w:hAnsi="Arial"/>
                <w:sz w:val="14"/>
                <w:szCs w:val="14"/>
                <w:color w:val="auto"/>
              </w:rPr>
              <w:t>Equipment revenue</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38,587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Total revenue</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226,319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230,307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line="147" w:lineRule="exact"/>
              <w:rPr>
                <w:sz w:val="20"/>
                <w:szCs w:val="20"/>
                <w:color w:val="auto"/>
              </w:rPr>
            </w:pPr>
            <w:r>
              <w:rPr>
                <w:rFonts w:ascii="Arial" w:cs="Arial" w:eastAsia="Arial" w:hAnsi="Arial"/>
                <w:sz w:val="14"/>
                <w:szCs w:val="14"/>
                <w:b w:val="1"/>
                <w:bCs w:val="1"/>
                <w:color w:val="auto"/>
              </w:rPr>
              <w:t>Operating expenses:</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Cost of service revenue (exclusive of amounts shown below)</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98,314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94,047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Cost of equipment revenue (exclusive of amounts shown below)</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34,988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Engineering, design and development</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26,208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29,519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194,632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195,120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line="155" w:lineRule="exact"/>
              <w:rPr>
                <w:sz w:val="20"/>
                <w:szCs w:val="20"/>
                <w:color w:val="auto"/>
              </w:rPr>
            </w:pPr>
            <w:r>
              <w:rPr>
                <w:rFonts w:ascii="Arial" w:cs="Arial" w:eastAsia="Arial" w:hAnsi="Arial"/>
                <w:sz w:val="14"/>
                <w:szCs w:val="14"/>
                <w:b w:val="1"/>
                <w:bCs w:val="1"/>
                <w:color w:val="auto"/>
              </w:rPr>
              <w:t>Operating income</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line="147" w:lineRule="exact"/>
              <w:rPr>
                <w:sz w:val="20"/>
                <w:szCs w:val="20"/>
                <w:color w:val="auto"/>
              </w:rPr>
            </w:pPr>
            <w:r>
              <w:rPr>
                <w:rFonts w:ascii="Arial" w:cs="Arial" w:eastAsia="Arial" w:hAnsi="Arial"/>
                <w:sz w:val="14"/>
                <w:szCs w:val="14"/>
                <w:b w:val="1"/>
                <w:bCs w:val="1"/>
                <w:color w:val="auto"/>
              </w:rPr>
              <w:t>Other expense (income):</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16,846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120"/>
              <w:spacing w:after="0"/>
              <w:rPr>
                <w:sz w:val="20"/>
                <w:szCs w:val="20"/>
                <w:color w:val="auto"/>
              </w:rPr>
            </w:pPr>
            <w:r>
              <w:rPr>
                <w:rFonts w:ascii="Arial" w:cs="Arial" w:eastAsia="Arial" w:hAnsi="Arial"/>
                <w:sz w:val="14"/>
                <w:szCs w:val="14"/>
                <w:color w:val="auto"/>
              </w:rPr>
              <w:t>Change in fair value of Earnout Liability</w:t>
            </w:r>
          </w:p>
        </w:tc>
        <w:tc>
          <w:tcPr>
            <w:tcW w:w="3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Arial" w:cs="Arial" w:eastAsia="Arial" w:hAnsi="Arial"/>
                <w:sz w:val="14"/>
                <w:szCs w:val="14"/>
                <w:color w:val="auto"/>
              </w:rPr>
              <w:t>Other expense (income), net</w:t>
            </w:r>
          </w:p>
        </w:tc>
        <w:tc>
          <w:tcPr>
            <w:tcW w:w="3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Total other expense</w:t>
            </w: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line="147" w:lineRule="exact"/>
              <w:rPr>
                <w:sz w:val="20"/>
                <w:szCs w:val="20"/>
                <w:color w:val="auto"/>
              </w:rPr>
            </w:pPr>
            <w:r>
              <w:rPr>
                <w:rFonts w:ascii="Arial" w:cs="Arial" w:eastAsia="Arial" w:hAnsi="Arial"/>
                <w:sz w:val="14"/>
                <w:szCs w:val="14"/>
                <w:b w:val="1"/>
                <w:bCs w:val="1"/>
                <w:color w:val="auto"/>
              </w:rPr>
              <w:t>Income before income taxes</w:t>
            </w:r>
          </w:p>
        </w:tc>
        <w:tc>
          <w:tcPr>
            <w:tcW w:w="36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Arial" w:cs="Arial" w:eastAsia="Arial" w:hAnsi="Arial"/>
                <w:sz w:val="14"/>
                <w:szCs w:val="14"/>
                <w:color w:val="auto"/>
              </w:rPr>
              <w:t>21,033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18,985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Arial" w:cs="Arial" w:eastAsia="Arial" w:hAnsi="Arial"/>
                <w:sz w:val="14"/>
                <w:szCs w:val="14"/>
                <w:color w:val="auto"/>
              </w:rPr>
              <w:t>Income tax provision</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13,085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Net income attributable to common stock per share:</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6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0.10</w:t>
            </w:r>
          </w:p>
        </w:tc>
        <w:tc>
          <w:tcPr>
            <w:tcW w:w="160" w:type="dxa"/>
            <w:vAlign w:val="bottom"/>
          </w:tcPr>
          <w:p>
            <w:pPr>
              <w:spacing w:after="0"/>
              <w:rPr>
                <w:sz w:val="14"/>
                <w:szCs w:val="14"/>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ind w:left="6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0.10</w:t>
            </w:r>
          </w:p>
        </w:tc>
        <w:tc>
          <w:tcPr>
            <w:tcW w:w="160" w:type="dxa"/>
            <w:vAlign w:val="bottom"/>
          </w:tcPr>
          <w:p>
            <w:pPr>
              <w:spacing w:after="0"/>
              <w:rPr>
                <w:sz w:val="14"/>
                <w:szCs w:val="14"/>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4"/>
                <w:szCs w:val="14"/>
                <w:b w:val="1"/>
                <w:bCs w:val="1"/>
                <w:color w:val="auto"/>
              </w:rPr>
              <w:t>Weighted average number of shares: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ind w:left="6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6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136,849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135,314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6220" w:type="dxa"/>
            <w:vAlign w:val="bottom"/>
          </w:tcPr>
          <w:p>
            <w:pPr>
              <w:jc w:val="center"/>
              <w:ind w:left="3488"/>
              <w:spacing w:after="0"/>
              <w:rPr>
                <w:sz w:val="20"/>
                <w:szCs w:val="20"/>
                <w:color w:val="auto"/>
              </w:rPr>
            </w:pPr>
            <w:r>
              <w:rPr>
                <w:rFonts w:ascii="Arial" w:cs="Arial" w:eastAsia="Arial" w:hAnsi="Arial"/>
                <w:sz w:val="14"/>
                <w:szCs w:val="14"/>
                <w:b w:val="1"/>
                <w:bCs w:val="1"/>
                <w:color w:val="auto"/>
              </w:rPr>
              <w:t>Gogo Inc. and Subsidiaries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80" w:type="dxa"/>
            <w:vAlign w:val="bottom"/>
            <w:gridSpan w:val="3"/>
          </w:tcPr>
          <w:p>
            <w:pPr>
              <w:jc w:val="center"/>
              <w:ind w:left="3028"/>
              <w:spacing w:after="0"/>
              <w:rPr>
                <w:sz w:val="20"/>
                <w:szCs w:val="20"/>
                <w:color w:val="auto"/>
              </w:rPr>
            </w:pPr>
            <w:r>
              <w:rPr>
                <w:rFonts w:ascii="Arial" w:cs="Arial" w:eastAsia="Arial" w:hAnsi="Arial"/>
                <w:sz w:val="14"/>
                <w:szCs w:val="14"/>
                <w:b w:val="1"/>
                <w:bCs w:val="1"/>
                <w:color w:val="auto"/>
              </w:rPr>
              <w:t>Unaudited Condensed Consolidated Balance Sheets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20" w:type="dxa"/>
            <w:vAlign w:val="bottom"/>
          </w:tcPr>
          <w:p>
            <w:pPr>
              <w:jc w:val="center"/>
              <w:ind w:left="3468"/>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120"/>
              <w:spacing w:after="0"/>
              <w:rPr>
                <w:sz w:val="20"/>
                <w:szCs w:val="20"/>
                <w:color w:val="auto"/>
              </w:rPr>
            </w:pPr>
            <w:r>
              <w:rPr>
                <w:rFonts w:ascii="Arial" w:cs="Arial" w:eastAsia="Arial" w:hAnsi="Arial"/>
                <w:sz w:val="14"/>
                <w:szCs w:val="14"/>
                <w:b w:val="1"/>
                <w:bCs w:val="1"/>
                <w:color w:val="auto"/>
              </w:rPr>
              <w:t>Current assets: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tcPr>
          <w:p>
            <w:pPr>
              <w:jc w:val="right"/>
              <w:ind w:right="3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103,544</w:t>
            </w:r>
          </w:p>
        </w:tc>
        <w:tc>
          <w:tcPr>
            <w:tcW w:w="14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125,206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Accounts receivable, net of allowances of $8,462 and $6,783, respectively</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115,141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112,558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101,794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98,853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Assets held for sale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26,268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26,253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current assets</w:t>
            </w: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430,470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2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Non-current assets: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116,529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117,274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233,382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248,818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193,187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193,187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Operating lease right-of-use assets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55,585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57,990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Other non-current assets, net of allowances of $603 and $538, respectively</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49,805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44,928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202,236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non-current assets</w:t>
            </w: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850,724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871,863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1,281,194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1,303,772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120"/>
              <w:spacing w:after="0"/>
              <w:rPr>
                <w:sz w:val="20"/>
                <w:szCs w:val="20"/>
                <w:color w:val="auto"/>
              </w:rPr>
            </w:pPr>
            <w:r>
              <w:rPr>
                <w:rFonts w:ascii="Arial" w:cs="Arial" w:eastAsia="Arial" w:hAnsi="Arial"/>
                <w:sz w:val="14"/>
                <w:szCs w:val="14"/>
                <w:b w:val="1"/>
                <w:bCs w:val="1"/>
                <w:color w:val="auto"/>
              </w:rPr>
              <w:t>Current liabilities: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460" w:type="dxa"/>
            <w:vAlign w:val="bottom"/>
            <w:gridSpan w:val="2"/>
          </w:tcPr>
          <w:p>
            <w:pPr>
              <w:jc w:val="right"/>
              <w:ind w:right="3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81,688</w:t>
            </w:r>
          </w:p>
        </w:tc>
        <w:tc>
          <w:tcPr>
            <w:tcW w:w="14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92,514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117,709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139,020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36,360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35,194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259,346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269,228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2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Non-current liabilities: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813,043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833,579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Non-current operating lease liabilities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52,871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55,772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non-current liabilities</w:t>
            </w: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903,828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933,415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1,163,174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1,202,643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line="147" w:lineRule="exact"/>
              <w:rPr>
                <w:sz w:val="20"/>
                <w:szCs w:val="20"/>
                <w:color w:val="auto"/>
              </w:rPr>
            </w:pPr>
            <w:r>
              <w:rPr>
                <w:rFonts w:ascii="Arial" w:cs="Arial" w:eastAsia="Arial" w:hAnsi="Arial"/>
                <w:sz w:val="14"/>
                <w:szCs w:val="14"/>
                <w:b w:val="1"/>
                <w:bCs w:val="1"/>
                <w:color w:val="auto"/>
              </w:rPr>
              <w:t>Stockholders’ equity</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1,291,858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1,288,294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(1,174,137)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(1,187,222)</w:t>
            </w:r>
          </w:p>
        </w:tc>
        <w:tc>
          <w:tcPr>
            <w:tcW w:w="0" w:type="dxa"/>
            <w:vAlign w:val="bottom"/>
          </w:tcPr>
          <w:p>
            <w:pPr>
              <w:spacing w:after="0"/>
              <w:rPr>
                <w:sz w:val="1"/>
                <w:szCs w:val="1"/>
                <w:color w:val="auto"/>
              </w:rPr>
            </w:pPr>
          </w:p>
        </w:tc>
      </w:tr>
      <w:tr>
        <w:trPr>
          <w:trHeight w:val="155"/>
        </w:trPr>
        <w:tc>
          <w:tcPr>
            <w:tcW w:w="622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1,281,194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1,303,772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708025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1129"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4"/>
          <w:szCs w:val="14"/>
          <w:b w:val="1"/>
          <w:bCs w:val="1"/>
          <w:color w:val="auto"/>
        </w:rPr>
        <w:t>Gogo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ind w:left="516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Ended 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960" w:type="dxa"/>
            <w:vAlign w:val="bottom"/>
            <w:gridSpan w:val="2"/>
          </w:tcPr>
          <w:p>
            <w:pPr>
              <w:jc w:val="right"/>
              <w:ind w:right="823"/>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13,085</w:t>
            </w:r>
          </w:p>
        </w:tc>
        <w:tc>
          <w:tcPr>
            <w:tcW w:w="26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15,139</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Loss on asset disposals, abandonments and write-downs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Provision for expected credit losses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7,273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4,833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Amortization of deferred financing costs and interest rate caps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1,356</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Accretion of debt discount</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462</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Change in fair value of Earnout Liability</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(4,943)</w:t>
            </w:r>
          </w:p>
        </w:tc>
        <w:tc>
          <w:tcPr>
            <w:tcW w:w="6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Change in fair value of convertible note investment</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(230)</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(4,341)</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(2,939)</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(11,590)</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Contract assets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(4,665)</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(2,051)</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(20,941)</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Accrued interest</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71"/>
        </w:trPr>
        <w:tc>
          <w:tcPr>
            <w:tcW w:w="7720" w:type="dxa"/>
            <w:vAlign w:val="bottom"/>
          </w:tcPr>
          <w:p>
            <w:pPr>
              <w:ind w:left="420"/>
              <w:spacing w:after="0"/>
              <w:rPr>
                <w:sz w:val="20"/>
                <w:szCs w:val="20"/>
                <w:color w:val="auto"/>
              </w:rPr>
            </w:pPr>
            <w:r>
              <w:rPr>
                <w:rFonts w:ascii="Arial" w:cs="Arial" w:eastAsia="Arial" w:hAnsi="Arial"/>
                <w:sz w:val="14"/>
                <w:szCs w:val="14"/>
                <w:color w:val="auto"/>
              </w:rPr>
              <w:t>Other non-current assets and liabilities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(715)</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56"/>
        </w:trPr>
        <w:tc>
          <w:tcPr>
            <w:tcW w:w="77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20" w:type="dxa"/>
            <w:vAlign w:val="bottom"/>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(7,236)</w:t>
            </w:r>
          </w:p>
        </w:tc>
        <w:tc>
          <w:tcPr>
            <w:tcW w:w="26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Investing activities:</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(25,721)</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Acquisition of intangible assets—capitalized software</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(2,292)</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Proceeds from FCC Reimbursement Program for property, equipment and intangibles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14,886</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80"/>
              <w:spacing w:after="0"/>
              <w:rPr>
                <w:sz w:val="20"/>
                <w:szCs w:val="20"/>
                <w:color w:val="auto"/>
              </w:rPr>
            </w:pPr>
            <w:r>
              <w:rPr>
                <w:rFonts w:ascii="Arial" w:cs="Arial" w:eastAsia="Arial" w:hAnsi="Arial"/>
                <w:sz w:val="14"/>
                <w:szCs w:val="14"/>
                <w:color w:val="auto"/>
              </w:rPr>
              <w:t>Proceeds from interest rate caps</w:t>
            </w: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(11,947)</w:t>
            </w:r>
          </w:p>
        </w:tc>
        <w:tc>
          <w:tcPr>
            <w:tcW w:w="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Financing activities:</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Payments on term loan</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(625)</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Payments on financing leases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(15)</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7720" w:type="dxa"/>
            <w:vAlign w:val="bottom"/>
          </w:tcPr>
          <w:p>
            <w:pPr>
              <w:ind w:left="280"/>
              <w:spacing w:after="0"/>
              <w:rPr>
                <w:sz w:val="20"/>
                <w:szCs w:val="20"/>
                <w:color w:val="auto"/>
              </w:rPr>
            </w:pPr>
            <w:r>
              <w:rPr>
                <w:rFonts w:ascii="Arial" w:cs="Arial" w:eastAsia="Arial" w:hAnsi="Arial"/>
                <w:sz w:val="14"/>
                <w:szCs w:val="14"/>
                <w:color w:val="auto"/>
              </w:rPr>
              <w:t>Stock-based compensation activity</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(1,971)</w:t>
            </w:r>
          </w:p>
        </w:tc>
        <w:tc>
          <w:tcPr>
            <w:tcW w:w="6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55"/>
        </w:trPr>
        <w:tc>
          <w:tcPr>
            <w:tcW w:w="77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Net cash used in financing activities</w:t>
            </w:r>
          </w:p>
        </w:tc>
        <w:tc>
          <w:tcPr>
            <w:tcW w:w="20" w:type="dxa"/>
            <w:vAlign w:val="bottom"/>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(2,611)</w:t>
            </w:r>
          </w:p>
        </w:tc>
        <w:tc>
          <w:tcPr>
            <w:tcW w:w="26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140"/>
              <w:spacing w:after="0" w:line="155"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w:t>
            </w:r>
          </w:p>
        </w:tc>
        <w:tc>
          <w:tcPr>
            <w:tcW w:w="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(Decrease) increase in cash, cash equivalents and restricted cash</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(21,665)</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28,518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125,690</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at end of period</w:t>
            </w: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104,025</w:t>
            </w:r>
          </w:p>
        </w:tc>
        <w:tc>
          <w:tcPr>
            <w:tcW w:w="260" w:type="dxa"/>
            <w:vAlign w:val="bottom"/>
          </w:tcPr>
          <w:p>
            <w:pPr>
              <w:spacing w:after="0"/>
              <w:rPr>
                <w:sz w:val="13"/>
                <w:szCs w:val="13"/>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tcPr>
          <w:p>
            <w:pPr>
              <w:jc w:val="right"/>
              <w:ind w:right="82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104,025</w:t>
            </w:r>
          </w:p>
        </w:tc>
        <w:tc>
          <w:tcPr>
            <w:tcW w:w="260" w:type="dxa"/>
            <w:vAlign w:val="bottom"/>
          </w:tcPr>
          <w:p>
            <w:pPr>
              <w:spacing w:after="0"/>
              <w:rPr>
                <w:sz w:val="11"/>
                <w:szCs w:val="11"/>
                <w:color w:val="auto"/>
              </w:rPr>
            </w:pPr>
          </w:p>
        </w:tc>
        <w:tc>
          <w:tcPr>
            <w:tcW w:w="600" w:type="dxa"/>
            <w:vAlign w:val="bottom"/>
            <w:tcBorders>
              <w:top w:val="single" w:sz="8" w:color="auto"/>
            </w:tcBorders>
          </w:tcPr>
          <w:p>
            <w:pPr>
              <w:jc w:val="right"/>
              <w:ind w:right="448"/>
              <w:spacing w:after="0" w:line="13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70,822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Less: current restricted cash</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Arial" w:cs="Arial" w:eastAsia="Arial" w:hAnsi="Arial"/>
                <w:sz w:val="14"/>
                <w:szCs w:val="14"/>
                <w:color w:val="auto"/>
              </w:rPr>
              <w:t>Less: non-current restricted cash</w:t>
            </w: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at end of period</w:t>
            </w: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103,544</w:t>
            </w:r>
          </w:p>
        </w:tc>
        <w:tc>
          <w:tcPr>
            <w:tcW w:w="260" w:type="dxa"/>
            <w:vAlign w:val="bottom"/>
          </w:tcPr>
          <w:p>
            <w:pPr>
              <w:spacing w:after="0"/>
              <w:rPr>
                <w:sz w:val="13"/>
                <w:szCs w:val="13"/>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960" w:type="dxa"/>
            <w:vAlign w:val="bottom"/>
            <w:gridSpan w:val="2"/>
          </w:tcPr>
          <w:p>
            <w:pPr>
              <w:jc w:val="right"/>
              <w:ind w:right="823"/>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17,472</w:t>
            </w:r>
          </w:p>
        </w:tc>
        <w:tc>
          <w:tcPr>
            <w:tcW w:w="26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Cash paid for taxes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Non-cash investing activities: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20" w:type="dxa"/>
            <w:vAlign w:val="bottom"/>
          </w:tcPr>
          <w:p>
            <w:pPr>
              <w:ind w:left="280"/>
              <w:spacing w:after="0"/>
              <w:rPr>
                <w:sz w:val="20"/>
                <w:szCs w:val="20"/>
                <w:color w:val="auto"/>
              </w:rPr>
            </w:pPr>
            <w:r>
              <w:rPr>
                <w:rFonts w:ascii="Arial" w:cs="Arial" w:eastAsia="Arial" w:hAnsi="Arial"/>
                <w:sz w:val="14"/>
                <w:szCs w:val="14"/>
                <w:color w:val="auto"/>
              </w:rPr>
              <w:t>Purchases of property, equipment and intangibles in liabilities</w:t>
            </w:r>
          </w:p>
        </w:tc>
        <w:tc>
          <w:tcPr>
            <w:tcW w:w="960" w:type="dxa"/>
            <w:vAlign w:val="bottom"/>
            <w:gridSpan w:val="2"/>
          </w:tcPr>
          <w:p>
            <w:pPr>
              <w:jc w:val="right"/>
              <w:ind w:right="823"/>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6,933</w:t>
            </w:r>
          </w:p>
        </w:tc>
        <w:tc>
          <w:tcPr>
            <w:tcW w:w="26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10"/>
        </w:trPr>
        <w:tc>
          <w:tcPr>
            <w:tcW w:w="7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0" w:name="page11"/>
    <w:bookmarkEnd w:id="10"/>
    <w:p>
      <w:pPr>
        <w:jc w:val="center"/>
        <w:ind w:right="1120"/>
        <w:spacing w:after="0"/>
        <w:rPr>
          <w:sz w:val="20"/>
          <w:szCs w:val="20"/>
          <w:color w:val="auto"/>
        </w:rPr>
      </w:pPr>
      <w:r>
        <w:rPr>
          <w:rFonts w:ascii="Arial" w:cs="Arial" w:eastAsia="Arial" w:hAnsi="Arial"/>
          <w:sz w:val="14"/>
          <w:szCs w:val="14"/>
          <w:b w:val="1"/>
          <w:bCs w:val="1"/>
          <w:color w:val="auto"/>
        </w:rPr>
        <w:t>Gogo Inc. and Subsidiaries</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Supplemental Information – Disaggregated Revenue</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(in thousands, unaudited)</w:t>
      </w:r>
    </w:p>
    <w:p>
      <w:pPr>
        <w:spacing w:after="0" w:line="95"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Service revenue by type</w:t>
            </w:r>
          </w:p>
        </w:tc>
        <w:tc>
          <w:tcPr>
            <w:tcW w:w="11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2026</w:t>
            </w:r>
          </w:p>
        </w:tc>
        <w:tc>
          <w:tcPr>
            <w:tcW w:w="640" w:type="dxa"/>
            <w:vAlign w:val="bottom"/>
          </w:tcPr>
          <w:p>
            <w:pPr>
              <w:spacing w:after="0"/>
              <w:rPr>
                <w:sz w:val="13"/>
                <w:szCs w:val="13"/>
                <w:color w:val="auto"/>
              </w:rPr>
            </w:pPr>
          </w:p>
        </w:tc>
        <w:tc>
          <w:tcPr>
            <w:tcW w:w="15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vMerge w:val="continue"/>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40"/>
              <w:spacing w:after="0"/>
              <w:rPr>
                <w:sz w:val="20"/>
                <w:szCs w:val="20"/>
                <w:color w:val="auto"/>
              </w:rPr>
            </w:pPr>
            <w:r>
              <w:rPr>
                <w:rFonts w:ascii="Arial" w:cs="Arial" w:eastAsia="Arial" w:hAnsi="Arial"/>
                <w:sz w:val="14"/>
                <w:szCs w:val="14"/>
                <w:color w:val="auto"/>
              </w:rPr>
              <w:t>Satellite broadband</w:t>
            </w:r>
          </w:p>
        </w:tc>
        <w:tc>
          <w:tcPr>
            <w:tcW w:w="1160" w:type="dxa"/>
            <w:vAlign w:val="bottom"/>
          </w:tcPr>
          <w:p>
            <w:pPr>
              <w:jc w:val="right"/>
              <w:ind w:right="10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80,102</w:t>
            </w:r>
          </w:p>
        </w:tc>
        <w:tc>
          <w:tcPr>
            <w:tcW w:w="152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77,679</w:t>
            </w:r>
          </w:p>
        </w:tc>
        <w:tc>
          <w:tcPr>
            <w:tcW w:w="0" w:type="dxa"/>
            <w:vAlign w:val="bottom"/>
          </w:tcPr>
          <w:p>
            <w:pPr>
              <w:spacing w:after="0"/>
              <w:rPr>
                <w:sz w:val="1"/>
                <w:szCs w:val="1"/>
                <w:color w:val="auto"/>
              </w:rPr>
            </w:pPr>
          </w:p>
        </w:tc>
      </w:tr>
      <w:tr>
        <w:trPr>
          <w:trHeight w:val="162"/>
        </w:trPr>
        <w:tc>
          <w:tcPr>
            <w:tcW w:w="4560" w:type="dxa"/>
            <w:vAlign w:val="bottom"/>
          </w:tcPr>
          <w:p>
            <w:pPr>
              <w:ind w:left="40"/>
              <w:spacing w:after="0"/>
              <w:rPr>
                <w:sz w:val="20"/>
                <w:szCs w:val="20"/>
                <w:color w:val="auto"/>
              </w:rPr>
            </w:pPr>
            <w:r>
              <w:rPr>
                <w:rFonts w:ascii="Arial" w:cs="Arial" w:eastAsia="Arial" w:hAnsi="Arial"/>
                <w:sz w:val="14"/>
                <w:szCs w:val="14"/>
                <w:color w:val="auto"/>
              </w:rPr>
              <w:t>ATG broadband</w:t>
            </w:r>
          </w:p>
        </w:tc>
        <w:tc>
          <w:tcPr>
            <w:tcW w:w="1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64,802</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75,970</w:t>
            </w:r>
          </w:p>
        </w:tc>
        <w:tc>
          <w:tcPr>
            <w:tcW w:w="0" w:type="dxa"/>
            <w:vAlign w:val="bottom"/>
          </w:tcPr>
          <w:p>
            <w:pPr>
              <w:spacing w:after="0"/>
              <w:rPr>
                <w:sz w:val="1"/>
                <w:szCs w:val="1"/>
                <w:color w:val="auto"/>
              </w:rPr>
            </w:pPr>
          </w:p>
        </w:tc>
      </w:tr>
      <w:tr>
        <w:trPr>
          <w:trHeight w:val="171"/>
        </w:trPr>
        <w:tc>
          <w:tcPr>
            <w:tcW w:w="4560" w:type="dxa"/>
            <w:vAlign w:val="bottom"/>
          </w:tcPr>
          <w:p>
            <w:pPr>
              <w:ind w:left="40"/>
              <w:spacing w:after="0"/>
              <w:rPr>
                <w:sz w:val="20"/>
                <w:szCs w:val="20"/>
                <w:color w:val="auto"/>
              </w:rPr>
            </w:pPr>
            <w:r>
              <w:rPr>
                <w:rFonts w:ascii="Arial" w:cs="Arial" w:eastAsia="Arial" w:hAnsi="Arial"/>
                <w:sz w:val="14"/>
                <w:szCs w:val="14"/>
                <w:color w:val="auto"/>
              </w:rPr>
              <w:t>Narrowband and other</w:t>
            </w: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42,828</w:t>
            </w:r>
          </w:p>
        </w:tc>
        <w:tc>
          <w:tcPr>
            <w:tcW w:w="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44,963</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service revenue by type</w:t>
            </w:r>
          </w:p>
        </w:tc>
        <w:tc>
          <w:tcPr>
            <w:tcW w:w="11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187,732</w:t>
            </w:r>
          </w:p>
        </w:tc>
        <w:tc>
          <w:tcPr>
            <w:tcW w:w="340" w:type="dxa"/>
            <w:vAlign w:val="bottom"/>
          </w:tcPr>
          <w:p>
            <w:pPr>
              <w:spacing w:after="0"/>
              <w:rPr>
                <w:sz w:val="13"/>
                <w:szCs w:val="13"/>
                <w:color w:val="auto"/>
              </w:rPr>
            </w:pPr>
          </w:p>
        </w:tc>
        <w:tc>
          <w:tcPr>
            <w:tcW w:w="118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198,612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Service revenue by market</w:t>
            </w: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40"/>
              <w:spacing w:after="0"/>
              <w:rPr>
                <w:sz w:val="20"/>
                <w:szCs w:val="20"/>
                <w:color w:val="auto"/>
              </w:rPr>
            </w:pPr>
            <w:r>
              <w:rPr>
                <w:rFonts w:ascii="Arial" w:cs="Arial" w:eastAsia="Arial" w:hAnsi="Arial"/>
                <w:sz w:val="14"/>
                <w:szCs w:val="14"/>
                <w:color w:val="auto"/>
              </w:rPr>
              <w:t>Business aviation</w:t>
            </w:r>
          </w:p>
        </w:tc>
        <w:tc>
          <w:tcPr>
            <w:tcW w:w="1160" w:type="dxa"/>
            <w:vAlign w:val="bottom"/>
          </w:tcPr>
          <w:p>
            <w:pPr>
              <w:jc w:val="right"/>
              <w:ind w:right="10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154,355</w:t>
            </w:r>
          </w:p>
        </w:tc>
        <w:tc>
          <w:tcPr>
            <w:tcW w:w="152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169,281</w:t>
            </w:r>
          </w:p>
        </w:tc>
        <w:tc>
          <w:tcPr>
            <w:tcW w:w="0" w:type="dxa"/>
            <w:vAlign w:val="bottom"/>
          </w:tcPr>
          <w:p>
            <w:pPr>
              <w:spacing w:after="0"/>
              <w:rPr>
                <w:sz w:val="1"/>
                <w:szCs w:val="1"/>
                <w:color w:val="auto"/>
              </w:rPr>
            </w:pPr>
          </w:p>
        </w:tc>
      </w:tr>
      <w:tr>
        <w:trPr>
          <w:trHeight w:val="171"/>
        </w:trPr>
        <w:tc>
          <w:tcPr>
            <w:tcW w:w="4560" w:type="dxa"/>
            <w:vAlign w:val="bottom"/>
          </w:tcPr>
          <w:p>
            <w:pPr>
              <w:ind w:left="40"/>
              <w:spacing w:after="0"/>
              <w:rPr>
                <w:sz w:val="20"/>
                <w:szCs w:val="20"/>
                <w:color w:val="auto"/>
              </w:rPr>
            </w:pPr>
            <w:r>
              <w:rPr>
                <w:rFonts w:ascii="Arial" w:cs="Arial" w:eastAsia="Arial" w:hAnsi="Arial"/>
                <w:sz w:val="14"/>
                <w:szCs w:val="14"/>
                <w:color w:val="auto"/>
              </w:rPr>
              <w:t>Military / Government</w:t>
            </w: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33,377</w:t>
            </w:r>
          </w:p>
        </w:tc>
        <w:tc>
          <w:tcPr>
            <w:tcW w:w="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29,331</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service revenue by market</w:t>
            </w:r>
          </w:p>
        </w:tc>
        <w:tc>
          <w:tcPr>
            <w:tcW w:w="11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187,732</w:t>
            </w:r>
          </w:p>
        </w:tc>
        <w:tc>
          <w:tcPr>
            <w:tcW w:w="340" w:type="dxa"/>
            <w:vAlign w:val="bottom"/>
          </w:tcPr>
          <w:p>
            <w:pPr>
              <w:spacing w:after="0"/>
              <w:rPr>
                <w:sz w:val="13"/>
                <w:szCs w:val="13"/>
                <w:color w:val="auto"/>
              </w:rPr>
            </w:pPr>
          </w:p>
        </w:tc>
        <w:tc>
          <w:tcPr>
            <w:tcW w:w="118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198,612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Equipment revenue</w:t>
            </w: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40"/>
              <w:spacing w:after="0"/>
              <w:rPr>
                <w:sz w:val="20"/>
                <w:szCs w:val="20"/>
                <w:color w:val="auto"/>
              </w:rPr>
            </w:pPr>
            <w:r>
              <w:rPr>
                <w:rFonts w:ascii="Arial" w:cs="Arial" w:eastAsia="Arial" w:hAnsi="Arial"/>
                <w:sz w:val="14"/>
                <w:szCs w:val="14"/>
                <w:color w:val="auto"/>
              </w:rPr>
              <w:t>Satellite broadband</w:t>
            </w:r>
          </w:p>
        </w:tc>
        <w:tc>
          <w:tcPr>
            <w:tcW w:w="1160" w:type="dxa"/>
            <w:vAlign w:val="bottom"/>
          </w:tcPr>
          <w:p>
            <w:pPr>
              <w:jc w:val="right"/>
              <w:ind w:right="10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12,413</w:t>
            </w:r>
          </w:p>
        </w:tc>
        <w:tc>
          <w:tcPr>
            <w:tcW w:w="152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162"/>
        </w:trPr>
        <w:tc>
          <w:tcPr>
            <w:tcW w:w="4560" w:type="dxa"/>
            <w:vAlign w:val="bottom"/>
          </w:tcPr>
          <w:p>
            <w:pPr>
              <w:ind w:left="40"/>
              <w:spacing w:after="0"/>
              <w:rPr>
                <w:sz w:val="20"/>
                <w:szCs w:val="20"/>
                <w:color w:val="auto"/>
              </w:rPr>
            </w:pPr>
            <w:r>
              <w:rPr>
                <w:rFonts w:ascii="Arial" w:cs="Arial" w:eastAsia="Arial" w:hAnsi="Arial"/>
                <w:sz w:val="14"/>
                <w:szCs w:val="14"/>
                <w:color w:val="auto"/>
              </w:rPr>
              <w:t>ATG broadband</w:t>
            </w:r>
          </w:p>
        </w:tc>
        <w:tc>
          <w:tcPr>
            <w:tcW w:w="1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19,654</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18,672</w:t>
            </w:r>
          </w:p>
        </w:tc>
        <w:tc>
          <w:tcPr>
            <w:tcW w:w="0" w:type="dxa"/>
            <w:vAlign w:val="bottom"/>
          </w:tcPr>
          <w:p>
            <w:pPr>
              <w:spacing w:after="0"/>
              <w:rPr>
                <w:sz w:val="1"/>
                <w:szCs w:val="1"/>
                <w:color w:val="auto"/>
              </w:rPr>
            </w:pPr>
          </w:p>
        </w:tc>
      </w:tr>
      <w:tr>
        <w:trPr>
          <w:trHeight w:val="171"/>
        </w:trPr>
        <w:tc>
          <w:tcPr>
            <w:tcW w:w="4560" w:type="dxa"/>
            <w:vAlign w:val="bottom"/>
          </w:tcPr>
          <w:p>
            <w:pPr>
              <w:ind w:left="40"/>
              <w:spacing w:after="0"/>
              <w:rPr>
                <w:sz w:val="20"/>
                <w:szCs w:val="20"/>
                <w:color w:val="auto"/>
              </w:rPr>
            </w:pPr>
            <w:r>
              <w:rPr>
                <w:rFonts w:ascii="Arial" w:cs="Arial" w:eastAsia="Arial" w:hAnsi="Arial"/>
                <w:sz w:val="14"/>
                <w:szCs w:val="14"/>
                <w:color w:val="auto"/>
              </w:rPr>
              <w:t>Narrowband and other</w:t>
            </w: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6,520</w:t>
            </w:r>
          </w:p>
        </w:tc>
        <w:tc>
          <w:tcPr>
            <w:tcW w:w="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equipment revenue</w:t>
            </w:r>
          </w:p>
        </w:tc>
        <w:tc>
          <w:tcPr>
            <w:tcW w:w="11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38,587</w:t>
            </w:r>
          </w:p>
        </w:tc>
        <w:tc>
          <w:tcPr>
            <w:tcW w:w="340" w:type="dxa"/>
            <w:vAlign w:val="bottom"/>
          </w:tcPr>
          <w:p>
            <w:pPr>
              <w:spacing w:after="0"/>
              <w:rPr>
                <w:sz w:val="13"/>
                <w:szCs w:val="13"/>
                <w:color w:val="auto"/>
              </w:rPr>
            </w:pPr>
          </w:p>
        </w:tc>
        <w:tc>
          <w:tcPr>
            <w:tcW w:w="118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31,695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708025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8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Gogo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Information – Key Business Metrics</w:t>
      </w:r>
    </w:p>
    <w:p>
      <w:pPr>
        <w:spacing w:after="0" w:line="9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For the Three Months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Ended March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vMerge w:val="restart"/>
          </w:tcPr>
          <w:p>
            <w:pPr>
              <w:spacing w:after="0"/>
              <w:rPr>
                <w:sz w:val="20"/>
                <w:szCs w:val="20"/>
                <w:color w:val="auto"/>
              </w:rPr>
            </w:pPr>
            <w:r>
              <w:rPr>
                <w:rFonts w:ascii="Arial" w:cs="Arial" w:eastAsia="Arial" w:hAnsi="Arial"/>
                <w:sz w:val="14"/>
                <w:szCs w:val="14"/>
                <w:color w:val="auto"/>
              </w:rPr>
              <w:t>Aircraft online (at period end)</w:t>
            </w:r>
          </w:p>
        </w:tc>
        <w:tc>
          <w:tcPr>
            <w:tcW w:w="1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2026</w:t>
            </w:r>
          </w:p>
        </w:tc>
        <w:tc>
          <w:tcPr>
            <w:tcW w:w="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46"/>
        </w:trPr>
        <w:tc>
          <w:tcPr>
            <w:tcW w:w="572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240"/>
              <w:spacing w:after="0"/>
              <w:rPr>
                <w:sz w:val="20"/>
                <w:szCs w:val="20"/>
                <w:color w:val="auto"/>
              </w:rPr>
            </w:pPr>
            <w:r>
              <w:rPr>
                <w:rFonts w:ascii="Arial" w:cs="Arial" w:eastAsia="Arial" w:hAnsi="Arial"/>
                <w:sz w:val="14"/>
                <w:szCs w:val="14"/>
                <w:color w:val="auto"/>
              </w:rPr>
              <w:t>ATG AVANCE</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4,851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4,716</w:t>
            </w:r>
          </w:p>
        </w:tc>
        <w:tc>
          <w:tcPr>
            <w:tcW w:w="0" w:type="dxa"/>
            <w:vAlign w:val="bottom"/>
          </w:tcPr>
          <w:p>
            <w:pPr>
              <w:spacing w:after="0"/>
              <w:rPr>
                <w:sz w:val="1"/>
                <w:szCs w:val="1"/>
                <w:color w:val="auto"/>
              </w:rPr>
            </w:pPr>
          </w:p>
        </w:tc>
      </w:tr>
      <w:tr>
        <w:trPr>
          <w:trHeight w:val="171"/>
        </w:trPr>
        <w:tc>
          <w:tcPr>
            <w:tcW w:w="5720" w:type="dxa"/>
            <w:vAlign w:val="bottom"/>
          </w:tcPr>
          <w:p>
            <w:pPr>
              <w:ind w:left="240"/>
              <w:spacing w:after="0"/>
              <w:rPr>
                <w:sz w:val="20"/>
                <w:szCs w:val="20"/>
                <w:color w:val="auto"/>
              </w:rPr>
            </w:pPr>
            <w:r>
              <w:rPr>
                <w:rFonts w:ascii="Arial" w:cs="Arial" w:eastAsia="Arial" w:hAnsi="Arial"/>
                <w:sz w:val="14"/>
                <w:szCs w:val="14"/>
                <w:color w:val="auto"/>
              </w:rPr>
              <w:t>Gogo Biz</w:t>
            </w: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146"/>
        </w:trPr>
        <w:tc>
          <w:tcPr>
            <w:tcW w:w="5720" w:type="dxa"/>
            <w:vAlign w:val="bottom"/>
          </w:tcPr>
          <w:p>
            <w:pPr>
              <w:ind w:left="120"/>
              <w:spacing w:after="0" w:line="147" w:lineRule="exact"/>
              <w:rPr>
                <w:sz w:val="20"/>
                <w:szCs w:val="20"/>
                <w:color w:val="auto"/>
              </w:rPr>
            </w:pPr>
            <w:r>
              <w:rPr>
                <w:rFonts w:ascii="Arial" w:cs="Arial" w:eastAsia="Arial" w:hAnsi="Arial"/>
                <w:sz w:val="14"/>
                <w:szCs w:val="14"/>
                <w:color w:val="auto"/>
              </w:rPr>
              <w:t>Total ATG</w:t>
            </w: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6,116</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GEO aircraft online</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Gogo Galileo aircraft online</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Average monthly connectivity service revenue per ATG aircraft online</w:t>
            </w: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3,351</w:t>
            </w: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4"/>
                <w:szCs w:val="14"/>
                <w:color w:val="auto"/>
              </w:rPr>
              <w:t>ATG units sold</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020" w:right="16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AVANCE aircraft online. </w:t>
      </w:r>
      <w:r>
        <w:rPr>
          <w:rFonts w:ascii="Arial" w:cs="Arial" w:eastAsia="Arial" w:hAnsi="Arial"/>
          <w:sz w:val="18"/>
          <w:szCs w:val="18"/>
          <w:color w:val="auto"/>
        </w:rPr>
        <w:t>We define AVANCE aircraft online as the total number of aircraft equipped with our AVANCE L5 or L3</w:t>
      </w:r>
      <w:r>
        <w:rPr>
          <w:rFonts w:ascii="Arial" w:cs="Arial" w:eastAsia="Arial" w:hAnsi="Arial"/>
          <w:sz w:val="18"/>
          <w:szCs w:val="18"/>
          <w:i w:val="1"/>
          <w:iCs w:val="1"/>
          <w:color w:val="auto"/>
        </w:rPr>
        <w:t xml:space="preserve"> </w:t>
      </w:r>
      <w:r>
        <w:rPr>
          <w:rFonts w:ascii="Arial" w:cs="Arial" w:eastAsia="Arial" w:hAnsi="Arial"/>
          <w:sz w:val="18"/>
          <w:szCs w:val="18"/>
          <w:color w:val="auto"/>
        </w:rPr>
        <w:t>system for which we provide ATG services to business aviation customers in the last month of the period presented. This number excludes military/government AVANCE aircraft online.</w:t>
      </w:r>
    </w:p>
    <w:p>
      <w:pPr>
        <w:spacing w:after="0" w:line="62"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Gogo Biz aircraft online. </w:t>
      </w:r>
      <w:r>
        <w:rPr>
          <w:rFonts w:ascii="Arial" w:cs="Arial" w:eastAsia="Arial" w:hAnsi="Arial"/>
          <w:sz w:val="18"/>
          <w:szCs w:val="18"/>
          <w:color w:val="auto"/>
        </w:rPr>
        <w:t>We define Gogo Biz aircraft online as the total number of aircraft not equipped with our AVANCE L5 or</w:t>
      </w:r>
      <w:r>
        <w:rPr>
          <w:rFonts w:ascii="Arial" w:cs="Arial" w:eastAsia="Arial" w:hAnsi="Arial"/>
          <w:sz w:val="18"/>
          <w:szCs w:val="18"/>
          <w:i w:val="1"/>
          <w:iCs w:val="1"/>
          <w:color w:val="auto"/>
        </w:rPr>
        <w:t xml:space="preserve"> </w:t>
      </w:r>
      <w:r>
        <w:rPr>
          <w:rFonts w:ascii="Arial" w:cs="Arial" w:eastAsia="Arial" w:hAnsi="Arial"/>
          <w:sz w:val="18"/>
          <w:szCs w:val="18"/>
          <w:color w:val="auto"/>
        </w:rPr>
        <w:t>L3 system for which we provide ATG services to business aviation customers in the last month of the period presented. This number excludes commercial aircraft operated by Intelsat’s airline customers as well as military/government aircraft receiving ATG service.</w:t>
      </w:r>
    </w:p>
    <w:p>
      <w:pPr>
        <w:spacing w:after="0" w:line="68"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GEO aircraft online</w:t>
      </w:r>
      <w:r>
        <w:rPr>
          <w:rFonts w:ascii="Arial" w:cs="Arial" w:eastAsia="Arial" w:hAnsi="Arial"/>
          <w:sz w:val="18"/>
          <w:szCs w:val="18"/>
          <w:color w:val="auto"/>
        </w:rPr>
        <w:t>. We define GEO aircraft online as the total number of aircraft for which we provide GEO broadband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business aviation customers as of the last day of each period presented. This number excludes aircraft receiving services through GEO satellite networks that are end-of-life and military/government GEO aircraft online.</w:t>
      </w:r>
    </w:p>
    <w:p>
      <w:pPr>
        <w:spacing w:after="0" w:line="62" w:lineRule="exact"/>
        <w:rPr>
          <w:rFonts w:ascii="Times New Roman" w:cs="Times New Roman" w:eastAsia="Times New Roman" w:hAnsi="Times New Roman"/>
          <w:sz w:val="18"/>
          <w:szCs w:val="18"/>
          <w:color w:val="auto"/>
        </w:rPr>
      </w:pPr>
    </w:p>
    <w:p>
      <w:pPr>
        <w:ind w:left="1020" w:right="3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Gogo Galileo aircraft online</w:t>
      </w:r>
      <w:r>
        <w:rPr>
          <w:rFonts w:ascii="Arial" w:cs="Arial" w:eastAsia="Arial" w:hAnsi="Arial"/>
          <w:sz w:val="18"/>
          <w:szCs w:val="18"/>
          <w:color w:val="auto"/>
        </w:rPr>
        <w:t>. We define Gogo Galileo aircraft online as the total number of aircraft for which we provide Gogo</w:t>
      </w:r>
      <w:r>
        <w:rPr>
          <w:rFonts w:ascii="Arial" w:cs="Arial" w:eastAsia="Arial" w:hAnsi="Arial"/>
          <w:sz w:val="18"/>
          <w:szCs w:val="18"/>
          <w:i w:val="1"/>
          <w:iCs w:val="1"/>
          <w:color w:val="auto"/>
        </w:rPr>
        <w:t xml:space="preserve"> </w:t>
      </w:r>
      <w:r>
        <w:rPr>
          <w:rFonts w:ascii="Arial" w:cs="Arial" w:eastAsia="Arial" w:hAnsi="Arial"/>
          <w:sz w:val="18"/>
          <w:szCs w:val="18"/>
          <w:color w:val="auto"/>
        </w:rPr>
        <w:t>Galileo LEO broadband services in the last month of the period presented. This number excludes military/government Gogo Galileo aircraft online. This metric was not presented prior to the fiscal year ended December 31, 2025, as Gogo Galileo was only first deployed in 2025.</w:t>
      </w:r>
    </w:p>
    <w:p>
      <w:pPr>
        <w:spacing w:after="0" w:line="68"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Average monthly connectivity service revenue per ATG aircraft online (“ARPU”). </w:t>
      </w:r>
      <w:r>
        <w:rPr>
          <w:rFonts w:ascii="Arial" w:cs="Arial" w:eastAsia="Arial" w:hAnsi="Arial"/>
          <w:sz w:val="18"/>
          <w:szCs w:val="18"/>
          <w:color w:val="auto"/>
        </w:rPr>
        <w:t>We define ARPU as the aggregate ATG</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ATG units sold</w:t>
      </w:r>
      <w:r>
        <w:rPr>
          <w:rFonts w:ascii="Arial" w:cs="Arial" w:eastAsia="Arial" w:hAnsi="Arial"/>
          <w:sz w:val="18"/>
          <w:szCs w:val="18"/>
          <w:color w:val="auto"/>
        </w:rPr>
        <w:t>. We define units sold as the number of ATG units for which we recognized revenue during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"Key Business Metrics" above.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Gogo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Information – Revenue and Cost of Revenue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unaudited)</w:t>
      </w:r>
    </w:p>
    <w:p>
      <w:pPr>
        <w:spacing w:after="0" w:line="95"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Arial" w:cs="Arial" w:eastAsia="Arial" w:hAnsi="Arial"/>
                <w:sz w:val="14"/>
                <w:szCs w:val="14"/>
                <w:color w:val="auto"/>
              </w:rPr>
              <w:t>Service revenue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 over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20" w:type="dxa"/>
            <w:vAlign w:val="bottom"/>
            <w:vMerge w:val="continue"/>
          </w:tcPr>
          <w:p>
            <w:pPr>
              <w:spacing w:after="0"/>
              <w:rPr>
                <w:sz w:val="12"/>
                <w:szCs w:val="12"/>
                <w:color w:val="auto"/>
              </w:rPr>
            </w:pPr>
          </w:p>
        </w:tc>
        <w:tc>
          <w:tcPr>
            <w:tcW w:w="300" w:type="dxa"/>
            <w:vAlign w:val="bottom"/>
          </w:tcPr>
          <w:p>
            <w:pPr>
              <w:jc w:val="right"/>
              <w:ind w:right="148"/>
              <w:spacing w:after="0" w:line="14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7" w:lineRule="exact"/>
              <w:rPr>
                <w:sz w:val="20"/>
                <w:szCs w:val="20"/>
                <w:color w:val="auto"/>
              </w:rPr>
            </w:pPr>
            <w:r>
              <w:rPr>
                <w:rFonts w:ascii="Arial" w:cs="Arial" w:eastAsia="Arial" w:hAnsi="Arial"/>
                <w:sz w:val="14"/>
                <w:szCs w:val="14"/>
                <w:color w:val="auto"/>
              </w:rPr>
              <w:t>187,732</w:t>
            </w:r>
          </w:p>
        </w:tc>
        <w:tc>
          <w:tcPr>
            <w:tcW w:w="220" w:type="dxa"/>
            <w:vAlign w:val="bottom"/>
          </w:tcPr>
          <w:p>
            <w:pPr>
              <w:spacing w:after="0"/>
              <w:rPr>
                <w:sz w:val="12"/>
                <w:szCs w:val="12"/>
                <w:color w:val="auto"/>
              </w:rPr>
            </w:pPr>
          </w:p>
        </w:tc>
        <w:tc>
          <w:tcPr>
            <w:tcW w:w="480" w:type="dxa"/>
            <w:vAlign w:val="bottom"/>
          </w:tcPr>
          <w:p>
            <w:pPr>
              <w:jc w:val="right"/>
              <w:ind w:right="328"/>
              <w:spacing w:after="0" w:line="147"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198,612</w:t>
            </w:r>
          </w:p>
        </w:tc>
        <w:tc>
          <w:tcPr>
            <w:tcW w:w="180" w:type="dxa"/>
            <w:vAlign w:val="bottom"/>
          </w:tcPr>
          <w:p>
            <w:pPr>
              <w:spacing w:after="0"/>
              <w:rPr>
                <w:sz w:val="12"/>
                <w:szCs w:val="12"/>
                <w:color w:val="auto"/>
              </w:rPr>
            </w:pPr>
          </w:p>
        </w:tc>
        <w:tc>
          <w:tcPr>
            <w:tcW w:w="12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Arial" w:cs="Arial" w:eastAsia="Arial" w:hAnsi="Arial"/>
                <w:sz w:val="14"/>
                <w:szCs w:val="14"/>
                <w:color w:val="auto"/>
              </w:rPr>
              <w:t>Equipment revenue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38,587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31,695</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226,319</w:t>
            </w:r>
          </w:p>
        </w:tc>
        <w:tc>
          <w:tcPr>
            <w:tcW w:w="220" w:type="dxa"/>
            <w:vAlign w:val="bottom"/>
            <w:vMerge w:val="continue"/>
          </w:tcPr>
          <w:p>
            <w:pPr>
              <w:spacing w:after="0"/>
              <w:rPr>
                <w:sz w:val="13"/>
                <w:szCs w:val="13"/>
                <w:color w:val="auto"/>
              </w:rPr>
            </w:pPr>
          </w:p>
        </w:tc>
        <w:tc>
          <w:tcPr>
            <w:tcW w:w="48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230,307</w:t>
            </w:r>
          </w:p>
        </w:tc>
        <w:tc>
          <w:tcPr>
            <w:tcW w:w="180" w:type="dxa"/>
            <w:vAlign w:val="bottom"/>
            <w:vMerge w:val="continue"/>
          </w:tcPr>
          <w:p>
            <w:pPr>
              <w:spacing w:after="0"/>
              <w:rPr>
                <w:sz w:val="13"/>
                <w:szCs w:val="13"/>
                <w:color w:val="auto"/>
              </w:rPr>
            </w:pP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4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Three Months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Ended 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820" w:type="dxa"/>
            <w:vAlign w:val="bottom"/>
            <w:vMerge w:val="restart"/>
          </w:tcPr>
          <w:p>
            <w:pPr>
              <w:spacing w:after="0"/>
              <w:rPr>
                <w:sz w:val="20"/>
                <w:szCs w:val="20"/>
                <w:color w:val="auto"/>
              </w:rPr>
            </w:pPr>
            <w:r>
              <w:rPr>
                <w:rFonts w:ascii="Arial" w:cs="Arial" w:eastAsia="Arial" w:hAnsi="Arial"/>
                <w:sz w:val="14"/>
                <w:szCs w:val="14"/>
                <w:color w:val="auto"/>
              </w:rPr>
              <w:t xml:space="preserve">Cost of service revenue </w:t>
            </w:r>
            <w:r>
              <w:rPr>
                <w:rFonts w:ascii="Arial" w:cs="Arial" w:eastAsia="Arial" w:hAnsi="Arial"/>
                <w:sz w:val="19"/>
                <w:szCs w:val="19"/>
                <w:color w:val="auto"/>
                <w:vertAlign w:val="superscript"/>
              </w:rPr>
              <w:t>(1)</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2026 over 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860" w:type="dxa"/>
            <w:vAlign w:val="bottom"/>
          </w:tcPr>
          <w:p>
            <w:pPr>
              <w:jc w:val="right"/>
              <w:ind w:right="708"/>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tcPr>
          <w:p>
            <w:pPr>
              <w:ind w:left="60"/>
              <w:spacing w:after="0" w:line="129" w:lineRule="exact"/>
              <w:rPr>
                <w:sz w:val="20"/>
                <w:szCs w:val="20"/>
                <w:color w:val="auto"/>
              </w:rPr>
            </w:pPr>
            <w:r>
              <w:rPr>
                <w:rFonts w:ascii="Arial" w:cs="Arial" w:eastAsia="Arial" w:hAnsi="Arial"/>
                <w:sz w:val="14"/>
                <w:szCs w:val="14"/>
                <w:color w:val="auto"/>
                <w:w w:val="97"/>
              </w:rPr>
              <w:t>98,314</w:t>
            </w:r>
          </w:p>
        </w:tc>
        <w:tc>
          <w:tcPr>
            <w:tcW w:w="220" w:type="dxa"/>
            <w:vAlign w:val="bottom"/>
          </w:tcPr>
          <w:p>
            <w:pPr>
              <w:spacing w:after="0"/>
              <w:rPr>
                <w:sz w:val="11"/>
                <w:szCs w:val="11"/>
                <w:color w:val="auto"/>
              </w:rPr>
            </w:pPr>
          </w:p>
        </w:tc>
        <w:tc>
          <w:tcPr>
            <w:tcW w:w="880" w:type="dxa"/>
            <w:vAlign w:val="bottom"/>
          </w:tcPr>
          <w:p>
            <w:pPr>
              <w:jc w:val="right"/>
              <w:ind w:right="728"/>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rPr>
              <w:t>94,047</w:t>
            </w:r>
          </w:p>
        </w:tc>
        <w:tc>
          <w:tcPr>
            <w:tcW w:w="180" w:type="dxa"/>
            <w:vAlign w:val="bottom"/>
          </w:tcPr>
          <w:p>
            <w:pPr>
              <w:spacing w:after="0"/>
              <w:rPr>
                <w:sz w:val="11"/>
                <w:szCs w:val="11"/>
                <w:color w:val="auto"/>
              </w:rPr>
            </w:pPr>
          </w:p>
        </w:tc>
        <w:tc>
          <w:tcPr>
            <w:tcW w:w="1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0"/>
                <w:szCs w:val="20"/>
                <w:color w:val="auto"/>
              </w:rPr>
            </w:pPr>
            <w:r>
              <w:rPr>
                <w:rFonts w:ascii="Arial" w:cs="Arial" w:eastAsia="Arial" w:hAnsi="Arial"/>
                <w:sz w:val="14"/>
                <w:szCs w:val="14"/>
                <w:color w:val="auto"/>
              </w:rPr>
              <w:t xml:space="preserve">Cost of equipment revenue </w:t>
            </w:r>
            <w:r>
              <w:rPr>
                <w:rFonts w:ascii="Arial" w:cs="Arial" w:eastAsia="Arial" w:hAnsi="Arial"/>
                <w:sz w:val="19"/>
                <w:szCs w:val="19"/>
                <w:color w:val="auto"/>
                <w:vertAlign w:val="superscript"/>
              </w:rPr>
              <w:t>(1)</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Pr>
          <w:p>
            <w:pPr>
              <w:ind w:left="60"/>
              <w:spacing w:after="0"/>
              <w:rPr>
                <w:sz w:val="20"/>
                <w:szCs w:val="20"/>
                <w:color w:val="auto"/>
              </w:rPr>
            </w:pPr>
            <w:r>
              <w:rPr>
                <w:rFonts w:ascii="Arial" w:cs="Arial" w:eastAsia="Arial" w:hAnsi="Arial"/>
                <w:sz w:val="14"/>
                <w:szCs w:val="14"/>
                <w:color w:val="auto"/>
                <w:w w:val="97"/>
              </w:rPr>
              <w:t>34,988</w:t>
            </w:r>
          </w:p>
        </w:tc>
        <w:tc>
          <w:tcPr>
            <w:tcW w:w="11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29,326</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760" w:hanging="374"/>
        <w:spacing w:after="0"/>
        <w:tabs>
          <w:tab w:leader="none" w:pos="7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depreciation and amortization expense.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Gogo Inc. and Subsidiaries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6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Reconciliation of GAAP to Non-GAAP Measures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 unaudited)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For the Three Months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Ended March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56"/>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20"/>
              <w:spacing w:after="0"/>
              <w:rPr>
                <w:sz w:val="20"/>
                <w:szCs w:val="20"/>
                <w:color w:val="auto"/>
              </w:rPr>
            </w:pPr>
            <w:r>
              <w:rPr>
                <w:rFonts w:ascii="Arial" w:cs="Arial" w:eastAsia="Arial" w:hAnsi="Arial"/>
                <w:sz w:val="14"/>
                <w:szCs w:val="14"/>
                <w:color w:val="auto"/>
              </w:rPr>
              <w:t>Net income (loss) attributable to common stock (GAAP)</w:t>
            </w:r>
          </w:p>
        </w:tc>
        <w:tc>
          <w:tcPr>
            <w:tcW w:w="3360" w:type="dxa"/>
            <w:vAlign w:val="bottom"/>
            <w:gridSpan w:val="3"/>
          </w:tcPr>
          <w:p>
            <w:pPr>
              <w:jc w:val="right"/>
              <w:ind w:right="67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13,085</w:t>
            </w:r>
          </w:p>
        </w:tc>
        <w:tc>
          <w:tcPr>
            <w:tcW w:w="160" w:type="dxa"/>
            <w:vAlign w:val="bottom"/>
          </w:tcPr>
          <w:p>
            <w:pPr>
              <w:spacing w:after="0"/>
              <w:rPr>
                <w:sz w:val="14"/>
                <w:szCs w:val="14"/>
                <w:color w:val="auto"/>
              </w:rPr>
            </w:pPr>
          </w:p>
        </w:tc>
        <w:tc>
          <w:tcPr>
            <w:tcW w:w="94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12,042</w:t>
            </w:r>
          </w:p>
        </w:tc>
        <w:tc>
          <w:tcPr>
            <w:tcW w:w="14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(9,996)</w:t>
            </w: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16,846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Income tax provision</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7,948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60" w:type="dxa"/>
            <w:vAlign w:val="bottom"/>
          </w:tcPr>
          <w:p>
            <w:pPr>
              <w:ind w:left="240"/>
              <w:spacing w:after="0" w:line="147" w:lineRule="exact"/>
              <w:rPr>
                <w:sz w:val="20"/>
                <w:szCs w:val="20"/>
                <w:color w:val="auto"/>
              </w:rPr>
            </w:pPr>
            <w:r>
              <w:rPr>
                <w:rFonts w:ascii="Arial" w:cs="Arial" w:eastAsia="Arial" w:hAnsi="Arial"/>
                <w:sz w:val="14"/>
                <w:szCs w:val="14"/>
                <w:color w:val="auto"/>
              </w:rPr>
              <w:t>EBITDA</w:t>
            </w: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51,864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49,096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23,356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40"/>
              <w:spacing w:after="0" w:line="145" w:lineRule="exact"/>
              <w:rPr>
                <w:sz w:val="20"/>
                <w:szCs w:val="20"/>
                <w:color w:val="auto"/>
              </w:rPr>
            </w:pPr>
            <w:r>
              <w:rPr>
                <w:rFonts w:ascii="Arial" w:cs="Arial" w:eastAsia="Arial" w:hAnsi="Arial"/>
                <w:sz w:val="14"/>
                <w:szCs w:val="14"/>
                <w:color w:val="auto"/>
              </w:rPr>
              <w:t>Change in fair value of Earnout Liability</w:t>
            </w: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(4,943)</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180"/>
        </w:trPr>
        <w:tc>
          <w:tcPr>
            <w:tcW w:w="3960" w:type="dxa"/>
            <w:vAlign w:val="bottom"/>
          </w:tcPr>
          <w:p>
            <w:pPr>
              <w:ind w:left="240"/>
              <w:spacing w:after="0" w:line="180" w:lineRule="exact"/>
              <w:rPr>
                <w:sz w:val="20"/>
                <w:szCs w:val="20"/>
                <w:color w:val="auto"/>
              </w:rPr>
            </w:pPr>
            <w:r>
              <w:rPr>
                <w:rFonts w:ascii="Arial" w:cs="Arial" w:eastAsia="Arial" w:hAnsi="Arial"/>
                <w:sz w:val="14"/>
                <w:szCs w:val="14"/>
                <w:color w:val="auto"/>
              </w:rPr>
              <w:t>Acquisition and integration-related costs</w:t>
            </w:r>
            <w:r>
              <w:rPr>
                <w:rFonts w:ascii="Arial" w:cs="Arial" w:eastAsia="Arial" w:hAnsi="Arial"/>
                <w:sz w:val="19"/>
                <w:szCs w:val="19"/>
                <w:color w:val="auto"/>
                <w:vertAlign w:val="superscript"/>
              </w:rPr>
              <w:t>(1)</w:t>
            </w: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6,467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Amortization of acquisition-related inventory step-up costs</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40"/>
              <w:spacing w:after="0"/>
              <w:rPr>
                <w:sz w:val="20"/>
                <w:szCs w:val="20"/>
                <w:color w:val="auto"/>
              </w:rPr>
            </w:pPr>
            <w:r>
              <w:rPr>
                <w:rFonts w:ascii="Arial" w:cs="Arial" w:eastAsia="Arial" w:hAnsi="Arial"/>
                <w:sz w:val="14"/>
                <w:szCs w:val="14"/>
                <w:color w:val="auto"/>
              </w:rPr>
              <w:t>Litigation settlement accrual costs</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ind w:left="240"/>
              <w:spacing w:after="0"/>
              <w:rPr>
                <w:sz w:val="20"/>
                <w:szCs w:val="20"/>
                <w:color w:val="auto"/>
              </w:rPr>
            </w:pPr>
            <w:r>
              <w:rPr>
                <w:rFonts w:ascii="Arial" w:cs="Arial" w:eastAsia="Arial" w:hAnsi="Arial"/>
                <w:sz w:val="14"/>
                <w:szCs w:val="14"/>
                <w:color w:val="auto"/>
              </w:rPr>
              <w:t>Change in fair value of convertible note investment</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ind w:left="120"/>
              <w:spacing w:after="0" w:line="155" w:lineRule="exact"/>
              <w:rPr>
                <w:sz w:val="20"/>
                <w:szCs w:val="20"/>
                <w:color w:val="auto"/>
              </w:rPr>
            </w:pPr>
            <w:r>
              <w:rPr>
                <w:rFonts w:ascii="Arial" w:cs="Arial" w:eastAsia="Arial" w:hAnsi="Arial"/>
                <w:sz w:val="14"/>
                <w:szCs w:val="14"/>
                <w:color w:val="auto"/>
              </w:rPr>
              <w:t>Adjusted EBITDA</w:t>
            </w: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53,339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20"/>
              <w:spacing w:after="0" w:line="162" w:lineRule="exact"/>
              <w:rPr>
                <w:sz w:val="20"/>
                <w:szCs w:val="20"/>
                <w:color w:val="auto"/>
              </w:rPr>
            </w:pPr>
            <w:r>
              <w:rPr>
                <w:rFonts w:ascii="Arial" w:cs="Arial" w:eastAsia="Arial" w:hAnsi="Arial"/>
                <w:sz w:val="14"/>
                <w:szCs w:val="14"/>
                <w:color w:val="auto"/>
              </w:rPr>
              <w:t xml:space="preserve">Net cash provided by operating activities (GAAP) </w:t>
            </w:r>
            <w:r>
              <w:rPr>
                <w:rFonts w:ascii="Arial" w:cs="Arial" w:eastAsia="Arial" w:hAnsi="Arial"/>
                <w:sz w:val="18"/>
                <w:szCs w:val="18"/>
                <w:color w:val="auto"/>
                <w:vertAlign w:val="superscript"/>
              </w:rPr>
              <w:t>(2)</w:t>
            </w:r>
          </w:p>
        </w:tc>
        <w:tc>
          <w:tcPr>
            <w:tcW w:w="3360" w:type="dxa"/>
            <w:vAlign w:val="bottom"/>
            <w:gridSpan w:val="3"/>
          </w:tcPr>
          <w:p>
            <w:pPr>
              <w:jc w:val="right"/>
              <w:ind w:right="67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(7,236)</w:t>
            </w:r>
          </w:p>
        </w:tc>
        <w:tc>
          <w:tcPr>
            <w:tcW w:w="94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32,472</w:t>
            </w:r>
          </w:p>
        </w:tc>
        <w:tc>
          <w:tcPr>
            <w:tcW w:w="14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8,503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20"/>
              <w:spacing w:after="0" w:line="162" w:lineRule="exact"/>
              <w:rPr>
                <w:sz w:val="20"/>
                <w:szCs w:val="20"/>
                <w:color w:val="auto"/>
              </w:rPr>
            </w:pPr>
            <w:r>
              <w:rPr>
                <w:rFonts w:ascii="Arial" w:cs="Arial" w:eastAsia="Arial" w:hAnsi="Arial"/>
                <w:sz w:val="14"/>
                <w:szCs w:val="14"/>
                <w:color w:val="auto"/>
              </w:rPr>
              <w:t xml:space="preserve">Consolidated capital expenditures </w:t>
            </w:r>
            <w:r>
              <w:rPr>
                <w:rFonts w:ascii="Arial" w:cs="Arial" w:eastAsia="Arial" w:hAnsi="Arial"/>
                <w:sz w:val="18"/>
                <w:szCs w:val="18"/>
                <w:color w:val="auto"/>
                <w:vertAlign w:val="superscript"/>
              </w:rPr>
              <w:t>(2)</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(28,013)</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(6,169)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(40,429)</w:t>
            </w:r>
          </w:p>
        </w:tc>
        <w:tc>
          <w:tcPr>
            <w:tcW w:w="0" w:type="dxa"/>
            <w:vAlign w:val="bottom"/>
          </w:tcPr>
          <w:p>
            <w:pPr>
              <w:spacing w:after="0"/>
              <w:rPr>
                <w:sz w:val="1"/>
                <w:szCs w:val="1"/>
                <w:color w:val="auto"/>
              </w:rPr>
            </w:pPr>
          </w:p>
        </w:tc>
      </w:tr>
      <w:tr>
        <w:trPr>
          <w:trHeight w:val="175"/>
        </w:trPr>
        <w:tc>
          <w:tcPr>
            <w:tcW w:w="7320" w:type="dxa"/>
            <w:vAlign w:val="bottom"/>
            <w:gridSpan w:val="4"/>
          </w:tcPr>
          <w:p>
            <w:pPr>
              <w:ind w:left="120"/>
              <w:spacing w:after="0" w:line="174" w:lineRule="exact"/>
              <w:rPr>
                <w:sz w:val="20"/>
                <w:szCs w:val="20"/>
                <w:color w:val="auto"/>
              </w:rPr>
            </w:pPr>
            <w:r>
              <w:rPr>
                <w:rFonts w:ascii="Arial" w:cs="Arial" w:eastAsia="Arial" w:hAnsi="Arial"/>
                <w:sz w:val="14"/>
                <w:szCs w:val="14"/>
                <w:color w:val="auto"/>
              </w:rPr>
              <w:t xml:space="preserve">Proceeds from FCC Reimbursement Program for property, equipment and intangibles </w:t>
            </w:r>
            <w:r>
              <w:rPr>
                <w:rFonts w:ascii="Arial" w:cs="Arial" w:eastAsia="Arial" w:hAnsi="Arial"/>
                <w:sz w:val="19"/>
                <w:szCs w:val="19"/>
                <w:color w:val="auto"/>
                <w:vertAlign w:val="superscript"/>
              </w:rPr>
              <w:t>(2)</w:t>
            </w:r>
          </w:p>
        </w:tc>
        <w:tc>
          <w:tcPr>
            <w:tcW w:w="500" w:type="dxa"/>
            <w:vAlign w:val="bottom"/>
          </w:tcPr>
          <w:p>
            <w:pPr>
              <w:jc w:val="right"/>
              <w:spacing w:after="0"/>
              <w:rPr>
                <w:sz w:val="20"/>
                <w:szCs w:val="20"/>
                <w:color w:val="auto"/>
              </w:rPr>
            </w:pPr>
            <w:r>
              <w:rPr>
                <w:rFonts w:ascii="Arial" w:cs="Arial" w:eastAsia="Arial" w:hAnsi="Arial"/>
                <w:sz w:val="14"/>
                <w:szCs w:val="14"/>
                <w:color w:val="auto"/>
              </w:rPr>
              <w:t>14,886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120"/>
              <w:spacing w:after="0" w:line="176" w:lineRule="exact"/>
              <w:rPr>
                <w:sz w:val="20"/>
                <w:szCs w:val="20"/>
                <w:color w:val="auto"/>
              </w:rPr>
            </w:pPr>
            <w:r>
              <w:rPr>
                <w:rFonts w:ascii="Arial" w:cs="Arial" w:eastAsia="Arial" w:hAnsi="Arial"/>
                <w:sz w:val="14"/>
                <w:szCs w:val="14"/>
                <w:color w:val="auto"/>
              </w:rPr>
              <w:t xml:space="preserve">Proceeds from interest rate caps </w:t>
            </w:r>
            <w:r>
              <w:rPr>
                <w:rFonts w:ascii="Arial" w:cs="Arial" w:eastAsia="Arial" w:hAnsi="Arial"/>
                <w:sz w:val="19"/>
                <w:szCs w:val="19"/>
                <w:color w:val="auto"/>
                <w:vertAlign w:val="superscript"/>
              </w:rPr>
              <w:t>(2)</w:t>
            </w: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ind w:left="60"/>
              <w:spacing w:after="0" w:line="155" w:lineRule="exact"/>
              <w:rPr>
                <w:sz w:val="20"/>
                <w:szCs w:val="20"/>
                <w:color w:val="auto"/>
              </w:rPr>
            </w:pPr>
            <w:r>
              <w:rPr>
                <w:rFonts w:ascii="Arial" w:cs="Arial" w:eastAsia="Arial" w:hAnsi="Arial"/>
                <w:sz w:val="14"/>
                <w:szCs w:val="14"/>
                <w:color w:val="auto"/>
              </w:rPr>
              <w:t>Free cash flow</w:t>
            </w:r>
          </w:p>
        </w:tc>
        <w:tc>
          <w:tcPr>
            <w:tcW w:w="2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7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(19,183)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60" w:right="140" w:hanging="374"/>
        <w:spacing w:after="0" w:line="226" w:lineRule="auto"/>
        <w:tabs>
          <w:tab w:leader="none" w:pos="7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the figure consists of severance and other compensation-related costs of $1.2 million and integration support costs of $0.6 million. For the three months ended March 31, 2025, the figure consists of due diligence and advisory fees of $3.9 million and severance and other compensation-related costs of $2.6 million. For the three months ended December 31, 2025, the figure consists of integration-related advisory fees of $0.3 million and severance and other compensation-related costs of $1.2 million.</w:t>
      </w:r>
    </w:p>
    <w:p>
      <w:pPr>
        <w:spacing w:after="0" w:line="1" w:lineRule="exact"/>
        <w:rPr>
          <w:rFonts w:ascii="Arial" w:cs="Arial" w:eastAsia="Arial" w:hAnsi="Arial"/>
          <w:sz w:val="19"/>
          <w:szCs w:val="19"/>
          <w:color w:val="auto"/>
          <w:vertAlign w:val="superscript"/>
        </w:rPr>
      </w:pPr>
    </w:p>
    <w:p>
      <w:pPr>
        <w:ind w:left="760" w:hanging="374"/>
        <w:spacing w:after="0" w:line="193" w:lineRule="auto"/>
        <w:tabs>
          <w:tab w:leader="none" w:pos="7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See Unaudited Condensed Consolidated Statements of Cash Flows.</w:t>
      </w:r>
    </w:p>
    <w:p>
      <w:pPr>
        <w:spacing w:after="0" w:line="296"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500" w:type="dxa"/>
            <w:vAlign w:val="bottom"/>
            <w:gridSpan w:val="3"/>
          </w:tcPr>
          <w:p>
            <w:pPr>
              <w:jc w:val="center"/>
              <w:ind w:left="2168"/>
              <w:spacing w:after="0"/>
              <w:rPr>
                <w:sz w:val="20"/>
                <w:szCs w:val="20"/>
                <w:color w:val="auto"/>
              </w:rPr>
            </w:pPr>
            <w:r>
              <w:rPr>
                <w:rFonts w:ascii="Arial" w:cs="Arial" w:eastAsia="Arial" w:hAnsi="Arial"/>
                <w:sz w:val="14"/>
                <w:szCs w:val="14"/>
                <w:b w:val="1"/>
                <w:bCs w:val="1"/>
                <w:color w:val="auto"/>
              </w:rPr>
              <w:t>Gogo Inc. and Subsidiaries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500" w:type="dxa"/>
            <w:vAlign w:val="bottom"/>
            <w:gridSpan w:val="5"/>
          </w:tcPr>
          <w:p>
            <w:pPr>
              <w:jc w:val="center"/>
              <w:ind w:left="1168"/>
              <w:spacing w:after="0"/>
              <w:rPr>
                <w:sz w:val="20"/>
                <w:szCs w:val="20"/>
                <w:color w:val="auto"/>
              </w:rPr>
            </w:pPr>
            <w:r>
              <w:rPr>
                <w:rFonts w:ascii="Arial" w:cs="Arial" w:eastAsia="Arial" w:hAnsi="Arial"/>
                <w:sz w:val="14"/>
                <w:szCs w:val="14"/>
                <w:b w:val="1"/>
                <w:bCs w:val="1"/>
                <w:color w:val="auto"/>
              </w:rPr>
              <w:t>Reconciliation of Estimated Full-Year GAAP Net Cash</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500" w:type="dxa"/>
            <w:vAlign w:val="bottom"/>
            <w:gridSpan w:val="5"/>
          </w:tcPr>
          <w:p>
            <w:pPr>
              <w:jc w:val="center"/>
              <w:ind w:left="1148"/>
              <w:spacing w:after="0"/>
              <w:rPr>
                <w:sz w:val="20"/>
                <w:szCs w:val="20"/>
                <w:color w:val="auto"/>
              </w:rPr>
            </w:pPr>
            <w:r>
              <w:rPr>
                <w:rFonts w:ascii="Arial" w:cs="Arial" w:eastAsia="Arial" w:hAnsi="Arial"/>
                <w:sz w:val="14"/>
                <w:szCs w:val="14"/>
                <w:b w:val="1"/>
                <w:bCs w:val="1"/>
                <w:color w:val="auto"/>
              </w:rPr>
              <w:t>Provided by Operating Activities to Non-GAAP Measures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280" w:type="dxa"/>
            <w:vAlign w:val="bottom"/>
          </w:tcPr>
          <w:p>
            <w:pPr>
              <w:jc w:val="center"/>
              <w:ind w:left="2368"/>
              <w:spacing w:after="0"/>
              <w:rPr>
                <w:sz w:val="20"/>
                <w:szCs w:val="20"/>
                <w:color w:val="auto"/>
              </w:rPr>
            </w:pPr>
            <w:r>
              <w:rPr>
                <w:rFonts w:ascii="Arial" w:cs="Arial" w:eastAsia="Arial" w:hAnsi="Arial"/>
                <w:sz w:val="14"/>
                <w:szCs w:val="14"/>
                <w:i w:val="1"/>
                <w:iCs w:val="1"/>
                <w:color w:val="auto"/>
              </w:rPr>
              <w:t>(in millions, unaudited)</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FY 2026 Range</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w w:val="96"/>
              </w:rPr>
              <w:t>High</w:t>
            </w:r>
          </w:p>
        </w:tc>
        <w:tc>
          <w:tcPr>
            <w:tcW w:w="40" w:type="dxa"/>
            <w:vAlign w:val="bottom"/>
          </w:tcPr>
          <w:p>
            <w:pPr>
              <w:spacing w:after="0"/>
              <w:rPr>
                <w:sz w:val="13"/>
                <w:szCs w:val="13"/>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4280" w:type="dxa"/>
            <w:vAlign w:val="bottom"/>
          </w:tcPr>
          <w:p>
            <w:pPr>
              <w:ind w:left="80"/>
              <w:spacing w:after="0"/>
              <w:rPr>
                <w:sz w:val="20"/>
                <w:szCs w:val="20"/>
                <w:color w:val="auto"/>
              </w:rPr>
            </w:pPr>
            <w:r>
              <w:rPr>
                <w:rFonts w:ascii="Arial" w:cs="Arial" w:eastAsia="Arial" w:hAnsi="Arial"/>
                <w:sz w:val="14"/>
                <w:szCs w:val="14"/>
                <w:color w:val="auto"/>
              </w:rPr>
              <w:t>Net cash provided by operating activities (GAAP)</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4"/>
                <w:szCs w:val="14"/>
                <w:color w:val="auto"/>
              </w:rPr>
            </w:pP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4"/>
                <w:szCs w:val="14"/>
                <w:color w:val="auto"/>
              </w:rPr>
            </w:pPr>
          </w:p>
        </w:tc>
      </w:tr>
      <w:tr>
        <w:trPr>
          <w:trHeight w:val="162"/>
        </w:trPr>
        <w:tc>
          <w:tcPr>
            <w:tcW w:w="4280" w:type="dxa"/>
            <w:vAlign w:val="bottom"/>
          </w:tcPr>
          <w:p>
            <w:pPr>
              <w:ind w:left="160"/>
              <w:spacing w:after="0"/>
              <w:rPr>
                <w:sz w:val="20"/>
                <w:szCs w:val="20"/>
                <w:color w:val="auto"/>
              </w:rPr>
            </w:pPr>
            <w:r>
              <w:rPr>
                <w:rFonts w:ascii="Arial" w:cs="Arial" w:eastAsia="Arial" w:hAnsi="Arial"/>
                <w:sz w:val="14"/>
                <w:szCs w:val="14"/>
                <w:color w:val="auto"/>
              </w:rPr>
              <w:t>Consolidated capital expenditures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w:t>
            </w:r>
          </w:p>
        </w:tc>
      </w:tr>
      <w:tr>
        <w:trPr>
          <w:trHeight w:val="162"/>
        </w:trPr>
        <w:tc>
          <w:tcPr>
            <w:tcW w:w="4280" w:type="dxa"/>
            <w:vAlign w:val="bottom"/>
          </w:tcPr>
          <w:p>
            <w:pPr>
              <w:ind w:left="160"/>
              <w:spacing w:after="0"/>
              <w:rPr>
                <w:sz w:val="20"/>
                <w:szCs w:val="20"/>
                <w:color w:val="auto"/>
              </w:rPr>
            </w:pPr>
            <w:r>
              <w:rPr>
                <w:rFonts w:ascii="Arial" w:cs="Arial" w:eastAsia="Arial" w:hAnsi="Arial"/>
                <w:sz w:val="14"/>
                <w:szCs w:val="14"/>
                <w:color w:val="auto"/>
              </w:rPr>
              <w:t>Proceeds from FCC Reimbursement Program for property,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80" w:type="dxa"/>
            <w:vAlign w:val="bottom"/>
          </w:tcPr>
          <w:p>
            <w:pPr>
              <w:ind w:left="160"/>
              <w:spacing w:after="0"/>
              <w:rPr>
                <w:sz w:val="20"/>
                <w:szCs w:val="20"/>
                <w:color w:val="auto"/>
              </w:rPr>
            </w:pPr>
            <w:r>
              <w:rPr>
                <w:rFonts w:ascii="Arial" w:cs="Arial" w:eastAsia="Arial" w:hAnsi="Arial"/>
                <w:sz w:val="14"/>
                <w:szCs w:val="14"/>
                <w:color w:val="auto"/>
              </w:rPr>
              <w:t>equipment and intangibles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4"/>
                <w:szCs w:val="14"/>
                <w:color w:val="auto"/>
              </w:rPr>
            </w:pPr>
          </w:p>
        </w:tc>
      </w:tr>
      <w:tr>
        <w:trPr>
          <w:trHeight w:val="171"/>
        </w:trPr>
        <w:tc>
          <w:tcPr>
            <w:tcW w:w="4280" w:type="dxa"/>
            <w:vAlign w:val="bottom"/>
          </w:tcPr>
          <w:p>
            <w:pPr>
              <w:ind w:left="160"/>
              <w:spacing w:after="0"/>
              <w:rPr>
                <w:sz w:val="20"/>
                <w:szCs w:val="20"/>
                <w:color w:val="auto"/>
              </w:rPr>
            </w:pPr>
            <w:r>
              <w:rPr>
                <w:rFonts w:ascii="Arial" w:cs="Arial" w:eastAsia="Arial" w:hAnsi="Arial"/>
                <w:sz w:val="14"/>
                <w:szCs w:val="14"/>
                <w:color w:val="auto"/>
              </w:rPr>
              <w:t>Proceeds from interest rate caps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r>
      <w:tr>
        <w:trPr>
          <w:trHeight w:val="156"/>
        </w:trPr>
        <w:tc>
          <w:tcPr>
            <w:tcW w:w="4280" w:type="dxa"/>
            <w:vAlign w:val="bottom"/>
          </w:tcPr>
          <w:p>
            <w:pPr>
              <w:ind w:left="80"/>
              <w:spacing w:after="0" w:line="155" w:lineRule="exact"/>
              <w:rPr>
                <w:sz w:val="20"/>
                <w:szCs w:val="20"/>
                <w:color w:val="auto"/>
              </w:rPr>
            </w:pPr>
            <w:r>
              <w:rPr>
                <w:rFonts w:ascii="Arial" w:cs="Arial" w:eastAsia="Arial" w:hAnsi="Arial"/>
                <w:sz w:val="14"/>
                <w:szCs w:val="14"/>
                <w:color w:val="auto"/>
              </w:rPr>
              <w:t>Free cash flow</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-1032510</wp:posOffset>
            </wp:positionV>
            <wp:extent cx="768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Non-GAAP Measures</w:t>
      </w:r>
    </w:p>
    <w:p>
      <w:pPr>
        <w:spacing w:after="0" w:line="10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attributable to common stock before interest expense, interest income, income taxes and depreciation and amortization expense.</w:t>
      </w:r>
    </w:p>
    <w:p>
      <w:pPr>
        <w:spacing w:after="0" w:line="4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xml:space="preserve"> represents EBITDA adjusted for (i) stock-based compensation expense, (ii) acquisition and integration-related costs, including amortization of acquisition-related inventory step-up costs and changes in fair value of the Earnout Liability, (iii) litigation settlement accrual costs, and (iv) change in fair value of convertible note investment.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current spending decisions need to be adjusted in order to meet financial goals and achieve optimal financial performance.</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6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spacing w:after="0" w:line="6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w:t>
      </w:r>
    </w:p>
    <w:p>
      <w:pPr>
        <w:spacing w:after="0" w:line="6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We believe it is useful for an understanding of our operating performance to exclude litigation settlement accrual costs from Adjusted EBITDA because this activity is outside of the ordinary course of our operations and does not reflect our operating performance.</w:t>
      </w:r>
    </w:p>
    <w:p>
      <w:pPr>
        <w:spacing w:after="0" w:line="4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We believe it is useful for an understanding of our operating performance to exclude the change in fair value of convertible note investment from Adjusted EBITDA because this activity is not related to our operating performance.</w:t>
      </w:r>
    </w:p>
    <w:p>
      <w:pPr>
        <w:spacing w:after="0" w:line="4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left="9180"/>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16510</wp:posOffset>
            </wp:positionV>
            <wp:extent cx="7157720" cy="8739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873950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629285</wp:posOffset>
            </wp:positionV>
            <wp:extent cx="7157720" cy="8739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8739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2026-05-07T15:19:37Z</dcterms:created>
  <dcterms:modified xsi:type="dcterms:W3CDTF">2026-05-07T15:19:37Z</dcterms:modified>
</cp:coreProperties>
</file>