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79"/>
        <w:spacing w:after="0" w:line="238"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128270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156210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9"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 w:lineRule="exact"/>
        <w:rPr>
          <w:sz w:val="24"/>
          <w:szCs w:val="24"/>
          <w:color w:val="auto"/>
        </w:rPr>
      </w:pPr>
    </w:p>
    <w:p>
      <w:pPr>
        <w:ind w:left="700" w:hanging="679"/>
        <w:spacing w:after="0"/>
        <w:tabs>
          <w:tab w:leader="none" w:pos="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3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139700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1880" w:type="dxa"/>
        <w:tblCellMar>
          <w:top w:w="0" w:type="dxa"/>
          <w:left w:w="0" w:type="dxa"/>
          <w:bottom w:w="0" w:type="dxa"/>
          <w:right w:w="0" w:type="dxa"/>
        </w:tblCellMar>
      </w:tblPr>
      <w:tr>
        <w:trPr>
          <w:trHeight w:val="368"/>
        </w:trPr>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gridSpan w:val="2"/>
          </w:tcPr>
          <w:p>
            <w:pPr>
              <w:jc w:val="center"/>
              <w:ind w:right="2208"/>
              <w:spacing w:after="0"/>
              <w:rPr>
                <w:sz w:val="20"/>
                <w:szCs w:val="20"/>
                <w:color w:val="auto"/>
              </w:rPr>
            </w:pPr>
            <w:r>
              <w:rPr>
                <w:rFonts w:ascii="Times New Roman" w:cs="Times New Roman" w:eastAsia="Times New Roman" w:hAnsi="Times New Roman"/>
                <w:sz w:val="32"/>
                <w:szCs w:val="32"/>
                <w:b w:val="1"/>
                <w:bCs w:val="1"/>
                <w:color w:val="auto"/>
              </w:rPr>
              <w:t>Gogo Inc.</w:t>
            </w:r>
          </w:p>
        </w:tc>
      </w:tr>
      <w:tr>
        <w:trPr>
          <w:trHeight w:val="234"/>
        </w:trPr>
        <w:tc>
          <w:tcPr>
            <w:tcW w:w="1820" w:type="dxa"/>
            <w:vAlign w:val="bottom"/>
          </w:tcPr>
          <w:p>
            <w:pPr>
              <w:spacing w:after="0"/>
              <w:rPr>
                <w:sz w:val="20"/>
                <w:szCs w:val="20"/>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5"/>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20" w:type="dxa"/>
            <w:vAlign w:val="bottom"/>
            <w:gridSpan w:val="3"/>
          </w:tcPr>
          <w:p>
            <w:pPr>
              <w:jc w:val="center"/>
              <w:ind w:left="4177"/>
              <w:spacing w:after="0"/>
              <w:rPr>
                <w:sz w:val="20"/>
                <w:szCs w:val="20"/>
                <w:color w:val="auto"/>
              </w:rPr>
            </w:pPr>
            <w:r>
              <w:rPr>
                <w:rFonts w:ascii="Times New Roman" w:cs="Times New Roman" w:eastAsia="Times New Roman" w:hAnsi="Times New Roman"/>
                <w:sz w:val="18"/>
                <w:szCs w:val="18"/>
                <w:b w:val="1"/>
                <w:bCs w:val="1"/>
                <w:color w:val="auto"/>
                <w:w w:val="98"/>
              </w:rPr>
              <w:t>27-1650905</w:t>
            </w:r>
          </w:p>
        </w:tc>
      </w:tr>
      <w:tr>
        <w:trPr>
          <w:trHeight w:val="148"/>
        </w:trPr>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80" w:type="dxa"/>
            <w:vAlign w:val="bottom"/>
          </w:tcPr>
          <w:p>
            <w:pPr>
              <w:jc w:val="center"/>
              <w:ind w:left="114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8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14"/>
        </w:trPr>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80" w:type="dxa"/>
            <w:vAlign w:val="bottom"/>
          </w:tcPr>
          <w:p>
            <w:pPr>
              <w:spacing w:after="0"/>
              <w:rPr>
                <w:sz w:val="18"/>
                <w:szCs w:val="18"/>
                <w:color w:val="auto"/>
              </w:rPr>
            </w:pPr>
          </w:p>
        </w:tc>
      </w:tr>
      <w:tr>
        <w:trPr>
          <w:trHeight w:val="335"/>
        </w:trPr>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gridSpan w:val="2"/>
          </w:tcPr>
          <w:p>
            <w:pPr>
              <w:jc w:val="center"/>
              <w:ind w:right="2188"/>
              <w:spacing w:after="0"/>
              <w:rPr>
                <w:sz w:val="20"/>
                <w:szCs w:val="20"/>
                <w:color w:val="auto"/>
              </w:rPr>
            </w:pPr>
            <w:r>
              <w:rPr>
                <w:rFonts w:ascii="Times New Roman" w:cs="Times New Roman" w:eastAsia="Times New Roman" w:hAnsi="Times New Roman"/>
                <w:sz w:val="18"/>
                <w:szCs w:val="18"/>
                <w:b w:val="1"/>
                <w:bCs w:val="1"/>
                <w:color w:val="auto"/>
                <w:w w:val="99"/>
              </w:rPr>
              <w:t>105 Edgeview Dr., Suite 300</w:t>
            </w:r>
          </w:p>
        </w:tc>
      </w:tr>
      <w:tr>
        <w:trPr>
          <w:trHeight w:val="202"/>
        </w:trPr>
        <w:tc>
          <w:tcPr>
            <w:tcW w:w="1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20" w:type="dxa"/>
            <w:vAlign w:val="bottom"/>
            <w:gridSpan w:val="2"/>
          </w:tcPr>
          <w:p>
            <w:pPr>
              <w:jc w:val="center"/>
              <w:ind w:right="2208"/>
              <w:spacing w:after="0" w:line="202" w:lineRule="exact"/>
              <w:rPr>
                <w:sz w:val="20"/>
                <w:szCs w:val="20"/>
                <w:color w:val="auto"/>
              </w:rPr>
            </w:pPr>
            <w:r>
              <w:rPr>
                <w:rFonts w:ascii="Times New Roman" w:cs="Times New Roman" w:eastAsia="Times New Roman" w:hAnsi="Times New Roman"/>
                <w:sz w:val="18"/>
                <w:szCs w:val="18"/>
                <w:b w:val="1"/>
                <w:bCs w:val="1"/>
                <w:color w:val="auto"/>
                <w:w w:val="99"/>
              </w:rPr>
              <w:t>Broomfield, CO 80021</w:t>
            </w:r>
          </w:p>
        </w:tc>
      </w:tr>
      <w:tr>
        <w:trPr>
          <w:trHeight w:val="186"/>
        </w:trPr>
        <w:tc>
          <w:tcPr>
            <w:tcW w:w="1820" w:type="dxa"/>
            <w:vAlign w:val="bottom"/>
          </w:tcPr>
          <w:p>
            <w:pPr>
              <w:spacing w:after="0"/>
              <w:rPr>
                <w:sz w:val="16"/>
                <w:szCs w:val="16"/>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4"/>
                <w:szCs w:val="14"/>
                <w:color w:val="auto"/>
              </w:rPr>
              <w:t>(Address of principal executive offices)</w:t>
            </w:r>
          </w:p>
        </w:tc>
      </w:tr>
      <w:tr>
        <w:trPr>
          <w:trHeight w:val="259"/>
        </w:trPr>
        <w:tc>
          <w:tcPr>
            <w:tcW w:w="1820" w:type="dxa"/>
            <w:vAlign w:val="bottom"/>
          </w:tcPr>
          <w:p>
            <w:pPr>
              <w:spacing w:after="0"/>
              <w:rPr>
                <w:sz w:val="22"/>
                <w:szCs w:val="22"/>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8"/>
                <w:szCs w:val="18"/>
                <w:b w:val="1"/>
                <w:bCs w:val="1"/>
                <w:color w:val="auto"/>
                <w:w w:val="99"/>
              </w:rPr>
              <w:t>Telephone Number (303) 301-3271</w:t>
            </w:r>
          </w:p>
        </w:tc>
      </w:tr>
      <w:tr>
        <w:trPr>
          <w:trHeight w:val="186"/>
        </w:trPr>
        <w:tc>
          <w:tcPr>
            <w:tcW w:w="1820" w:type="dxa"/>
            <w:vAlign w:val="bottom"/>
          </w:tcPr>
          <w:p>
            <w:pPr>
              <w:spacing w:after="0"/>
              <w:rPr>
                <w:sz w:val="16"/>
                <w:szCs w:val="16"/>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127635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320" w:type="dxa"/>
            <w:vAlign w:val="bottom"/>
            <w:gridSpan w:val="2"/>
          </w:tcPr>
          <w:p>
            <w:pPr>
              <w:jc w:val="center"/>
              <w:ind w:right="2468"/>
              <w:spacing w:after="0"/>
              <w:rPr>
                <w:sz w:val="20"/>
                <w:szCs w:val="20"/>
                <w:color w:val="auto"/>
              </w:rPr>
            </w:pPr>
            <w:r>
              <w:rPr>
                <w:rFonts w:ascii="Times New Roman" w:cs="Times New Roman" w:eastAsia="Times New Roman" w:hAnsi="Times New Roman"/>
                <w:sz w:val="14"/>
                <w:szCs w:val="14"/>
                <w:color w:val="auto"/>
              </w:rPr>
              <w:t>Title of Class</w:t>
            </w:r>
          </w:p>
        </w:tc>
        <w:tc>
          <w:tcPr>
            <w:tcW w:w="17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Trading Symbol</w:t>
            </w:r>
          </w:p>
        </w:tc>
        <w:tc>
          <w:tcPr>
            <w:tcW w:w="3480" w:type="dxa"/>
            <w:vAlign w:val="bottom"/>
            <w:gridSpan w:val="3"/>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46"/>
        </w:trPr>
        <w:tc>
          <w:tcPr>
            <w:tcW w:w="9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w w:val="99"/>
              </w:rPr>
              <w:t>Common stock,</w:t>
            </w:r>
          </w:p>
        </w:tc>
        <w:tc>
          <w:tcPr>
            <w:tcW w:w="7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par value $</w:t>
            </w:r>
          </w:p>
        </w:tc>
        <w:tc>
          <w:tcPr>
            <w:tcW w:w="254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0.0001 per share</w:t>
            </w:r>
          </w:p>
        </w:tc>
        <w:tc>
          <w:tcPr>
            <w:tcW w:w="92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GOGO</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NASDAQ Global Select Market</w:t>
            </w:r>
          </w:p>
        </w:tc>
        <w:tc>
          <w:tcPr>
            <w:tcW w:w="20" w:type="dxa"/>
            <w:vAlign w:val="bottom"/>
          </w:tcPr>
          <w:p>
            <w:pPr>
              <w:spacing w:after="0"/>
              <w:rPr>
                <w:sz w:val="12"/>
                <w:szCs w:val="12"/>
                <w:color w:val="auto"/>
              </w:rPr>
            </w:pPr>
          </w:p>
        </w:tc>
      </w:tr>
      <w:tr>
        <w:trPr>
          <w:trHeight w:val="186"/>
        </w:trPr>
        <w:tc>
          <w:tcPr>
            <w:tcW w:w="4220" w:type="dxa"/>
            <w:vAlign w:val="bottom"/>
            <w:gridSpan w:val="3"/>
          </w:tcPr>
          <w:p>
            <w:pPr>
              <w:jc w:val="center"/>
              <w:ind w:right="1568"/>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8"/>
              </w:rPr>
              <w:t>GOGO</w:t>
            </w:r>
          </w:p>
        </w:tc>
        <w:tc>
          <w:tcPr>
            <w:tcW w:w="78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65" w:lineRule="exact"/>
        <w:rPr>
          <w:sz w:val="24"/>
          <w:szCs w:val="24"/>
          <w:color w:val="auto"/>
        </w:rPr>
      </w:pPr>
    </w:p>
    <w:p>
      <w:pPr>
        <w:ind w:right="40" w:firstLine="509"/>
        <w:spacing w:after="0" w:line="22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61" w:lineRule="exact"/>
        <w:tabs>
          <w:tab w:leader="none" w:pos="860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3" w:lineRule="exact"/>
        <w:rPr>
          <w:sz w:val="24"/>
          <w:szCs w:val="24"/>
          <w:color w:val="auto"/>
        </w:rPr>
      </w:pPr>
    </w:p>
    <w:p>
      <w:pPr>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520" w:right="3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July 29, 2022, 128,688,372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6" w:right="4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9620" w:type="dxa"/>
            <w:vAlign w:val="bottom"/>
            <w:gridSpan w:val="16"/>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 (Deficit)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$1,311 and $894, respectively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 net of allowances of $524 and $455, respectively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423,565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397,773</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723,566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2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188,516</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694,760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77,329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777,519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869,192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967,841</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0"/>
        </w:trPr>
        <w:tc>
          <w:tcPr>
            <w:tcW w:w="77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par value $0.0001 per share; 500,000,000 shares authorized at June 30, 2022 and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December 31, 2021; 135,878,986 and 117,407,468 shares issued at June 30, 2022 and December 31,</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2021, respectively; and 128,688,372 and 110,791,954 shares outstanding at June 30, 2022 and</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1,379,356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1,258,477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(140,000 )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(128,803 )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(1,407,415 )</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(1,451,628 )</w:t>
            </w:r>
          </w:p>
        </w:tc>
      </w:tr>
      <w:tr>
        <w:trPr>
          <w:trHeight w:val="209"/>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723,566</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647,687</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-4469130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-4469130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-3638550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-3347085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-3329940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-3347085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-2499360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-1651635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36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64,767</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143,731</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124,122</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97,836</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190,586</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156,244</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65,496</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123,297</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98,858</w:t>
            </w:r>
          </w:p>
        </w:tc>
        <w:tc>
          <w:tcPr>
            <w:tcW w:w="10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(194 )</w:t>
            </w: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(241 )</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(127 )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09"/>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95,723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(66,117 )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(71,966 )</w:t>
            </w: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(66,394 )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(72,278 )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(2,854 )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(69,248 )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(76,933 )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basic: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(0.61 )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(0.74 )</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basic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diluted: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(0.74 )</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123,252</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117,375</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134,718</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109,060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134,474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96,884</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-5017135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-5017135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-5017135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-5017135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-3903980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-3903980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-3903980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-3903980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-3612515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-3612515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-3612515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-3612515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-2773680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-2773680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-2773680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-2773680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-2491105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-2491105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-2491105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-2208530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-2208530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-2208530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-1343660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-1326515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-1343660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-1326515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-1343660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-1326515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-770255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-770255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-770255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-170815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38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(69,248</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unrealized gain</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(430 )</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16"/>
        </w:trPr>
        <w:tc>
          <w:tcPr>
            <w:tcW w:w="5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(393 )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64,844</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-316230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-316230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-316230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8"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 from continuing operations: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44,213</w:t>
            </w:r>
          </w:p>
        </w:tc>
        <w:tc>
          <w:tcPr>
            <w:tcW w:w="28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(72,278 )</w:t>
            </w:r>
          </w:p>
        </w:tc>
      </w:tr>
      <w:tr>
        <w:trPr>
          <w:trHeight w:val="175"/>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(loss) to cash provided by operating activities: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7,664</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(gain) on asset disposals, abandonments and write-downs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 and settlement of convertible notes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83,961</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(7,270 )</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(8,567 )</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(79 )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(2,238 )</w:t>
            </w:r>
          </w:p>
        </w:tc>
      </w:tr>
      <w:tr>
        <w:trPr>
          <w:trHeight w:val="175"/>
        </w:trPr>
        <w:tc>
          <w:tcPr>
            <w:tcW w:w="76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(2,748 )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(3,314 )</w:t>
            </w:r>
          </w:p>
        </w:tc>
      </w:tr>
      <w:tr>
        <w:trPr>
          <w:trHeight w:val="175"/>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liabilities</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(2,043 )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(6,483 )</w:t>
            </w:r>
          </w:p>
        </w:tc>
      </w:tr>
      <w:tr>
        <w:trPr>
          <w:trHeight w:val="175"/>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(318 )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(632 )</w:t>
            </w:r>
          </w:p>
        </w:tc>
      </w:tr>
      <w:tr>
        <w:trPr>
          <w:trHeight w:val="175"/>
        </w:trPr>
        <w:tc>
          <w:tcPr>
            <w:tcW w:w="76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(164 )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(8,576 )</w:t>
            </w:r>
          </w:p>
        </w:tc>
      </w:tr>
      <w:tr>
        <w:trPr>
          <w:trHeight w:val="175"/>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(1,503 )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(1,198 )</w:t>
            </w:r>
          </w:p>
        </w:tc>
      </w:tr>
      <w:tr>
        <w:trPr>
          <w:trHeight w:val="169"/>
        </w:trPr>
        <w:tc>
          <w:tcPr>
            <w:tcW w:w="766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from continuing operations</w:t>
            </w:r>
          </w:p>
        </w:tc>
        <w:tc>
          <w:tcPr>
            <w:tcW w:w="10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44,240</w:t>
            </w:r>
          </w:p>
        </w:tc>
        <w:tc>
          <w:tcPr>
            <w:tcW w:w="280" w:type="dxa"/>
            <w:vAlign w:val="bottom"/>
            <w:tcBorders>
              <w:top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9,601</w:t>
            </w:r>
          </w:p>
        </w:tc>
        <w:tc>
          <w:tcPr>
            <w:tcW w:w="100" w:type="dxa"/>
            <w:vAlign w:val="bottom"/>
            <w:tcBorders>
              <w:top w:val="single" w:sz="8" w:color="CFF0FC"/>
            </w:tcBorders>
          </w:tcPr>
          <w:p>
            <w:pPr>
              <w:spacing w:after="0"/>
              <w:rPr>
                <w:sz w:val="14"/>
                <w:szCs w:val="14"/>
                <w:color w:val="auto"/>
              </w:rPr>
            </w:pPr>
          </w:p>
        </w:tc>
      </w:tr>
      <w:tr>
        <w:trPr>
          <w:trHeight w:val="16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 from continuing operations: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(17,481 )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(1,284 )</w:t>
            </w: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(2,469 )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(542 )</w:t>
            </w: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 of interest rate cap</w:t>
            </w:r>
          </w:p>
        </w:tc>
        <w:tc>
          <w:tcPr>
            <w:tcW w:w="1020" w:type="dxa"/>
            <w:vAlign w:val="bottom"/>
          </w:tcPr>
          <w:p>
            <w:pPr>
              <w:spacing w:after="0"/>
              <w:rPr>
                <w:sz w:val="15"/>
                <w:szCs w:val="15"/>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(8,629 )</w:t>
            </w:r>
          </w:p>
        </w:tc>
      </w:tr>
      <w:tr>
        <w:trPr>
          <w:trHeight w:val="169"/>
        </w:trPr>
        <w:tc>
          <w:tcPr>
            <w:tcW w:w="7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 from continuing operations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(19,950</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 from continuing operations: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Redemption of senior secured notes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(1,023,146 )</w:t>
            </w: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term loan, net of discount</w:t>
            </w:r>
          </w:p>
        </w:tc>
        <w:tc>
          <w:tcPr>
            <w:tcW w:w="1020" w:type="dxa"/>
            <w:vAlign w:val="bottom"/>
          </w:tcPr>
          <w:p>
            <w:pPr>
              <w:spacing w:after="0"/>
              <w:rPr>
                <w:sz w:val="15"/>
                <w:szCs w:val="15"/>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721,375</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Payments on term loan</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(3,625 )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20" w:type="dxa"/>
            <w:vAlign w:val="bottom"/>
          </w:tcPr>
          <w:p>
            <w:pPr>
              <w:spacing w:after="0"/>
              <w:rPr>
                <w:sz w:val="15"/>
                <w:szCs w:val="15"/>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(20,251 )</w:t>
            </w: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Payments on financing leases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(103 )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(154 )</w:t>
            </w: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(2,515 )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(2,752 )</w:t>
            </w:r>
          </w:p>
        </w:tc>
      </w:tr>
      <w:tr>
        <w:trPr>
          <w:trHeight w:val="169"/>
        </w:trPr>
        <w:tc>
          <w:tcPr>
            <w:tcW w:w="7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 from continuing operations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(6,243</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(324,928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discontinued operations: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1020" w:type="dxa"/>
            <w:vAlign w:val="bottom"/>
          </w:tcPr>
          <w:p>
            <w:pPr>
              <w:spacing w:after="0"/>
              <w:rPr>
                <w:sz w:val="15"/>
                <w:szCs w:val="15"/>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used in financing activities</w:t>
            </w: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discontinued operations</w:t>
            </w:r>
          </w:p>
        </w:tc>
        <w:tc>
          <w:tcPr>
            <w:tcW w:w="1020" w:type="dxa"/>
            <w:vAlign w:val="bottom"/>
          </w:tcPr>
          <w:p>
            <w:pPr>
              <w:spacing w:after="0"/>
              <w:rPr>
                <w:sz w:val="14"/>
                <w:szCs w:val="14"/>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75"/>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(89 )</w:t>
            </w:r>
          </w:p>
        </w:tc>
      </w:tr>
      <w:tr>
        <w:trPr>
          <w:trHeight w:val="20"/>
        </w:trPr>
        <w:tc>
          <w:tcPr>
            <w:tcW w:w="7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18,055</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(326,671 )</w:t>
            </w:r>
          </w:p>
        </w:tc>
      </w:tr>
      <w:tr>
        <w:trPr>
          <w:trHeight w:val="175"/>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146,268</w:t>
            </w:r>
          </w:p>
        </w:tc>
        <w:tc>
          <w:tcPr>
            <w:tcW w:w="2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435,870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164,323</w:t>
            </w:r>
          </w:p>
        </w:tc>
        <w:tc>
          <w:tcPr>
            <w:tcW w:w="280" w:type="dxa"/>
            <w:vAlign w:val="bottom"/>
          </w:tcPr>
          <w:p>
            <w:pPr>
              <w:spacing w:after="0"/>
              <w:rPr>
                <w:sz w:val="14"/>
                <w:szCs w:val="1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109,199</w:t>
            </w:r>
          </w:p>
        </w:tc>
        <w:tc>
          <w:tcPr>
            <w:tcW w:w="100" w:type="dxa"/>
            <w:vAlign w:val="bottom"/>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20" w:type="dxa"/>
            <w:vAlign w:val="bottom"/>
            <w:shd w:val="clear" w:color="auto" w:fill="CFF0FC"/>
          </w:tcPr>
          <w:p>
            <w:pPr>
              <w:jc w:val="right"/>
              <w:ind w:right="8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164,323</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109,199</w:t>
            </w:r>
          </w:p>
        </w:tc>
        <w:tc>
          <w:tcPr>
            <w:tcW w:w="100" w:type="dxa"/>
            <w:vAlign w:val="bottom"/>
            <w:shd w:val="clear" w:color="auto" w:fill="CFF0FC"/>
          </w:tcPr>
          <w:p>
            <w:pPr>
              <w:spacing w:after="0"/>
              <w:rPr>
                <w:sz w:val="13"/>
                <w:szCs w:val="13"/>
                <w:color w:val="auto"/>
              </w:rPr>
            </w:pPr>
          </w:p>
        </w:tc>
      </w:tr>
      <w:tr>
        <w:trPr>
          <w:trHeight w:val="17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restricted cash</w:t>
            </w:r>
          </w:p>
        </w:tc>
        <w:tc>
          <w:tcPr>
            <w:tcW w:w="1020" w:type="dxa"/>
            <w:vAlign w:val="bottom"/>
          </w:tcPr>
          <w:p>
            <w:pPr>
              <w:spacing w:after="0"/>
              <w:rPr>
                <w:sz w:val="15"/>
                <w:szCs w:val="15"/>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non-current restricted cash</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163,993</w:t>
            </w:r>
          </w:p>
        </w:tc>
        <w:tc>
          <w:tcPr>
            <w:tcW w:w="280" w:type="dxa"/>
            <w:vAlign w:val="bottom"/>
            <w:tcBorders>
              <w:top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109,174</w:t>
            </w:r>
          </w:p>
        </w:tc>
        <w:tc>
          <w:tcPr>
            <w:tcW w:w="100" w:type="dxa"/>
            <w:vAlign w:val="bottom"/>
            <w:tcBorders>
              <w:top w:val="single" w:sz="8" w:color="CFF0FC"/>
            </w:tcBorders>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interest</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19,680</w:t>
            </w:r>
          </w:p>
        </w:tc>
        <w:tc>
          <w:tcPr>
            <w:tcW w:w="28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51,259</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paid for taxes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02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13,089</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-3698240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-3698240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-3004820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-3004820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-2097405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-1643380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-1412240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-1181100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-701675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June 30, 2022</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880" w:type="dxa"/>
            <w:vAlign w:val="bottom"/>
            <w:gridSpan w:val="4"/>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06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vMerge w:val="restart"/>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16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2"/>
              </w:rPr>
              <w:t>Par 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37"/>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1060" w:type="dxa"/>
            <w:vAlign w:val="bottom"/>
            <w:gridSpan w:val="2"/>
          </w:tcPr>
          <w:p>
            <w:pPr>
              <w:jc w:val="center"/>
              <w:ind w:right="237"/>
              <w:spacing w:after="0" w:line="146"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3"/>
                <w:szCs w:val="13"/>
                <w:color w:val="auto"/>
              </w:rPr>
            </w:pPr>
          </w:p>
        </w:tc>
        <w:tc>
          <w:tcPr>
            <w:tcW w:w="860" w:type="dxa"/>
            <w:vAlign w:val="bottom"/>
            <w:gridSpan w:val="2"/>
          </w:tcPr>
          <w:p>
            <w:pPr>
              <w:jc w:val="center"/>
              <w:ind w:right="27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358"/>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111,784,217</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1,259,223</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17,961</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(1,429,432</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(281,040</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22,017</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(120 )</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(120 )</w:t>
            </w:r>
          </w:p>
        </w:tc>
        <w:tc>
          <w:tcPr>
            <w:tcW w:w="0" w:type="dxa"/>
            <w:vAlign w:val="bottom"/>
          </w:tcPr>
          <w:p>
            <w:pPr>
              <w:spacing w:after="0"/>
              <w:rPr>
                <w:sz w:val="1"/>
                <w:szCs w:val="1"/>
                <w:color w:val="auto"/>
              </w:rPr>
            </w:pPr>
          </w:p>
        </w:tc>
      </w:tr>
      <w:tr>
        <w:trPr>
          <w:trHeight w:val="108"/>
        </w:trPr>
        <w:tc>
          <w:tcPr>
            <w:tcW w:w="290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Fair value adjustments of cash flow hedges, net of</w:t>
            </w: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0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303,840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90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w:t>
            </w: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restricted 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29,803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90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Tax withholding related to vesting of restricted</w:t>
            </w: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(262 )</w:t>
            </w:r>
          </w:p>
        </w:tc>
        <w:tc>
          <w:tcPr>
            <w:tcW w:w="100" w:type="dxa"/>
            <w:vAlign w:val="bottom"/>
          </w:tcPr>
          <w:p>
            <w:pPr>
              <w:spacing w:after="0"/>
              <w:rPr>
                <w:sz w:val="15"/>
                <w:szCs w:val="15"/>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(262 )</w:t>
            </w:r>
          </w:p>
        </w:tc>
        <w:tc>
          <w:tcPr>
            <w:tcW w:w="0" w:type="dxa"/>
            <w:vAlign w:val="bottom"/>
          </w:tcPr>
          <w:p>
            <w:pPr>
              <w:spacing w:after="0"/>
              <w:rPr>
                <w:sz w:val="1"/>
                <w:szCs w:val="1"/>
                <w:color w:val="auto"/>
              </w:rPr>
            </w:pPr>
          </w:p>
        </w:tc>
      </w:tr>
      <w:tr>
        <w:trPr>
          <w:trHeight w:val="116"/>
        </w:trPr>
        <w:tc>
          <w:tcPr>
            <w:tcW w:w="290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14,280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17,131,332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 of prepaid forward shares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(575,100 )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575,100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(11,197 )</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128,688,372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1,379,356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22,420</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(1,407,415 )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7,190,549</w:t>
            </w:r>
          </w:p>
        </w:tc>
        <w:tc>
          <w:tcPr>
            <w:tcW w:w="3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(140,000 )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(145,626 )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9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June 30, 2021</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880" w:type="dxa"/>
            <w:vAlign w:val="bottom"/>
            <w:gridSpan w:val="4"/>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06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vMerge w:val="restart"/>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16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2"/>
              </w:rPr>
              <w:t>Par 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37"/>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1060" w:type="dxa"/>
            <w:vAlign w:val="bottom"/>
            <w:gridSpan w:val="2"/>
          </w:tcPr>
          <w:p>
            <w:pPr>
              <w:jc w:val="center"/>
              <w:ind w:right="237"/>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860" w:type="dxa"/>
            <w:vAlign w:val="bottom"/>
            <w:gridSpan w:val="2"/>
          </w:tcPr>
          <w:p>
            <w:pPr>
              <w:jc w:val="center"/>
              <w:ind w:right="27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358"/>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92,071,085</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1,080,305</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200" w:type="dxa"/>
            <w:vAlign w:val="bottom"/>
            <w:shd w:val="clear" w:color="auto" w:fill="CFF0FC"/>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(1,612,048</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5,077,400</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(98,857</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(631,503</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(69,248 )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(69,248 )</w:t>
            </w: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Fair value adjustments of cash flow hedge, net of</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(430 )</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(430 )</w:t>
            </w:r>
          </w:p>
        </w:tc>
        <w:tc>
          <w:tcPr>
            <w:tcW w:w="0" w:type="dxa"/>
            <w:vAlign w:val="bottom"/>
          </w:tcPr>
          <w:p>
            <w:pPr>
              <w:spacing w:after="0"/>
              <w:rPr>
                <w:sz w:val="1"/>
                <w:szCs w:val="1"/>
                <w:color w:val="auto"/>
              </w:rPr>
            </w:pPr>
          </w:p>
        </w:tc>
      </w:tr>
      <w:tr>
        <w:trPr>
          <w:trHeight w:val="170"/>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0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upon vesting of</w:t>
            </w: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restricted stock units and restricted stock awards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9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(324 )</w:t>
            </w:r>
          </w:p>
        </w:tc>
        <w:tc>
          <w:tcPr>
            <w:tcW w:w="10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(324 )</w:t>
            </w:r>
          </w:p>
        </w:tc>
        <w:tc>
          <w:tcPr>
            <w:tcW w:w="0" w:type="dxa"/>
            <w:vAlign w:val="bottom"/>
          </w:tcPr>
          <w:p>
            <w:pPr>
              <w:spacing w:after="0"/>
              <w:rPr>
                <w:sz w:val="1"/>
                <w:szCs w:val="1"/>
                <w:color w:val="auto"/>
              </w:rPr>
            </w:pPr>
          </w:p>
        </w:tc>
      </w:tr>
      <w:tr>
        <w:trPr>
          <w:trHeight w:val="125"/>
        </w:trPr>
        <w:tc>
          <w:tcPr>
            <w:tcW w:w="290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19,064,529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 of prepaid forward shares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(1,538,049 )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29,946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1,538,049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(29,946 )</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109,695,594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1,234,111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(1,305 )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(1,681,296 )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3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(128,803 )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(577,282 )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-2499360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-2499360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-2499360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-2499360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-2499360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-2499360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-2499360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-136525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-136525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-136525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-136525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-136525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-136525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-136525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For the Six Months Ended June 30, 2022</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20" w:type="dxa"/>
            <w:vAlign w:val="bottom"/>
          </w:tcPr>
          <w:p>
            <w:pPr>
              <w:spacing w:after="0"/>
              <w:rPr>
                <w:sz w:val="14"/>
                <w:szCs w:val="14"/>
                <w:color w:val="auto"/>
              </w:rPr>
            </w:pPr>
          </w:p>
        </w:tc>
        <w:tc>
          <w:tcPr>
            <w:tcW w:w="21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vMerge w:val="restart"/>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5"/>
                <w:szCs w:val="15"/>
                <w:color w:val="auto"/>
              </w:rPr>
            </w:pPr>
          </w:p>
        </w:tc>
        <w:tc>
          <w:tcPr>
            <w:tcW w:w="1140" w:type="dxa"/>
            <w:vAlign w:val="bottom"/>
            <w:gridSpan w:val="3"/>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37"/>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860" w:type="dxa"/>
            <w:vAlign w:val="bottom"/>
            <w:gridSpan w:val="2"/>
          </w:tcPr>
          <w:p>
            <w:pPr>
              <w:jc w:val="center"/>
              <w:ind w:right="27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358"/>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110,791,954</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1,258,477</w:t>
            </w:r>
          </w:p>
        </w:tc>
        <w:tc>
          <w:tcPr>
            <w:tcW w:w="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(1,451,628</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(320,154</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44,213</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(9 )</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08"/>
        </w:trPr>
        <w:tc>
          <w:tcPr>
            <w:tcW w:w="29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Fair value adjustments of cash flow hedges, net of</w:t>
            </w: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9,411</w:t>
            </w:r>
          </w:p>
        </w:tc>
        <w:tc>
          <w:tcPr>
            <w:tcW w:w="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727,423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920" w:type="dxa"/>
            <w:vAlign w:val="bottom"/>
            <w:tcBorders>
              <w:right w:val="single" w:sz="8" w:color="CFF0FC"/>
            </w:tcBorders>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w:t>
            </w:r>
          </w:p>
        </w:tc>
        <w:tc>
          <w:tcPr>
            <w:tcW w:w="8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restricted stock units</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585,037</w:t>
            </w:r>
          </w:p>
        </w:tc>
        <w:tc>
          <w:tcPr>
            <w:tcW w:w="2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9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Tax withholding related to vesting of restricted</w:t>
            </w: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(4,778 )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(4,778 )</w:t>
            </w:r>
          </w:p>
        </w:tc>
        <w:tc>
          <w:tcPr>
            <w:tcW w:w="0" w:type="dxa"/>
            <w:vAlign w:val="bottom"/>
          </w:tcPr>
          <w:p>
            <w:pPr>
              <w:spacing w:after="0"/>
              <w:rPr>
                <w:sz w:val="1"/>
                <w:szCs w:val="1"/>
                <w:color w:val="auto"/>
              </w:rPr>
            </w:pPr>
          </w:p>
        </w:tc>
      </w:tr>
      <w:tr>
        <w:trPr>
          <w:trHeight w:val="116"/>
        </w:trPr>
        <w:tc>
          <w:tcPr>
            <w:tcW w:w="2920" w:type="dxa"/>
            <w:vAlign w:val="bottom"/>
            <w:tcBorders>
              <w:right w:val="single" w:sz="8" w:color="CFF0FC"/>
            </w:tcBorders>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27,726</w:t>
            </w:r>
          </w:p>
        </w:tc>
        <w:tc>
          <w:tcPr>
            <w:tcW w:w="2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17,131,332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 of prepaid forward shares</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(575,100 )</w:t>
            </w: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11,197</w:t>
            </w:r>
          </w:p>
        </w:tc>
        <w:tc>
          <w:tcPr>
            <w:tcW w:w="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575,100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(11,197 )</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920" w:type="dxa"/>
            <w:vAlign w:val="bottom"/>
            <w:tcBorders>
              <w:right w:val="single" w:sz="8" w:color="auto"/>
            </w:tcBorders>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128,688,372</w:t>
            </w:r>
          </w:p>
        </w:tc>
        <w:tc>
          <w:tcPr>
            <w:tcW w:w="240" w:type="dxa"/>
            <w:vAlign w:val="bottom"/>
          </w:tcPr>
          <w:p>
            <w:pPr>
              <w:spacing w:after="0"/>
              <w:rPr>
                <w:sz w:val="13"/>
                <w:szCs w:val="13"/>
                <w:color w:val="auto"/>
              </w:rPr>
            </w:pP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1,379,356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22,420</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(1,407,415 )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7,190,549</w:t>
            </w:r>
          </w:p>
        </w:tc>
        <w:tc>
          <w:tcPr>
            <w:tcW w:w="3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(140,000 )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(145,626 )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9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Six Months Ended June 30,2021</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20" w:type="dxa"/>
            <w:vAlign w:val="bottom"/>
          </w:tcPr>
          <w:p>
            <w:pPr>
              <w:spacing w:after="0"/>
              <w:rPr>
                <w:sz w:val="14"/>
                <w:szCs w:val="14"/>
                <w:color w:val="auto"/>
              </w:rPr>
            </w:pPr>
          </w:p>
        </w:tc>
        <w:tc>
          <w:tcPr>
            <w:tcW w:w="21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10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6"/>
                <w:szCs w:val="16"/>
                <w:color w:val="auto"/>
              </w:rPr>
            </w:pPr>
          </w:p>
        </w:tc>
        <w:tc>
          <w:tcPr>
            <w:tcW w:w="1140" w:type="dxa"/>
            <w:vAlign w:val="bottom"/>
            <w:gridSpan w:val="3"/>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48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7"/>
              <w:spacing w:after="0" w:line="146"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37"/>
              <w:spacing w:after="0" w:line="13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860" w:type="dxa"/>
            <w:vAlign w:val="bottom"/>
            <w:gridSpan w:val="2"/>
          </w:tcPr>
          <w:p>
            <w:pPr>
              <w:jc w:val="center"/>
              <w:ind w:right="277"/>
              <w:spacing w:after="0" w:line="13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358"/>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2021</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85,990,499</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1,088,590</w:t>
            </w:r>
          </w:p>
        </w:tc>
        <w:tc>
          <w:tcPr>
            <w:tcW w:w="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200" w:type="dxa"/>
            <w:vAlign w:val="bottom"/>
            <w:shd w:val="clear" w:color="auto" w:fill="CFF0FC"/>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(1,629,843</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5,077,400</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(98,857</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(641,114</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(76,933 )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(76,933 )</w:t>
            </w:r>
          </w:p>
        </w:tc>
        <w:tc>
          <w:tcPr>
            <w:tcW w:w="0" w:type="dxa"/>
            <w:vAlign w:val="bottom"/>
          </w:tcPr>
          <w:p>
            <w:pPr>
              <w:spacing w:after="0"/>
              <w:rPr>
                <w:sz w:val="1"/>
                <w:szCs w:val="1"/>
                <w:color w:val="auto"/>
              </w:rPr>
            </w:pPr>
          </w:p>
        </w:tc>
      </w:tr>
      <w:tr>
        <w:trPr>
          <w:trHeight w:val="162"/>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Fair value adjustments of cash flow hedge, net of</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(430 )</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(430 )</w:t>
            </w:r>
          </w:p>
        </w:tc>
        <w:tc>
          <w:tcPr>
            <w:tcW w:w="0" w:type="dxa"/>
            <w:vAlign w:val="bottom"/>
          </w:tcPr>
          <w:p>
            <w:pPr>
              <w:spacing w:after="0"/>
              <w:rPr>
                <w:sz w:val="1"/>
                <w:szCs w:val="1"/>
                <w:color w:val="auto"/>
              </w:rPr>
            </w:pPr>
          </w:p>
        </w:tc>
      </w:tr>
      <w:tr>
        <w:trPr>
          <w:trHeight w:val="170"/>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11,312</w:t>
            </w:r>
          </w:p>
        </w:tc>
        <w:tc>
          <w:tcPr>
            <w:tcW w:w="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212,397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20" w:type="dxa"/>
            <w:vAlign w:val="bottom"/>
            <w:tcBorders>
              <w:right w:val="single" w:sz="8" w:color="CFF0FC"/>
            </w:tcBorders>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upon vesting of</w:t>
            </w:r>
          </w:p>
        </w:tc>
        <w:tc>
          <w:tcPr>
            <w:tcW w:w="8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restricted stock units and restricted stock awards</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654,072</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9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(3,544 )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(3,544 )</w:t>
            </w:r>
          </w:p>
        </w:tc>
        <w:tc>
          <w:tcPr>
            <w:tcW w:w="0" w:type="dxa"/>
            <w:vAlign w:val="bottom"/>
          </w:tcPr>
          <w:p>
            <w:pPr>
              <w:spacing w:after="0"/>
              <w:rPr>
                <w:sz w:val="1"/>
                <w:szCs w:val="1"/>
                <w:color w:val="auto"/>
              </w:rPr>
            </w:pPr>
          </w:p>
        </w:tc>
      </w:tr>
      <w:tr>
        <w:trPr>
          <w:trHeight w:val="125"/>
        </w:trPr>
        <w:tc>
          <w:tcPr>
            <w:tcW w:w="2920" w:type="dxa"/>
            <w:vAlign w:val="bottom"/>
            <w:tcBorders>
              <w:right w:val="single" w:sz="8" w:color="CFF0FC"/>
            </w:tcBorders>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23,669</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24,353,006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 of prepaid forward shares</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(1,538,049 )</w:t>
            </w: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29,946</w:t>
            </w:r>
          </w:p>
        </w:tc>
        <w:tc>
          <w:tcPr>
            <w:tcW w:w="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1,538,049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(29,946 )</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Impact of the adoption of ASU 2016-13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(47,423 )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(21,943 )</w:t>
            </w:r>
          </w:p>
        </w:tc>
        <w:tc>
          <w:tcPr>
            <w:tcW w:w="0" w:type="dxa"/>
            <w:vAlign w:val="bottom"/>
          </w:tcPr>
          <w:p>
            <w:pPr>
              <w:spacing w:after="0"/>
              <w:rPr>
                <w:sz w:val="1"/>
                <w:szCs w:val="1"/>
                <w:color w:val="auto"/>
              </w:rPr>
            </w:pPr>
          </w:p>
        </w:tc>
      </w:tr>
      <w:tr>
        <w:trPr>
          <w:trHeight w:val="158"/>
        </w:trPr>
        <w:tc>
          <w:tcPr>
            <w:tcW w:w="29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109,695,594</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1,234,111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200" w:type="dxa"/>
            <w:vAlign w:val="bottom"/>
          </w:tcPr>
          <w:p>
            <w:pPr>
              <w:jc w:val="center"/>
              <w:ind w:right="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(1,681,296</w:t>
            </w:r>
          </w:p>
        </w:tc>
        <w:tc>
          <w:tcPr>
            <w:tcW w:w="2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2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(577,282</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-2586355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-2586355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-2586355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-2586355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-2586355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-2586355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-2586355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-2586355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-1905635</wp:posOffset>
            </wp:positionV>
            <wp:extent cx="9398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-1905635</wp:posOffset>
            </wp:positionV>
            <wp:extent cx="9398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28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8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1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the world’s largest provider of broadband connectivity services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through our strategic alliances with satellite providers. In May 2022, in order to further serve our existing clients and expand our target market, we announced plans to expand our broadband offerings beyond ATG by launching the first global broadband service in business aviation to use an electronically steered antenna on a low earth orbit (“LEO”) satellite network (“Global Broadband”). The antenna will be designed with Hughes Network Systems, LLC (“Hughes”) and utilized on a LEO satellite network operated by OneWeb.</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December 1, 2020, we completed the previously announced sale of our commercial aviation (“CA”) business to a subsidiary of Intelsat Jackson Holdings S.A. (“Intelsat”) for a purchase price of $400.0 million in cash, subject to certain adjustments (the “Transaction”).</w:t>
      </w:r>
    </w:p>
    <w:p>
      <w:pPr>
        <w:spacing w:after="0" w:line="6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At the closing of the Transaction, the parties entered into certain ancillary agreements, including a transition services agreement, an intellectual property license agreement and commercial agreements. These agreements include an ATG network sharing agreement, pursuant to which we provide certain in-flight connectivity services on our current ATG network and, when available, our Gogo 5G network, subject to certain revenue sharing obligations. Under the ATG network sharing agreement, Intelsat will have exclusive access to the ATG network for commercial aviation in North America, subject to minimum revenue guarantees.</w:t>
      </w:r>
    </w:p>
    <w:p>
      <w:pPr>
        <w:spacing w:after="0" w:line="58" w:lineRule="exact"/>
        <w:rPr>
          <w:sz w:val="20"/>
          <w:szCs w:val="20"/>
          <w:color w:val="auto"/>
        </w:rPr>
      </w:pPr>
    </w:p>
    <w:p>
      <w:pPr>
        <w:ind w:right="220" w:firstLine="509"/>
        <w:spacing w:after="0" w:line="242" w:lineRule="auto"/>
        <w:rPr>
          <w:sz w:val="20"/>
          <w:szCs w:val="20"/>
          <w:color w:val="auto"/>
        </w:rPr>
      </w:pPr>
      <w:r>
        <w:rPr>
          <w:rFonts w:ascii="Times New Roman" w:cs="Times New Roman" w:eastAsia="Times New Roman" w:hAnsi="Times New Roman"/>
          <w:sz w:val="18"/>
          <w:szCs w:val="18"/>
          <w:color w:val="auto"/>
        </w:rPr>
        <w:t>As a result of the Transaction, the CA business is reported in discontinued operations and all periods presented in this Form 10-Q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noted, discussion in these Notes to Unaudited Condensed Consolidated Financial Statements refers to our continuing operations.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“Discontinued Operations,” for further information.</w:t>
      </w:r>
    </w:p>
    <w:p>
      <w:pPr>
        <w:spacing w:after="0" w:line="18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2021 as filed with the Securities and Exchange Commission (the “SEC”) on March 3, 2022 (the “2021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6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results of operations and cash flows for the three- and six-month periods ended June 30, 2022 are not necessarily indicative of the results that may be expected for the fiscal year ending December 31, 2022.</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June 30, 2022 and December 31, 2021.</w:t>
      </w:r>
    </w:p>
    <w:p>
      <w:pPr>
        <w:spacing w:after="0" w:line="2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89"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Unaudited Condensed Consolidated Financial Statements.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0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to increase the transparency of transactions with a government accounted for by applying a grant or contribution accounting model by analogy.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2021-10 requires an entity to disclose information about the nature of the transactions, including the significant terms and conditions, accounting policy used to account for the transactions, and the effect of the transactions on the financial statements. This guidance is effective beginning on January 1, 2022. Adoption of this standard did not have a material impact on our Unaudited Condensed Consolidated Financial Statements.</w:t>
      </w:r>
    </w:p>
    <w:p>
      <w:pPr>
        <w:spacing w:after="0" w:line="178" w:lineRule="exact"/>
        <w:rPr>
          <w:sz w:val="20"/>
          <w:szCs w:val="20"/>
          <w:color w:val="auto"/>
        </w:rPr>
      </w:pPr>
    </w:p>
    <w:p>
      <w:pPr>
        <w:ind w:right="8380" w:firstLine="8"/>
        <w:spacing w:after="0" w:line="383" w:lineRule="auto"/>
        <w:tabs>
          <w:tab w:leader="none" w:pos="51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Remaining performance obligations</w:t>
      </w: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the aggregate amount of the transaction price in our contracts allocated to the remaining unsatisfied performance obligations was approximately $78 million. The remaining unsatisfied performance obligations primarily represent connectivity and entertainment service revenues which are recognized as services are provided, which is expected to occur through the remaining term of the contract. We have excluded from this amount consideration from contracts that have an original duration of one year or less.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r>
      <w:tr>
        <w:trPr>
          <w:trHeight w:val="187"/>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Connectivity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71,835</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141,330</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122,456</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Entertainment and other</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64,767</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143,731</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124,122</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Equipment 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38,642</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Customer type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owner/operator/service provider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73,064</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64,767</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143,731</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124,122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OEM and aftermarket dealer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10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97,836</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82,375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190,586</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-1471930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-1471930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-1471930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-1471930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-607060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-589915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-607060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-589915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-607060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-589915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-607060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-589915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7"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$1.5 million and $1.8 million as of June 30, 2022 and December 31, 2021, respectively. Deferred revenue includes, among other things, fees paid for equipment and subscription connectivity products.</w:t>
      </w:r>
    </w:p>
    <w:p>
      <w:pPr>
        <w:spacing w:after="0" w:line="54" w:lineRule="exact"/>
        <w:rPr>
          <w:sz w:val="20"/>
          <w:szCs w:val="20"/>
          <w:color w:val="auto"/>
        </w:rPr>
      </w:pPr>
    </w:p>
    <w:p>
      <w:pPr>
        <w:ind w:right="820" w:firstLine="509"/>
        <w:spacing w:after="0" w:line="312" w:lineRule="auto"/>
        <w:rPr>
          <w:sz w:val="20"/>
          <w:szCs w:val="20"/>
          <w:color w:val="auto"/>
        </w:rPr>
      </w:pPr>
      <w:r>
        <w:rPr>
          <w:rFonts w:ascii="Times New Roman" w:cs="Times New Roman" w:eastAsia="Times New Roman" w:hAnsi="Times New Roman"/>
          <w:sz w:val="17"/>
          <w:szCs w:val="17"/>
          <w:color w:val="auto"/>
        </w:rPr>
        <w:t>Our current and non-current contract asset balances totaled $20.4 million and $17.8 million as of June 30, 2022 and December 31, 2021, respectively. Contract assets represent the aggregate amount of revenue recognized in excess of billings primarily for certain sales programs.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07"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No customer accounted for more than 10% of revenue during the three- and six-month periods ended June 30, 2022 and 2021 and no customer accounted for more than 10% of accounts receivable as of June 30, 2022 or December 31, 2021.</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1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(loss) per share have been calculated using the weighted average number of common shares outstanding for the period.</w:t>
      </w:r>
    </w:p>
    <w:p>
      <w:pPr>
        <w:spacing w:after="0" w:line="117"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The shares of common stock effectively repurchased in connection with the Forward Transactions (as defined and described in Note 8, “Long-Term Debt and Other Liabilities”) are considered participating securities requiring the two-class method to calculate basic and diluted earnings per share. Net earnings will be allocated between common shares and participating securities on a one-to-one basis. In periods of a net loss, the shares associated with the Forward Transactions did not receive an allocation of losses, as the counterparties to the Forward Transactions were not required to fund losses. The calculation of weighted average shares outstanding as of June 30, 2021 excludes approximately 0.6 million shares associated with the Forward Transactions. As of June 30, 2022, there were no outstanding shares associated with the Forward Transactions. Refer to Note 8, “Long-Term Debt and Other Liabilities,” for further information.</w:t>
      </w:r>
    </w:p>
    <w:p>
      <w:pPr>
        <w:spacing w:after="0" w:line="9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diluted earnings (loss) per share calculations exclude the effect of stock options, deferred stock units, restricted stock units and convertible notes when the computation is anti-dilutive. For both the three- and six-month periods ended June 30, 2022, the weighted average number of shares excluded from the computation was 0.1 million. As a result of the net loss for the three- and six-month periods ended June 30, 2021, all of the outstanding shares of common stock underlying stock options, deferred stock units, restricted stock units and convertible notes were excluded from the computation of diluted shares outstanding because they were anti-dilutive.</w:t>
      </w:r>
    </w:p>
    <w:p>
      <w:pPr>
        <w:spacing w:after="0" w:line="72"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six-month periods ended June 30, 2022 and 2021; however, for the reasons and periods described above, the shares of common stock associated with the Forward Transactions are excluded from the computation of basic earnings per share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233"/>
              <w:spacing w:after="0" w:line="115"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9"/>
                <w:szCs w:val="9"/>
                <w:color w:val="auto"/>
              </w:rPr>
            </w:pPr>
          </w:p>
        </w:tc>
        <w:tc>
          <w:tcPr>
            <w:tcW w:w="1020" w:type="dxa"/>
            <w:vAlign w:val="bottom"/>
          </w:tcPr>
          <w:p>
            <w:pPr>
              <w:jc w:val="right"/>
              <w:ind w:right="273"/>
              <w:spacing w:after="0" w:line="11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jc w:val="right"/>
              <w:ind w:right="173"/>
              <w:spacing w:after="0" w:line="11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93"/>
              <w:spacing w:after="0" w:line="115"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0" w:type="dxa"/>
            <w:vAlign w:val="bottom"/>
          </w:tcPr>
          <w:p>
            <w:pPr>
              <w:jc w:val="right"/>
              <w:ind w:right="253"/>
              <w:spacing w:after="0" w:line="11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ind w:right="213"/>
              <w:spacing w:after="0" w:line="11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2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continuing operations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22,017</w:t>
            </w: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(66,394</w:t>
            </w:r>
          </w:p>
        </w:tc>
        <w:tc>
          <w:tcPr>
            <w:tcW w:w="2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100" w:type="dxa"/>
            <w:vAlign w:val="bottom"/>
            <w:shd w:val="clear" w:color="auto" w:fill="CCECFF"/>
          </w:tcPr>
          <w:p>
            <w:pPr>
              <w:ind w:left="20"/>
              <w:spacing w:after="0" w:line="123"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continuing</w:t>
            </w:r>
          </w:p>
        </w:tc>
        <w:tc>
          <w:tcPr>
            <w:tcW w:w="80" w:type="dxa"/>
            <w:vAlign w:val="bottom"/>
            <w:shd w:val="clear" w:color="auto" w:fill="CCECFF"/>
          </w:tcPr>
          <w:p>
            <w:pPr>
              <w:spacing w:after="0"/>
              <w:rPr>
                <w:sz w:val="10"/>
                <w:szCs w:val="10"/>
                <w:color w:val="auto"/>
              </w:rPr>
            </w:pP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40" w:type="dxa"/>
            <w:vAlign w:val="bottom"/>
            <w:gridSpan w:val="2"/>
            <w:vMerge w:val="restart"/>
            <w:shd w:val="clear" w:color="auto" w:fill="CCEC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shd w:val="clear" w:color="auto" w:fill="CCECFF"/>
          </w:tcPr>
          <w:p>
            <w:pPr>
              <w:spacing w:after="0"/>
              <w:rPr>
                <w:sz w:val="15"/>
                <w:szCs w:val="15"/>
                <w:color w:val="auto"/>
              </w:rPr>
            </w:pPr>
          </w:p>
        </w:tc>
        <w:tc>
          <w:tcPr>
            <w:tcW w:w="880" w:type="dxa"/>
            <w:vAlign w:val="bottom"/>
            <w:vMerge w:val="continue"/>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40" w:type="dxa"/>
            <w:vAlign w:val="bottom"/>
            <w:gridSpan w:val="2"/>
            <w:vMerge w:val="continue"/>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tcBorders>
              <w:top w:val="single" w:sz="8" w:color="CCEC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020" w:type="dxa"/>
            <w:vAlign w:val="bottom"/>
            <w:tcBorders>
              <w:top w:val="single" w:sz="8" w:color="CCECFF"/>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0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92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(loss) per share from continuing operations</w:t>
            </w:r>
          </w:p>
        </w:tc>
        <w:tc>
          <w:tcPr>
            <w:tcW w:w="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income (loss) from 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123,252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(66,394 )</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109,060</w:t>
            </w:r>
          </w:p>
        </w:tc>
        <w:tc>
          <w:tcPr>
            <w:tcW w:w="3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(0.61 )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continuing operations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6,405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(loss) per share from continuing operations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1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3"/>
                <w:szCs w:val="13"/>
                <w:color w:val="auto"/>
              </w:rPr>
              <w:t>Undistributed income (loss) from continuing operations and assumed</w:t>
            </w: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22,904</w:t>
            </w:r>
          </w:p>
        </w:tc>
        <w:tc>
          <w:tcPr>
            <w:tcW w:w="124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134,718</w:t>
            </w:r>
          </w:p>
        </w:tc>
        <w:tc>
          <w:tcPr>
            <w:tcW w:w="3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(66,394 )</w:t>
            </w: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109,060</w:t>
            </w:r>
          </w:p>
        </w:tc>
        <w:tc>
          <w:tcPr>
            <w:tcW w:w="360" w:type="dxa"/>
            <w:vAlign w:val="bottom"/>
            <w:gridSpan w:val="2"/>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(0.61 )</w:t>
            </w:r>
          </w:p>
        </w:tc>
        <w:tc>
          <w:tcPr>
            <w:tcW w:w="0" w:type="dxa"/>
            <w:vAlign w:val="bottom"/>
          </w:tcPr>
          <w:p>
            <w:pPr>
              <w:spacing w:after="0"/>
              <w:rPr>
                <w:sz w:val="1"/>
                <w:szCs w:val="1"/>
                <w:color w:val="auto"/>
              </w:rPr>
            </w:pPr>
          </w:p>
        </w:tc>
      </w:tr>
      <w:tr>
        <w:trPr>
          <w:trHeight w:val="188"/>
        </w:trPr>
        <w:tc>
          <w:tcPr>
            <w:tcW w:w="4100" w:type="dxa"/>
            <w:vAlign w:val="bottom"/>
            <w:shd w:val="clear" w:color="auto" w:fill="CCECFF"/>
          </w:tcPr>
          <w:p>
            <w:pPr>
              <w:ind w:left="20"/>
              <w:spacing w:after="0" w:line="148" w:lineRule="exact"/>
              <w:rPr>
                <w:sz w:val="20"/>
                <w:szCs w:val="20"/>
                <w:color w:val="auto"/>
              </w:rPr>
            </w:pPr>
            <w:r>
              <w:rPr>
                <w:rFonts w:ascii="Times New Roman" w:cs="Times New Roman" w:eastAsia="Times New Roman" w:hAnsi="Times New Roman"/>
                <w:sz w:val="13"/>
                <w:szCs w:val="13"/>
                <w:color w:val="auto"/>
              </w:rPr>
              <w:t>conversions</w:t>
            </w:r>
          </w:p>
        </w:tc>
        <w:tc>
          <w:tcPr>
            <w:tcW w:w="80" w:type="dxa"/>
            <w:vAlign w:val="bottom"/>
            <w:vMerge w:val="continue"/>
            <w:shd w:val="clear" w:color="auto" w:fill="CCECFF"/>
          </w:tcPr>
          <w:p>
            <w:pPr>
              <w:spacing w:after="0"/>
              <w:rPr>
                <w:sz w:val="16"/>
                <w:szCs w:val="16"/>
                <w:color w:val="auto"/>
              </w:rPr>
            </w:pPr>
          </w:p>
        </w:tc>
        <w:tc>
          <w:tcPr>
            <w:tcW w:w="880" w:type="dxa"/>
            <w:vAlign w:val="bottom"/>
            <w:vMerge w:val="continue"/>
            <w:shd w:val="clear" w:color="auto" w:fill="CCECFF"/>
          </w:tcPr>
          <w:p>
            <w:pPr>
              <w:spacing w:after="0"/>
              <w:rPr>
                <w:sz w:val="16"/>
                <w:szCs w:val="16"/>
                <w:color w:val="auto"/>
              </w:rPr>
            </w:pPr>
          </w:p>
        </w:tc>
        <w:tc>
          <w:tcPr>
            <w:tcW w:w="1240" w:type="dxa"/>
            <w:vAlign w:val="bottom"/>
            <w:gridSpan w:val="2"/>
            <w:vMerge w:val="continue"/>
            <w:shd w:val="clear" w:color="auto" w:fill="CCECFF"/>
          </w:tcPr>
          <w:p>
            <w:pPr>
              <w:spacing w:after="0"/>
              <w:rPr>
                <w:sz w:val="16"/>
                <w:szCs w:val="16"/>
                <w:color w:val="auto"/>
              </w:rPr>
            </w:pPr>
          </w:p>
        </w:tc>
        <w:tc>
          <w:tcPr>
            <w:tcW w:w="380" w:type="dxa"/>
            <w:vAlign w:val="bottom"/>
            <w:gridSpan w:val="2"/>
            <w:vMerge w:val="continue"/>
            <w:shd w:val="clear" w:color="auto" w:fill="CCECFF"/>
          </w:tcPr>
          <w:p>
            <w:pPr>
              <w:spacing w:after="0"/>
              <w:rPr>
                <w:sz w:val="16"/>
                <w:szCs w:val="16"/>
                <w:color w:val="auto"/>
              </w:rPr>
            </w:pPr>
          </w:p>
        </w:tc>
        <w:tc>
          <w:tcPr>
            <w:tcW w:w="860" w:type="dxa"/>
            <w:vAlign w:val="bottom"/>
            <w:vMerge w:val="continue"/>
            <w:shd w:val="clear" w:color="auto" w:fill="CCECFF"/>
          </w:tcPr>
          <w:p>
            <w:pPr>
              <w:spacing w:after="0"/>
              <w:rPr>
                <w:sz w:val="16"/>
                <w:szCs w:val="16"/>
                <w:color w:val="auto"/>
              </w:rPr>
            </w:pPr>
          </w:p>
        </w:tc>
        <w:tc>
          <w:tcPr>
            <w:tcW w:w="280" w:type="dxa"/>
            <w:vAlign w:val="bottom"/>
            <w:gridSpan w:val="2"/>
            <w:vMerge w:val="continue"/>
            <w:shd w:val="clear" w:color="auto" w:fill="CCECFF"/>
          </w:tcPr>
          <w:p>
            <w:pPr>
              <w:spacing w:after="0"/>
              <w:rPr>
                <w:sz w:val="16"/>
                <w:szCs w:val="16"/>
                <w:color w:val="auto"/>
              </w:rPr>
            </w:pPr>
          </w:p>
        </w:tc>
        <w:tc>
          <w:tcPr>
            <w:tcW w:w="1040" w:type="dxa"/>
            <w:vAlign w:val="bottom"/>
            <w:gridSpan w:val="2"/>
            <w:vMerge w:val="continue"/>
            <w:shd w:val="clear" w:color="auto" w:fill="CCECFF"/>
          </w:tcPr>
          <w:p>
            <w:pPr>
              <w:spacing w:after="0"/>
              <w:rPr>
                <w:sz w:val="16"/>
                <w:szCs w:val="16"/>
                <w:color w:val="auto"/>
              </w:rPr>
            </w:pPr>
          </w:p>
        </w:tc>
        <w:tc>
          <w:tcPr>
            <w:tcW w:w="1000" w:type="dxa"/>
            <w:vAlign w:val="bottom"/>
            <w:vMerge w:val="continue"/>
            <w:shd w:val="clear" w:color="auto" w:fill="CCECFF"/>
          </w:tcPr>
          <w:p>
            <w:pPr>
              <w:spacing w:after="0"/>
              <w:rPr>
                <w:sz w:val="16"/>
                <w:szCs w:val="16"/>
                <w:color w:val="auto"/>
              </w:rPr>
            </w:pPr>
          </w:p>
        </w:tc>
        <w:tc>
          <w:tcPr>
            <w:tcW w:w="360" w:type="dxa"/>
            <w:vAlign w:val="bottom"/>
            <w:gridSpan w:val="2"/>
            <w:vMerge w:val="continue"/>
            <w:shd w:val="clear" w:color="auto" w:fill="CCECFF"/>
          </w:tcPr>
          <w:p>
            <w:pPr>
              <w:spacing w:after="0"/>
              <w:rPr>
                <w:sz w:val="16"/>
                <w:szCs w:val="16"/>
                <w:color w:val="auto"/>
              </w:rPr>
            </w:pPr>
          </w:p>
        </w:tc>
        <w:tc>
          <w:tcPr>
            <w:tcW w:w="1020" w:type="dxa"/>
            <w:vAlign w:val="bottom"/>
            <w:gridSpan w:val="2"/>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0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88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02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CCECFF"/>
            </w:tcBorders>
            <w:gridSpan w:val="2"/>
          </w:tcPr>
          <w:p>
            <w:pPr>
              <w:spacing w:after="0"/>
              <w:rPr>
                <w:sz w:val="13"/>
                <w:szCs w:val="13"/>
                <w:color w:val="auto"/>
              </w:rPr>
            </w:pPr>
          </w:p>
        </w:tc>
        <w:tc>
          <w:tcPr>
            <w:tcW w:w="1040" w:type="dxa"/>
            <w:vAlign w:val="bottom"/>
            <w:tcBorders>
              <w:top w:val="single" w:sz="8" w:color="CCECFF"/>
            </w:tcBorders>
            <w:gridSpan w:val="2"/>
          </w:tcPr>
          <w:p>
            <w:pPr>
              <w:spacing w:after="0"/>
              <w:rPr>
                <w:sz w:val="13"/>
                <w:szCs w:val="13"/>
                <w:color w:val="auto"/>
              </w:rPr>
            </w:pPr>
          </w:p>
        </w:tc>
        <w:tc>
          <w:tcPr>
            <w:tcW w:w="100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from discontinued operations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(2,854 )</w:t>
            </w: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discontinued operations</w:t>
            </w: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(loss) per share from discontinued operations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123,252</w:t>
            </w: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(2,854 )</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109,060</w:t>
            </w:r>
          </w:p>
        </w:tc>
        <w:tc>
          <w:tcPr>
            <w:tcW w:w="360" w:type="dxa"/>
            <w:vAlign w:val="bottom"/>
            <w:gridSpan w:val="2"/>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(0.02 )</w:t>
            </w:r>
          </w:p>
        </w:tc>
        <w:tc>
          <w:tcPr>
            <w:tcW w:w="0" w:type="dxa"/>
            <w:vAlign w:val="bottom"/>
          </w:tcPr>
          <w:p>
            <w:pPr>
              <w:spacing w:after="0"/>
              <w:rPr>
                <w:sz w:val="1"/>
                <w:szCs w:val="1"/>
                <w:color w:val="auto"/>
              </w:rPr>
            </w:pPr>
          </w:p>
        </w:tc>
      </w:tr>
      <w:tr>
        <w:trPr>
          <w:trHeight w:val="156"/>
        </w:trPr>
        <w:tc>
          <w:tcPr>
            <w:tcW w:w="410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88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02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84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00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discontinued operations</w:t>
            </w:r>
          </w:p>
        </w:tc>
        <w:tc>
          <w:tcPr>
            <w:tcW w:w="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8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6,405</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tcBorders>
              <w:top w:val="single" w:sz="8" w:color="CCEC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92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(loss) per share from discontinued operations</w:t>
            </w:r>
          </w:p>
        </w:tc>
        <w:tc>
          <w:tcPr>
            <w:tcW w:w="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 and assumed conversions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134,718</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(2,854 )</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109,060</w:t>
            </w:r>
          </w:p>
        </w:tc>
        <w:tc>
          <w:tcPr>
            <w:tcW w:w="2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(0.02 )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380" w:type="dxa"/>
            <w:vAlign w:val="bottom"/>
            <w:gridSpan w:val="2"/>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360" w:type="dxa"/>
            <w:vAlign w:val="bottom"/>
            <w:gridSpan w:val="2"/>
            <w:shd w:val="clear" w:color="auto" w:fill="CCECFF"/>
          </w:tcPr>
          <w:p>
            <w:pPr>
              <w:spacing w:after="0"/>
              <w:rPr>
                <w:sz w:val="13"/>
                <w:szCs w:val="13"/>
                <w:color w:val="auto"/>
              </w:rPr>
            </w:pPr>
          </w:p>
        </w:tc>
        <w:tc>
          <w:tcPr>
            <w:tcW w:w="1020" w:type="dxa"/>
            <w:vAlign w:val="bottom"/>
            <w:gridSpan w:val="2"/>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 - basic</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(0.63 )</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 - diluted</w:t>
            </w:r>
          </w:p>
        </w:tc>
        <w:tc>
          <w:tcPr>
            <w:tcW w:w="80" w:type="dxa"/>
            <w:vAlign w:val="bottom"/>
            <w:tcBorders>
              <w:bottom w:val="single" w:sz="8" w:color="CCECFF"/>
            </w:tcBorders>
            <w:shd w:val="clear" w:color="auto" w:fill="CCECFF"/>
          </w:tcPr>
          <w:p>
            <w:pPr>
              <w:spacing w:after="0"/>
              <w:rPr>
                <w:sz w:val="17"/>
                <w:szCs w:val="17"/>
                <w:color w:val="auto"/>
              </w:rPr>
            </w:pPr>
          </w:p>
        </w:tc>
        <w:tc>
          <w:tcPr>
            <w:tcW w:w="8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10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20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84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top w:val="single" w:sz="8" w:color="auto"/>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-3218815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-3218815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-2002790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-1985645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-2002790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-1223645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-1206500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-753110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-753110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-753110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-753110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-24765</wp:posOffset>
            </wp:positionV>
            <wp:extent cx="6858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ind w:right="213"/>
              <w:spacing w:after="0" w:line="115"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9"/>
                <w:szCs w:val="9"/>
                <w:color w:val="auto"/>
              </w:rPr>
            </w:pPr>
          </w:p>
        </w:tc>
        <w:tc>
          <w:tcPr>
            <w:tcW w:w="1040" w:type="dxa"/>
            <w:vAlign w:val="bottom"/>
          </w:tcPr>
          <w:p>
            <w:pPr>
              <w:jc w:val="right"/>
              <w:ind w:right="273"/>
              <w:spacing w:after="0" w:line="11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jc w:val="right"/>
              <w:ind w:right="173"/>
              <w:spacing w:after="0" w:line="11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441"/>
              <w:spacing w:after="0" w:line="115"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0" w:type="dxa"/>
            <w:vAlign w:val="bottom"/>
          </w:tcPr>
          <w:p>
            <w:pPr>
              <w:jc w:val="right"/>
              <w:ind w:right="253"/>
              <w:spacing w:after="0" w:line="11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ind w:right="213"/>
              <w:spacing w:after="0" w:line="11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2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continuing operations</w:t>
            </w: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44,213</w:t>
            </w:r>
          </w:p>
        </w:tc>
        <w:tc>
          <w:tcPr>
            <w:tcW w:w="220" w:type="dxa"/>
            <w:vAlign w:val="bottom"/>
            <w:shd w:val="clear" w:color="auto" w:fill="CCECFF"/>
          </w:tcPr>
          <w:p>
            <w:pPr>
              <w:spacing w:after="0"/>
              <w:rPr>
                <w:sz w:val="15"/>
                <w:szCs w:val="15"/>
                <w:color w:val="auto"/>
              </w:rPr>
            </w:pPr>
          </w:p>
        </w:tc>
        <w:tc>
          <w:tcPr>
            <w:tcW w:w="1040" w:type="dxa"/>
            <w:vAlign w:val="bottom"/>
            <w:tcBorders>
              <w:top w:val="single" w:sz="8" w:color="auto"/>
            </w:tcBorders>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tcBorders>
              <w:top w:val="single" w:sz="8" w:color="auto"/>
            </w:tcBorders>
            <w:shd w:val="clear" w:color="auto" w:fill="CCECFF"/>
          </w:tcPr>
          <w:p>
            <w:pPr>
              <w:spacing w:after="0"/>
              <w:rPr>
                <w:sz w:val="15"/>
                <w:szCs w:val="15"/>
                <w:color w:val="auto"/>
              </w:rPr>
            </w:pPr>
          </w:p>
        </w:tc>
        <w:tc>
          <w:tcPr>
            <w:tcW w:w="860" w:type="dxa"/>
            <w:vAlign w:val="bottom"/>
            <w:tcBorders>
              <w:top w:val="single" w:sz="8" w:color="auto"/>
            </w:tcBorders>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(72,278</w:t>
            </w:r>
          </w:p>
        </w:tc>
        <w:tc>
          <w:tcPr>
            <w:tcW w:w="200" w:type="dxa"/>
            <w:vAlign w:val="bottom"/>
            <w:shd w:val="clear" w:color="auto" w:fill="CCEC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000" w:type="dxa"/>
            <w:vAlign w:val="bottom"/>
            <w:tcBorders>
              <w:top w:val="single" w:sz="8" w:color="auto"/>
            </w:tcBorders>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tcBorders>
              <w:top w:val="single" w:sz="8" w:color="auto"/>
            </w:tcBorders>
            <w:shd w:val="clear" w:color="auto" w:fill="CCECFF"/>
          </w:tcPr>
          <w:p>
            <w:pPr>
              <w:spacing w:after="0"/>
              <w:rPr>
                <w:sz w:val="15"/>
                <w:szCs w:val="15"/>
                <w:color w:val="auto"/>
              </w:rPr>
            </w:pPr>
          </w:p>
        </w:tc>
        <w:tc>
          <w:tcPr>
            <w:tcW w:w="920" w:type="dxa"/>
            <w:vAlign w:val="bottom"/>
            <w:tcBorders>
              <w:top w:val="single" w:sz="8" w:color="auto"/>
            </w:tcBorders>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continuing</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86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(loss) per share from continuing operations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income (loss) from continuing operations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44,040</w:t>
            </w:r>
          </w:p>
        </w:tc>
        <w:tc>
          <w:tcPr>
            <w:tcW w:w="1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117,375</w:t>
            </w:r>
          </w:p>
        </w:tc>
        <w:tc>
          <w:tcPr>
            <w:tcW w:w="3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3"/>
                <w:szCs w:val="13"/>
                <w:color w:val="auto"/>
              </w:rPr>
              <w:t>(72,278 )</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96,884</w:t>
            </w:r>
          </w:p>
        </w:tc>
        <w:tc>
          <w:tcPr>
            <w:tcW w:w="360" w:type="dxa"/>
            <w:vAlign w:val="bottom"/>
            <w:gridSpan w:val="2"/>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(0.74 )</w:t>
            </w:r>
          </w:p>
        </w:tc>
        <w:tc>
          <w:tcPr>
            <w:tcW w:w="0" w:type="dxa"/>
            <w:vAlign w:val="bottom"/>
          </w:tcPr>
          <w:p>
            <w:pPr>
              <w:spacing w:after="0"/>
              <w:rPr>
                <w:sz w:val="1"/>
                <w:szCs w:val="1"/>
                <w:color w:val="auto"/>
              </w:rPr>
            </w:pPr>
          </w:p>
        </w:tc>
      </w:tr>
      <w:tr>
        <w:trPr>
          <w:trHeight w:val="156"/>
        </w:trPr>
        <w:tc>
          <w:tcPr>
            <w:tcW w:w="408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86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04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84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00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continuing operations</w:t>
            </w: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5,455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1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11,644</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92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(loss) per share from continuing operations</w:t>
            </w: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Undistributed income (loss) from continuing operations and assumed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46,810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134,474</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3"/>
                <w:szCs w:val="13"/>
                <w:color w:val="auto"/>
              </w:rPr>
              <w:t>(72,278 )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96,884</w:t>
            </w:r>
          </w:p>
        </w:tc>
        <w:tc>
          <w:tcPr>
            <w:tcW w:w="3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(0.74 )</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conversions</w:t>
            </w:r>
          </w:p>
        </w:tc>
        <w:tc>
          <w:tcPr>
            <w:tcW w:w="1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300" w:type="dxa"/>
            <w:vAlign w:val="bottom"/>
            <w:gridSpan w:val="2"/>
            <w:shd w:val="clear" w:color="auto" w:fill="CCECFF"/>
          </w:tcPr>
          <w:p>
            <w:pPr>
              <w:spacing w:after="0"/>
              <w:rPr>
                <w:sz w:val="13"/>
                <w:szCs w:val="13"/>
                <w:color w:val="auto"/>
              </w:rPr>
            </w:pPr>
          </w:p>
        </w:tc>
        <w:tc>
          <w:tcPr>
            <w:tcW w:w="1040" w:type="dxa"/>
            <w:vAlign w:val="bottom"/>
            <w:gridSpan w:val="2"/>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discontinued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(4,655 )</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w:t>
            </w:r>
          </w:p>
        </w:tc>
        <w:tc>
          <w:tcPr>
            <w:tcW w:w="100" w:type="dxa"/>
            <w:vAlign w:val="bottom"/>
            <w:shd w:val="clear" w:color="auto" w:fill="CCECFF"/>
          </w:tcPr>
          <w:p>
            <w:pPr>
              <w:spacing w:after="0"/>
              <w:rPr>
                <w:sz w:val="10"/>
                <w:szCs w:val="10"/>
                <w:color w:val="auto"/>
              </w:rPr>
            </w:pP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40" w:type="dxa"/>
            <w:vAlign w:val="bottom"/>
            <w:gridSpan w:val="2"/>
            <w:vMerge w:val="restart"/>
            <w:shd w:val="clear" w:color="auto" w:fill="CCECFF"/>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shd w:val="clear" w:color="auto" w:fill="CCECFF"/>
          </w:tcPr>
          <w:p>
            <w:pPr>
              <w:spacing w:after="0"/>
              <w:rPr>
                <w:sz w:val="15"/>
                <w:szCs w:val="15"/>
                <w:color w:val="auto"/>
              </w:rPr>
            </w:pPr>
          </w:p>
        </w:tc>
        <w:tc>
          <w:tcPr>
            <w:tcW w:w="860" w:type="dxa"/>
            <w:vAlign w:val="bottom"/>
            <w:vMerge w:val="continue"/>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40" w:type="dxa"/>
            <w:vAlign w:val="bottom"/>
            <w:gridSpan w:val="2"/>
            <w:vMerge w:val="continue"/>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040" w:type="dxa"/>
            <w:vAlign w:val="bottom"/>
            <w:tcBorders>
              <w:top w:val="single" w:sz="8" w:color="CCECFF"/>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0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92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(loss) per share from discontinued operations</w:t>
            </w: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117,375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(4,655 )</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96,884</w:t>
            </w:r>
          </w:p>
        </w:tc>
        <w:tc>
          <w:tcPr>
            <w:tcW w:w="3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(0.05 )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discontinued operations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5,455</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11,644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86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4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(loss) per share from discontinued operations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 and assumed conversions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134,474</w:t>
            </w:r>
          </w:p>
        </w:tc>
        <w:tc>
          <w:tcPr>
            <w:tcW w:w="22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3"/>
                <w:szCs w:val="13"/>
                <w:color w:val="auto"/>
              </w:rPr>
              <w:t>(4,655 )</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96,884</w:t>
            </w: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(0.05 )</w:t>
            </w:r>
          </w:p>
        </w:tc>
        <w:tc>
          <w:tcPr>
            <w:tcW w:w="0" w:type="dxa"/>
            <w:vAlign w:val="bottom"/>
          </w:tcPr>
          <w:p>
            <w:pPr>
              <w:spacing w:after="0"/>
              <w:rPr>
                <w:sz w:val="1"/>
                <w:szCs w:val="1"/>
                <w:color w:val="auto"/>
              </w:rPr>
            </w:pPr>
          </w:p>
        </w:tc>
      </w:tr>
      <w:tr>
        <w:trPr>
          <w:trHeight w:val="156"/>
        </w:trPr>
        <w:tc>
          <w:tcPr>
            <w:tcW w:w="408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86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04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84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00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Loss per share - basic</w:t>
            </w: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(0.79 )</w:t>
            </w:r>
          </w:p>
        </w:tc>
        <w:tc>
          <w:tcPr>
            <w:tcW w:w="0" w:type="dxa"/>
            <w:vAlign w:val="bottom"/>
          </w:tcPr>
          <w:p>
            <w:pPr>
              <w:spacing w:after="0"/>
              <w:rPr>
                <w:sz w:val="1"/>
                <w:szCs w:val="1"/>
                <w:color w:val="auto"/>
              </w:rPr>
            </w:pPr>
          </w:p>
        </w:tc>
      </w:tr>
      <w:tr>
        <w:trPr>
          <w:trHeight w:val="40"/>
        </w:trPr>
        <w:tc>
          <w:tcPr>
            <w:tcW w:w="4080" w:type="dxa"/>
            <w:vAlign w:val="bottom"/>
            <w:shd w:val="clear" w:color="auto" w:fill="CCECFF"/>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860" w:type="dxa"/>
            <w:vAlign w:val="bottom"/>
            <w:shd w:val="clear" w:color="auto" w:fill="CCECFF"/>
          </w:tcPr>
          <w:p>
            <w:pPr>
              <w:spacing w:after="0"/>
              <w:rPr>
                <w:sz w:val="3"/>
                <w:szCs w:val="3"/>
                <w:color w:val="auto"/>
              </w:rPr>
            </w:pPr>
          </w:p>
        </w:tc>
        <w:tc>
          <w:tcPr>
            <w:tcW w:w="220" w:type="dxa"/>
            <w:vAlign w:val="bottom"/>
            <w:shd w:val="clear" w:color="auto" w:fill="CCECFF"/>
          </w:tcPr>
          <w:p>
            <w:pPr>
              <w:spacing w:after="0"/>
              <w:rPr>
                <w:sz w:val="3"/>
                <w:szCs w:val="3"/>
                <w:color w:val="auto"/>
              </w:rPr>
            </w:pPr>
          </w:p>
        </w:tc>
        <w:tc>
          <w:tcPr>
            <w:tcW w:w="1040" w:type="dxa"/>
            <w:vAlign w:val="bottom"/>
            <w:shd w:val="clear" w:color="auto" w:fill="CCECFF"/>
          </w:tcPr>
          <w:p>
            <w:pPr>
              <w:spacing w:after="0"/>
              <w:rPr>
                <w:sz w:val="3"/>
                <w:szCs w:val="3"/>
                <w:color w:val="auto"/>
              </w:rPr>
            </w:pPr>
          </w:p>
        </w:tc>
        <w:tc>
          <w:tcPr>
            <w:tcW w:w="220" w:type="dxa"/>
            <w:vAlign w:val="bottom"/>
            <w:shd w:val="clear" w:color="auto" w:fill="CCEC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84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00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per share - diluted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(0.79 )</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-2876550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-2859405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-2405380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-2405380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-2405380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-2405380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-1566545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-1566545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-410210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-393065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-410210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-393065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-161925</wp:posOffset>
            </wp:positionV>
            <wp:extent cx="6858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07"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June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7"/>
        </w:trPr>
        <w:tc>
          <w:tcPr>
            <w:tcW w:w="1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9"/>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2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817"/>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6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-641350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-624205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-641350</wp:posOffset>
            </wp:positionV>
            <wp:extent cx="425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-624205</wp:posOffset>
            </wp:positionV>
            <wp:extent cx="425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8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as of June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4" w:lineRule="exact"/>
        <w:rPr>
          <w:sz w:val="20"/>
          <w:szCs w:val="20"/>
          <w:color w:val="auto"/>
        </w:rPr>
      </w:pPr>
    </w:p>
    <w:tbl>
      <w:tblPr>
        <w:tblLayout w:type="fixed"/>
        <w:tblInd w:w="170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r>
      <w:tr>
        <w:trPr>
          <w:trHeight w:val="214"/>
        </w:trPr>
        <w:tc>
          <w:tcPr>
            <w:tcW w:w="5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Insurance receivable </w:t>
            </w:r>
            <w:r>
              <w:rPr>
                <w:rFonts w:ascii="Times New Roman" w:cs="Times New Roman" w:eastAsia="Times New Roman" w:hAnsi="Times New Roman"/>
                <w:sz w:val="24"/>
                <w:szCs w:val="24"/>
                <w:i w:val="1"/>
                <w:iCs w:val="1"/>
                <w:color w:val="auto"/>
                <w:vertAlign w:val="superscript"/>
              </w:rPr>
              <w:t>(1)</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 allowance receivables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80" w:type="dxa"/>
            <w:vAlign w:val="bottom"/>
          </w:tcPr>
          <w:p>
            <w:pPr>
              <w:spacing w:after="0"/>
              <w:rPr>
                <w:sz w:val="18"/>
                <w:szCs w:val="18"/>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-24765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ind w:left="520" w:right="2680" w:hanging="512"/>
        <w:spacing w:after="0" w:line="405" w:lineRule="auto"/>
        <w:tabs>
          <w:tab w:leader="none" w:pos="521"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See the Securities Litigation section in Note 12, “Commitments and Contingencies,” for additional information. Property and equipment as of June 30, 2022 and December 31, 2021 were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5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8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163,939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142,601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168,905</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(108,886 )</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(105,233 )</w:t>
            </w:r>
          </w:p>
        </w:tc>
      </w:tr>
      <w:tr>
        <w:trPr>
          <w:trHeight w:val="209"/>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84,586</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80" w:type="dxa"/>
            <w:vAlign w:val="bottom"/>
            <w:tcBorders>
              <w:top w:val="single" w:sz="8" w:color="CFF0FC"/>
            </w:tcBorders>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-453390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-453390</wp:posOffset>
            </wp:positionV>
            <wp:extent cx="425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-170815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425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as of June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7"/>
        </w:trPr>
        <w:tc>
          <w:tcPr>
            <w:tcW w:w="1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9"/>
        </w:trPr>
        <w:tc>
          <w:tcPr>
            <w:tcW w:w="170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net of allowances of $524 and $455, respectively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530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5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-504825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-487680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-487680</wp:posOffset>
            </wp:positionV>
            <wp:extent cx="425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as of June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r>
      <w:tr>
        <w:trPr>
          <w:trHeight w:val="187"/>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Litigation settlement accrual </w:t>
            </w:r>
            <w:r>
              <w:rPr>
                <w:rFonts w:ascii="Times New Roman" w:cs="Times New Roman" w:eastAsia="Times New Roman" w:hAnsi="Times New Roman"/>
                <w:sz w:val="24"/>
                <w:szCs w:val="24"/>
                <w:i w:val="1"/>
                <w:iCs w:val="1"/>
                <w:color w:val="auto"/>
                <w:vertAlign w:val="superscript"/>
              </w:rPr>
              <w:t>(1)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8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62,254</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left="520" w:right="2680" w:hanging="512"/>
        <w:spacing w:after="0" w:line="428" w:lineRule="auto"/>
        <w:tabs>
          <w:tab w:leader="none" w:pos="521"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See the Securities Litigation section in Note 12, “Commitments and Contingencies,” for additional information. Other non-current liabilities as of June 30, 2022 and December 31, 2021 were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r>
      <w:tr>
        <w:trPr>
          <w:trHeight w:val="187"/>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3"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2021 indicated no impairment. We also reevaluate the useful life of indefinite-lived intangible assets each reporting period to determine whether events and circumstances continue to support an indefinite useful life.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both June 30, 2022 and December 31, 2021, our goodwill balance was $0.6 million.</w:t>
      </w:r>
    </w:p>
    <w:p>
      <w:pPr>
        <w:spacing w:after="0" w:line="115"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color w:val="auto"/>
        </w:rPr>
        <w:t>Our intangible assets, other than goodwill, as of June 30, 2022 and December 31, 2021 were as follows (</w:t>
      </w:r>
      <w:r>
        <w:rPr>
          <w:rFonts w:ascii="Times New Roman" w:cs="Times New Roman" w:eastAsia="Times New Roman" w:hAnsi="Times New Roman"/>
          <w:sz w:val="18"/>
          <w:szCs w:val="18"/>
          <w:i w:val="1"/>
          <w:iCs w:val="1"/>
          <w:color w:val="auto"/>
        </w:rPr>
        <w:t>in thousands, except for weighted average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remaining useful life</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5"/>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(57,465)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70,745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FCC Licenses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18"/>
                <w:szCs w:val="18"/>
                <w:color w:val="auto"/>
              </w:rPr>
            </w:pPr>
          </w:p>
        </w:tc>
        <w:tc>
          <w:tcPr>
            <w:tcW w:w="13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0" w:type="dxa"/>
            <w:vAlign w:val="bottom"/>
          </w:tcPr>
          <w:p>
            <w:pPr>
              <w:spacing w:after="0"/>
              <w:rPr>
                <w:sz w:val="1"/>
                <w:szCs w:val="1"/>
                <w:color w:val="auto"/>
              </w:rPr>
            </w:pPr>
          </w:p>
        </w:tc>
      </w:tr>
      <w:tr>
        <w:trPr>
          <w:trHeight w:val="249"/>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9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$105,687</w:t>
            </w:r>
          </w:p>
        </w:tc>
        <w:tc>
          <w:tcPr>
            <w:tcW w:w="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$(57,465)</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$103,028</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-589915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-589915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-589915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-589915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-589915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-24765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Amortization expense was $1.5 million and $3.4 million, respectively, for the three- and six-month periods ended June 30, 2022 and $1.9 million and $3.8 million, respectively, for the prior-year periods.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2022,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3"/>
                <w:szCs w:val="13"/>
                <w:color w:val="auto"/>
              </w:rPr>
            </w:pP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6"/>
                <w:szCs w:val="16"/>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(period from July 1 to December 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4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4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4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4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40" w:type="dxa"/>
            <w:vAlign w:val="bottom"/>
            <w:shd w:val="clear" w:color="auto" w:fill="CFF0FC"/>
          </w:tcPr>
          <w:p>
            <w:pPr>
              <w:spacing w:after="0"/>
              <w:rPr>
                <w:sz w:val="18"/>
                <w:szCs w:val="18"/>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40" w:type="dxa"/>
            <w:vAlign w:val="bottom"/>
          </w:tcPr>
          <w:p>
            <w:pPr>
              <w:spacing w:after="0"/>
              <w:rPr>
                <w:sz w:val="20"/>
                <w:szCs w:val="20"/>
                <w:color w:val="auto"/>
              </w:rPr>
            </w:pPr>
          </w:p>
        </w:tc>
      </w:tr>
    </w:tbl>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w:t>
      </w:r>
    </w:p>
    <w:p>
      <w:pPr>
        <w:spacing w:after="0" w:line="234"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Other Liabilities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as of June 30, 2022 and December 31, 2021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714,663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718,057</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80" w:type="dxa"/>
            <w:vAlign w:val="bottom"/>
          </w:tcPr>
          <w:p>
            <w:pPr>
              <w:spacing w:after="0"/>
              <w:rPr>
                <w:sz w:val="18"/>
                <w:szCs w:val="18"/>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714,663</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820,845</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(14,931 )</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(16,465 )</w:t>
            </w: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(7,250 )</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(109,620 )</w:t>
            </w: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692,482</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694,760</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-170815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425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0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 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9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w:t>
      </w:r>
    </w:p>
    <w:p>
      <w:pPr>
        <w:spacing w:after="0" w:line="5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w:t>
      </w:r>
    </w:p>
    <w:p>
      <w:pPr>
        <w:spacing w:after="0" w:line="117" w:lineRule="exact"/>
        <w:rPr>
          <w:sz w:val="20"/>
          <w:szCs w:val="20"/>
          <w:color w:val="auto"/>
        </w:rPr>
      </w:pPr>
    </w:p>
    <w:p>
      <w:pPr>
        <w:ind w:left="1020" w:right="300" w:hanging="504"/>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70"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8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8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(as defined below) together with accrued and unpaid interest and redemption premiums and to pay fees associated with the termination of the ABL Credit Agreement (as defined below and, together with the redemption of the 2024 Senior Secured Notes, the “Refinancing”), and</w:t>
      </w:r>
    </w:p>
    <w:p>
      <w:pPr>
        <w:spacing w:after="0" w:line="2" w:lineRule="exact"/>
        <w:rPr>
          <w:sz w:val="20"/>
          <w:szCs w:val="20"/>
          <w:color w:val="auto"/>
        </w:rPr>
      </w:pPr>
    </w:p>
    <w:p>
      <w:pPr>
        <w:ind w:right="360" w:firstLine="8"/>
        <w:spacing w:after="0" w:line="244"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fees and expenses incurred in connection with the Refinancing and the Facilities. The Revolving Facility is available for working capital and general corporate purposes of GIH and its subsidiaries and was undrawn as of June 30, 2022 and December 31, 2021.</w:t>
      </w:r>
    </w:p>
    <w:p>
      <w:pPr>
        <w:spacing w:after="0" w:line="73"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the outstanding principal amount of the Term Loan Facility was $717.8 million and $721.4 million, respectively, the unaccreted debt discount was $3.1 million and $3.3 million, respectively, and the net carrying amount was $714.7 million and $718.1 million, respectively.</w:t>
      </w:r>
    </w:p>
    <w:p>
      <w:pPr>
        <w:spacing w:after="0" w:line="6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$0.7 million and $1.3 million, respectively, for the three- and six-month periods ended June 30, 2022 and $0.4 million for both prior-year periods and is included in interest expense in our Unaudited Condensed Consolidated Statements of Operations. As of June 30, 2022 and December 31, 2021, the balance of unamortized deferred financing costs related to the Facilities was $16.6 million and $17.9 million, respectively.</w:t>
      </w:r>
    </w:p>
    <w:p>
      <w:pPr>
        <w:spacing w:after="0" w:line="85"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21"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January 2021, $1.0 million aggregate principal amount of 2022 Convertible Notes was converted by holders and settled through the issuance of 166,666 shares of common stock.</w:t>
      </w:r>
    </w:p>
    <w:p>
      <w:pPr>
        <w:spacing w:after="0" w:line="67"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On March 17, 2021, Gogo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Loss on extinguishment of debt and settlement of convertible notes in our Unaudited Condensed Consolidated Statements of Operations for the three- and six-month periods ended June 30, 2021.</w:t>
      </w:r>
    </w:p>
    <w:p>
      <w:pPr>
        <w:spacing w:after="0" w:line="67"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On April 1, 2021, Gogo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Other (income) expense in our Unaudited Condensed Consolidated Statements of Operations for the three- and six-month periods ended June 30, 2021.</w:t>
      </w:r>
    </w:p>
    <w:p>
      <w:pPr>
        <w:spacing w:after="0" w:line="77"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2021, the outstanding principal amount of the 2022 Convertible Notes was $102.8 million and was classified as Current portion of long-term debt in the Unaudited Condensed Consolidated Balance Sheets.</w:t>
      </w:r>
    </w:p>
    <w:p>
      <w:pPr>
        <w:spacing w:after="0" w:line="4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May 2022, the remaining $102,788,000 aggregate principal amount of 2022 Convertible Notes was converted by holders into 17,131,332 shares of common stock. As of June 30, 2022, there were no outstanding 2022 Convertible Notes.</w:t>
      </w:r>
    </w:p>
    <w:p>
      <w:pPr>
        <w:spacing w:after="0" w:line="6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incurred approximately $8.1 million of issuance costs related to the 2022 Convertible Notes that were amortized over the term of the 2022 Convertible Notes using the effective interest method. Total amortization expense was $0.1 million and $0.4 million, respectively, for the three- and six-month periods ended June 30, 2022 and $0.2 million and $0.8 million, respectively, for the prior-year periods and is included in Interest expense in the Unaudited Condensed Consolidated Statements of Operations. As of December 31, 2021, the balance of unamortized deferred financing costs related to the 2022 Convertible Notes was $0.4 million and was included as a reduction to the carrying amount of the debt in our Unaudited Condensed Consolidated Balance Sheets. See Note 10, “Interest Costs,” for additional information.</w:t>
      </w:r>
    </w:p>
    <w:p>
      <w:pPr>
        <w:spacing w:after="0" w:line="7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2022 Convertible Notes had an initial conversion rate of 166.6667 common shares per $1,000 principal amount of 2022 Convertible Notes, which was equivalent to an initial conversion price of approximately $6.00 per share of our common stock. Prior to conversion, the shares of common stock subject to conversion were considered in the diluted earnings per share calculations under the if-converted method if their impact was dilutive.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Transactions</w:t>
      </w:r>
    </w:p>
    <w:p>
      <w:pPr>
        <w:spacing w:after="0" w:line="107" w:lineRule="exact"/>
        <w:rPr>
          <w:sz w:val="20"/>
          <w:szCs w:val="20"/>
          <w:color w:val="auto"/>
        </w:rPr>
      </w:pPr>
    </w:p>
    <w:p>
      <w:pPr>
        <w:ind w:right="300" w:firstLine="509"/>
        <w:spacing w:after="0" w:line="235" w:lineRule="auto"/>
        <w:rPr>
          <w:sz w:val="20"/>
          <w:szCs w:val="20"/>
          <w:color w:val="auto"/>
        </w:rPr>
      </w:pPr>
      <w:r>
        <w:rPr>
          <w:rFonts w:ascii="Times New Roman" w:cs="Times New Roman" w:eastAsia="Times New Roman" w:hAnsi="Times New Roman"/>
          <w:sz w:val="18"/>
          <w:szCs w:val="18"/>
          <w:color w:val="auto"/>
        </w:rPr>
        <w:t>In connection with the issuance of our 3.75% Convertible Senior Notes due 2020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65"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In May 2022, the approximately 0.6 million shares that were remaining under the Amended and Restated Forward Transaction were delivered to us and there are no additional prepaid forward stock repurchase transactions outstanding.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Secured Notes</w:t>
      </w:r>
    </w:p>
    <w:p>
      <w:pPr>
        <w:spacing w:after="0" w:line="10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On April 25, 2019, GIH and Gogo Finance Co. Inc. (a wholly owned subsidiary of GIH) (“Gogo Finance” and, together with GIH, the “Issuers”) issued $905.0 million aggregate principal amount of 9.875% senior secured notes due 2024 (the “2024 Senior Secured Notes”), at a price equal to 99.512% of their face value, under an indenture, dated as of April 25, 2019, among the Issuers, Gogo, the subsidiary guarantors party thereto and U.S. Bank National Association, as trustee.</w:t>
      </w:r>
    </w:p>
    <w:p>
      <w:pPr>
        <w:spacing w:after="0" w:line="68"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On May 7, 2019, the Issuers issued an additional $20.0 million of 2024 Senior Secured Notes, which were issued at a price equal to 100.5% of their face value, and $50.0 million of 2024 Senior Secured Notes on November 13, 2020, which were issued at a price equal to 103.5% of their face value.</w:t>
      </w:r>
    </w:p>
    <w:p>
      <w:pPr>
        <w:spacing w:after="0" w:line="4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which were released upon the closing of the Transaction.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paid approximately $22.6 million of origination fees and financing costs related to the issuance of the 2024 Senior Secured Notes, which were accounted for as deferred financing costs on our Unaudited Condensed Consolidated Balance Sheets and were being amortized over the contractual term of the 2024 Senior Secured Notes using the effective interest method. Total amortization expense was $0.4 million and $1.4 million, respectively, for the three- and six-month periods ended June 30, 2021 and is included in Interest expense in the Unaudited Condensed Consolidated Statements of Operations. The remaining unamortized deferred financing fees were written off as of May 1, 2021.</w:t>
      </w:r>
    </w:p>
    <w:p>
      <w:pPr>
        <w:spacing w:after="0" w:line="85"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We wrote off the remaining unamortized deferred financing costs of $15.2 million and the remaining debt discount of $1.3 million, which together are included in Loss on extinguishment of debt and settlement of convertible notes in our Unaudited Condensed Consolidated Statements of Operations for the three- and six-month periods ended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94" w:lineRule="exact"/>
        <w:rPr>
          <w:sz w:val="20"/>
          <w:szCs w:val="20"/>
          <w:color w:val="auto"/>
        </w:rPr>
      </w:pPr>
    </w:p>
    <w:p>
      <w:pPr>
        <w:ind w:right="60" w:firstLine="509"/>
        <w:spacing w:after="0" w:line="231" w:lineRule="auto"/>
        <w:rPr>
          <w:sz w:val="20"/>
          <w:szCs w:val="20"/>
          <w:color w:val="auto"/>
        </w:rPr>
      </w:pPr>
      <w:r>
        <w:rPr>
          <w:rFonts w:ascii="Times New Roman" w:cs="Times New Roman" w:eastAsia="Times New Roman" w:hAnsi="Times New Roman"/>
          <w:sz w:val="18"/>
          <w:szCs w:val="18"/>
          <w:color w:val="auto"/>
        </w:rPr>
        <w:t>On August 26, 2019, Gogo, GIH and Gogo Finance entered into a credit agreement (the “ABL Credit Agreement”) with the other loan parties thereto, the lenders party thereto, JPMorgan Chase Bank, N.A., as administrative agent, and Morgan Stanley Senior Funding, Inc., as syndication agent, which provided for an asset-based revolving credit facility (the “ABL Credit Facility”) of up to $30.0 million, subject to borrowing base availability, and included letter of credit and swingline sub-facilities. The obligations under the ABL Credit Agreement were guaranteed by Gogo and all of its existing and future subsidiaries, subject to certain exceptions and secured by certain collateral of the Company.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Unaudited Condensed Consolidated Statements of Operations for the three- and six-month periods ended June 30, 2021.</w:t>
      </w:r>
    </w:p>
    <w:p>
      <w:pPr>
        <w:spacing w:after="0" w:line="11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ind w:right="380" w:firstLine="509"/>
        <w:spacing w:after="0" w:line="250"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8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18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20" w:type="dxa"/>
            <w:vAlign w:val="bottom"/>
          </w:tcPr>
          <w:p>
            <w:pPr>
              <w:spacing w:after="0"/>
              <w:rPr>
                <w:sz w:val="13"/>
                <w:szCs w:val="13"/>
                <w:color w:val="auto"/>
              </w:rPr>
            </w:pPr>
          </w:p>
        </w:tc>
        <w:tc>
          <w:tcPr>
            <w:tcW w:w="17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Strike Rate</w:t>
            </w:r>
          </w:p>
        </w:tc>
        <w:tc>
          <w:tcPr>
            <w:tcW w:w="0" w:type="dxa"/>
            <w:vAlign w:val="bottom"/>
          </w:tcPr>
          <w:p>
            <w:pPr>
              <w:spacing w:after="0"/>
              <w:rPr>
                <w:sz w:val="1"/>
                <w:szCs w:val="1"/>
                <w:color w:val="auto"/>
              </w:rPr>
            </w:pPr>
          </w:p>
        </w:tc>
      </w:tr>
      <w:tr>
        <w:trPr>
          <w:trHeight w:val="187"/>
        </w:trPr>
        <w:tc>
          <w:tcPr>
            <w:tcW w:w="1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8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7/31/2024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7/31/2025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7/31/2026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7/31/2027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-684530</wp:posOffset>
            </wp:positionV>
            <wp:extent cx="427291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72915" cy="13716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-410210</wp:posOffset>
            </wp:positionV>
            <wp:extent cx="427291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72915" cy="13716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-136525</wp:posOffset>
            </wp:positionV>
            <wp:extent cx="427291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72915" cy="137160"/>
                    </a:xfrm>
                    <a:prstGeom prst="rect">
                      <a:avLst/>
                    </a:prstGeom>
                    <a:noFill/>
                  </pic:spPr>
                </pic:pic>
              </a:graphicData>
            </a:graphic>
          </wp:anchor>
        </w:drawing>
      </w:r>
    </w:p>
    <w:p>
      <w:pPr>
        <w:spacing w:after="0" w:line="16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 were considered to be ineffective and reclassified from other comprehensive income (loss) to earnings for the three- and six-month periods ended June 30, 2022 and 2021. We estimate that approximately $0.5 million currently recorded in accumulated other comprehensive income (loss) will be recognized in earnings over the next 12 months. We assess the effectiveness of the hedges on an ongoing basis. Cash flows from interest rate caps are classified in the Unaudited Condensed Consolidated Statement of Cash Flows as investing activities from continuing operations.</w:t>
      </w:r>
    </w:p>
    <w:p>
      <w:pPr>
        <w:spacing w:after="0" w:line="76"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For the three-month period ended June 30, 2022, we recorded an unrealized gain on the interest rate caps of $4.6 million, net of tax of $1.5 million, and for the six-month period ended June 30, 2022, we recorded an unrealized gain on the interest rate caps of</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$20.6 million, net of tax of $6.8 million. For the three- and six-month periods ended June 30, 2021, we recorded an unrealized loss on the interest rate caps of $0.4 million, net of tax of $0.1 million.</w:t>
      </w:r>
    </w:p>
    <w:p>
      <w:pPr>
        <w:spacing w:after="0" w:line="6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46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6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18"/>
                <w:szCs w:val="18"/>
                <w:color w:val="auto"/>
              </w:rPr>
            </w:pP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Pr>
          <w:p>
            <w:pPr>
              <w:spacing w:after="0"/>
              <w:rPr>
                <w:sz w:val="20"/>
                <w:szCs w:val="20"/>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05"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30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Costs</w:t>
      </w:r>
    </w:p>
    <w:p>
      <w:pPr>
        <w:spacing w:after="0" w:line="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 and six-month periods ended June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interest rate caps premium</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(547 )</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(547 )</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r>
      <w:tr>
        <w:trPr>
          <w:trHeight w:val="24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costs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4"/>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-1069975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-1069975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-1069975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-504825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-487680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-504825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-487680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-504825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-487680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8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03"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Operating and Financing Leases — </w:t>
      </w:r>
      <w:r>
        <w:rPr>
          <w:rFonts w:ascii="Times New Roman" w:cs="Times New Roman" w:eastAsia="Times New Roman" w:hAnsi="Times New Roman"/>
          <w:sz w:val="17"/>
          <w:szCs w:val="17"/>
          <w:color w:val="auto"/>
        </w:rPr>
        <w:t>We determine whether a contract contains a lease at contract inception. For leases subsequent to adoption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ASC 842, lease liabilities are calculated using a 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 Operating lease liabilities recorded in the Unaudited Condensed Consolidated Balance Sheets as of June 30, 2022 exclude $2.4 million of undiscounted minimum lease payments over 10 years pursuant to leases signed but not yet commenced for new and modified rights to use tower space.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40" w:type="dxa"/>
            <w:vAlign w:val="bottom"/>
            <w:gridSpan w:val="8"/>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7,164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7,265</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16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w w:val="99"/>
              </w:rPr>
              <w:t xml:space="preserve">Other information regarding our leases is as follows </w:t>
            </w:r>
            <w:r>
              <w:rPr>
                <w:rFonts w:ascii="Times New Roman" w:cs="Times New Roman" w:eastAsia="Times New Roman" w:hAnsi="Times New Roman"/>
                <w:sz w:val="18"/>
                <w:szCs w:val="18"/>
                <w:i w:val="1"/>
                <w:iCs w:val="1"/>
                <w:color w:val="auto"/>
                <w:w w:val="99"/>
              </w:rPr>
              <w:t>(in thousands, except lease terms and discount rates)</w:t>
            </w:r>
            <w:r>
              <w:rPr>
                <w:rFonts w:ascii="Times New Roman" w:cs="Times New Roman" w:eastAsia="Times New Roman" w:hAnsi="Times New Roman"/>
                <w:sz w:val="18"/>
                <w:szCs w:val="18"/>
                <w:color w:val="auto"/>
                <w:w w:val="99"/>
              </w:rPr>
              <w:t>:</w:t>
            </w:r>
          </w:p>
        </w:tc>
        <w:tc>
          <w:tcPr>
            <w:tcW w:w="500" w:type="dxa"/>
            <w:vAlign w:val="bottom"/>
          </w:tcPr>
          <w:p>
            <w:pPr>
              <w:spacing w:after="0"/>
              <w:rPr>
                <w:sz w:val="24"/>
                <w:szCs w:val="24"/>
                <w:color w:val="auto"/>
              </w:rPr>
            </w:pPr>
          </w:p>
        </w:tc>
        <w:tc>
          <w:tcPr>
            <w:tcW w:w="150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measurement of lease liabilities: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years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7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 year</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2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-2494280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-2477135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-2494280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-2477135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-2494280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-2477135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-2494280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-2477135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June 30, 2022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53"/>
        </w:trPr>
        <w:tc>
          <w:tcPr>
            <w:tcW w:w="45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2"/>
          </w:tcPr>
          <w:p>
            <w:pPr>
              <w:jc w:val="right"/>
              <w:ind w:right="760"/>
              <w:spacing w:after="0" w:line="153"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460" w:type="dxa"/>
            <w:vAlign w:val="bottom"/>
            <w:gridSpan w:val="2"/>
          </w:tcPr>
          <w:p>
            <w:pPr>
              <w:jc w:val="right"/>
              <w:ind w:right="620"/>
              <w:spacing w:after="0" w:line="153"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(period from July 1 to December 31)</w:t>
            </w:r>
          </w:p>
        </w:tc>
        <w:tc>
          <w:tcPr>
            <w:tcW w:w="30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112,605</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(26,770 )</w:t>
            </w:r>
          </w:p>
        </w:tc>
        <w:tc>
          <w:tcPr>
            <w:tcW w:w="3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0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Reported as of June 30, 2022</w:t>
            </w:r>
          </w:p>
        </w:tc>
        <w:tc>
          <w:tcPr>
            <w:tcW w:w="3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8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5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5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-1215390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-1198245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-641350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7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3"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5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In June 2022, we and Hughes entered into a supply and product support agreement (the “SPSA”), providing for our purchase from Hughes of airborne antennas for use on a LEO satellite network, and the performance by Hughes of services related thereto. Under the SPSA, we commit to purchase, over a seven-year period that will begin on completion of a project milestone currently expected to occur at the end of 2024, antennas with an estimated aggregate purchase price of approximately $170 million. During that seven-year period, Hughes may not sell substantially similar equipment to other purchasers in our primary target market.</w:t>
      </w:r>
    </w:p>
    <w:p>
      <w:pPr>
        <w:spacing w:after="0" w:line="68"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Indemnifications and Guarantees </w:t>
      </w:r>
      <w:r>
        <w:rPr>
          <w:rFonts w:ascii="Times New Roman" w:cs="Times New Roman" w:eastAsia="Times New Roman" w:hAnsi="Times New Roman"/>
          <w:sz w:val="18"/>
          <w:szCs w:val="18"/>
          <w:color w:val="auto"/>
        </w:rPr>
        <w:t>- In accordance with Delaware law, we indemnify our officers and directors for certain events or occurrences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82"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81"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64"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Securities Litigation </w:t>
      </w:r>
      <w:r>
        <w:rPr>
          <w:rFonts w:ascii="Times New Roman" w:cs="Times New Roman" w:eastAsia="Times New Roman" w:hAnsi="Times New Roman"/>
          <w:sz w:val="18"/>
          <w:szCs w:val="18"/>
          <w:color w:val="auto"/>
        </w:rPr>
        <w:t>- On June 27, 2018, a purported stockholder of the Company filed a putative class action lawsuit in the United States District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for the Northern District of Illinois, Eastern Division (the “Court”)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amended complaint, which was granted by the Court. Plaintiffs proceeded to file the third amended complaint in July 2020 and we filed a motion to dismiss in September 2020. In April 2021, the Court denied our motion to dismiss, and the defendants filed their answer and affirmative defenses to the third amended complaint in June 2021.</w:t>
      </w:r>
    </w:p>
    <w:p>
      <w:pPr>
        <w:spacing w:after="0" w:line="8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parties engaged in mediation and reached a tentative resolution that includes a cash payment of $17.3 million (to be funded by our Directors' and Officers' (“D&amp;O”) insurance policy) in exchange for a dismissal with prejudice of the class claims and full releases. As a result of this development, the Company accrued a $17.3 million liability within Accrued liabilities and a corresponding insurance receivable in Prepaid expenses and other current assets in the Unaudited Condensed Consolidated Balance Sheets as of June 30, 2022 and December 31, 2021. On April 12, 2022, the parties entered into a Stipulation and Agreement of Settlement memorializing these terms (the “Class Action Settlement”). On May 3, 2022, the Court signed an order (i) preliminarily approving the Class Action Settlement; (ii) certifying the settlement class; (iii) approving the notice to be sent to members of the settlement class; and (iv) scheduling a final hearing for August 30, 2022. The insurance carriers have deposited the settlement amount into escrow. The Stipulation and Agreement of Settlement may be terminated (i) by the lead plaintiff or the Company upon the Court’s final refusal to (x) approve the Class Action Settlement or any material part thereof, or (y) enter a final judgment approving the Class Action Settlement; (ii) by the lead plaintiff or the Company if a final judgment is reversed on appeal; and (iii) by the Company if settlement class members with aggregate claims equal to or greater than an agreed-upon amount opt out of the Class Action Settlement. We believe that the claims are without merit and will continue to defend them vigorously should the Class Action Settlement be terminated for any reason.</w:t>
      </w:r>
    </w:p>
    <w:p>
      <w:pPr>
        <w:spacing w:after="0" w:line="91"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Derivative Litigation </w:t>
      </w:r>
      <w:r>
        <w:rPr>
          <w:rFonts w:ascii="Times New Roman" w:cs="Times New Roman" w:eastAsia="Times New Roman" w:hAnsi="Times New Roman"/>
          <w:sz w:val="18"/>
          <w:szCs w:val="18"/>
          <w:color w:val="auto"/>
        </w:rPr>
        <w:t>- On September 25, 2018 and September 26, 2018, two purported stockholders of the Company filed substantively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lawsuits in the Court, styled Nanduri v. Gogo Inc. and Hutsenpiller v. Gogo Inc., respectively. Both</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 xml:space="preserve">lawsuits were purportedly brought derivatively on behalf of us and name us as a nominal defendant and name as defendants each then-current member of the Company’s Board of Directors, its former Chief Executive Officer and Chief Financial Officer, its then-current President, Commercial Aviation, and its current Chief Executive Officer and Chief Financial Officer.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 dated June 21, 2021, demanding based on substantially the same allegations, that the Company sue certain current and former Officers for,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breach of fiduciary duty.</w:t>
      </w:r>
    </w:p>
    <w:p>
      <w:pPr>
        <w:spacing w:after="0" w:line="90" w:lineRule="exact"/>
        <w:rPr>
          <w:sz w:val="20"/>
          <w:szCs w:val="20"/>
          <w:color w:val="auto"/>
        </w:rPr>
      </w:pPr>
    </w:p>
    <w:p>
      <w:pPr>
        <w:ind w:right="200" w:firstLine="509"/>
        <w:spacing w:after="0" w:line="243" w:lineRule="auto"/>
        <w:rPr>
          <w:sz w:val="20"/>
          <w:szCs w:val="20"/>
          <w:color w:val="auto"/>
        </w:rPr>
      </w:pPr>
      <w:r>
        <w:rPr>
          <w:rFonts w:ascii="Times New Roman" w:cs="Times New Roman" w:eastAsia="Times New Roman" w:hAnsi="Times New Roman"/>
          <w:sz w:val="18"/>
          <w:szCs w:val="18"/>
          <w:color w:val="auto"/>
        </w:rPr>
        <w:t>The parties engaged in mediation and have reached an agreement in principle under which the Company, in consideration of the settlement and a release of all claims asserted against the Company and the individual defendants, would implement certain corporate governance initiatives and cause its D&amp;O insurance carrier to pay plaintiffs’ attorneys’ fees. No damages would be paid. As of June 30, 2022, the Company and its insurance carrier were in negotiations with plaintiffs regarding the amount of plaintiffs’ attorneys’ fees to be paid by the insurance carrier. We have accrued an estimated liability within Accrued liabilities and a corresponding receivable in Prepaid expenses and other current assets in the Unaudited Condensed Consolidated Balance Sheets.</w:t>
      </w:r>
    </w:p>
    <w:p>
      <w:pPr>
        <w:spacing w:after="0" w:line="9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While the Company will in good faith negotiate the terms of the definitive settlement agreement, there can be no assurance that these efforts will result in a settlement or, if they do, as to the timing of such settlement. Any settlement will be conditioned on Court approval. We believe that the claims are without merit and will continue to defend them vigorously should the parties’ settlement efforts be unsuccessful.</w:t>
      </w:r>
    </w:p>
    <w:p>
      <w:pPr>
        <w:spacing w:after="0" w:line="7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brought suit against Gogo Inc. and its subsidiary Gogo Business Aviation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in the U.S. District Court for the District of Delaware alleging that Gogo 5G infringes four patents owned by the plaintiff. The suit seeks an unspecified amount of compensatory damages as well as treble damages for alleged willful infringement and reimbursement of plaintiff's costs, disbursements and attorneys' fees. Also on February 28, 2022, the plaintiff filed a motion (the “PI Motion”) requesting that the Court preliminarily enjoin the Company from making, using, offering to sell or selling the Gogo 5G system. The parties agreed to a briefing schedule for the PI Motion and conducted limited discovery. The briefing for the PI motion has been completed, and the parties await assignment of a judge and the scheduling of a hearing on the PI Motion. We believe that the plaintiff’s claims are without merit and intend to continue to defend our position and defend against the PI motion vigorously. The outcomes of the PI Motion and the underlying litigation are inherently uncertain. No amounts have been accrued for any potential losses under this matter, as we cannot reasonably predict the outcome of the litigation or any potential losses.</w:t>
      </w:r>
    </w:p>
    <w:p>
      <w:pPr>
        <w:spacing w:after="0" w:line="29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0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1020" w:right="60" w:hanging="503"/>
        <w:spacing w:after="0" w:line="259"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9, “Derivative Instruments and Hedging Activities,” for fair value information relating to our interest rate caps.</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05"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As of June 30, 2022 and December 31, 2021, our financial assets and liabilities that are disclosed but not measured at fair value include the Term Loan Facility, and solely as of December 31, 2021, the 2022 Convertible Notes, which are reflected on the Unaudited Condensed Consolidated Balance Sheets at cost. The fair value measurements are classified as Level 2 within the fair value hierarchy since they are based on quoted market prices of our instruments in markets that are not active. We estimated the fair value of the Term Loan Facility, and solely as of December 31, 2021, the 2022 Convertible Notes by calculating the upfront cash payment a market participant would require to assume these obligations. The upfront cash payments used in the calculations of fair value on our June 30, 2022 Unaudited Condensed Consolidated Balance Sheets, excluding any issuance costs, are the amount that a market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participant would be willing to lend at such date to an entity with a credit rating similar to ours and that would allow such an entity to achieve sufficient cash inflows to cover the scheduled cash outflows under the Term Loan Facility and the 2022 Convertible Notes.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June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i w:val="1"/>
                <w:iCs w:val="1"/>
                <w:color w:val="auto"/>
                <w:vertAlign w:val="superscript"/>
              </w:rPr>
              <w:t>(1)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i w:val="1"/>
                <w:iCs w:val="1"/>
                <w:color w:val="auto"/>
                <w:vertAlign w:val="superscript"/>
              </w:rPr>
              <w:t>(1)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680,000</w:t>
            </w:r>
          </w:p>
        </w:tc>
        <w:tc>
          <w:tcPr>
            <w:tcW w:w="5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714,663</w:t>
            </w:r>
          </w:p>
        </w:tc>
        <w:tc>
          <w:tcPr>
            <w:tcW w:w="380" w:type="dxa"/>
            <w:vAlign w:val="bottom"/>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i w:val="1"/>
                <w:iCs w:val="1"/>
                <w:color w:val="auto"/>
                <w:w w:val="99"/>
              </w:rPr>
              <w:t>(2)</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723,000</w:t>
            </w:r>
          </w:p>
        </w:tc>
        <w:tc>
          <w:tcPr>
            <w:tcW w:w="4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 xml:space="preserve">718,057 </w:t>
            </w:r>
            <w:r>
              <w:rPr>
                <w:rFonts w:ascii="Times New Roman" w:cs="Times New Roman" w:eastAsia="Times New Roman" w:hAnsi="Times New Roman"/>
                <w:sz w:val="24"/>
                <w:szCs w:val="24"/>
                <w:i w:val="1"/>
                <w:iCs w:val="1"/>
                <w:color w:val="auto"/>
                <w:vertAlign w:val="superscript"/>
              </w:rPr>
              <w:t>(2)</w:t>
            </w:r>
          </w:p>
        </w:tc>
        <w:tc>
          <w:tcPr>
            <w:tcW w:w="0" w:type="dxa"/>
            <w:vAlign w:val="bottom"/>
          </w:tcPr>
          <w:p>
            <w:pPr>
              <w:spacing w:after="0"/>
              <w:rPr>
                <w:sz w:val="1"/>
                <w:szCs w:val="1"/>
                <w:color w:val="auto"/>
              </w:rPr>
            </w:pPr>
          </w:p>
        </w:tc>
      </w:tr>
      <w:tr>
        <w:trPr>
          <w:trHeight w:val="170"/>
        </w:trPr>
        <w:tc>
          <w:tcPr>
            <w:tcW w:w="34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102,788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15" w:lineRule="exact"/>
        <w:rPr>
          <w:rFonts w:ascii="Times New Roman" w:cs="Times New Roman" w:eastAsia="Times New Roman" w:hAnsi="Times New Roman"/>
          <w:sz w:val="18"/>
          <w:szCs w:val="18"/>
          <w:i w:val="1"/>
          <w:iCs w:val="1"/>
          <w:color w:val="auto"/>
        </w:rPr>
      </w:pPr>
    </w:p>
    <w:p>
      <w:pPr>
        <w:ind w:left="520" w:right="220" w:hanging="512"/>
        <w:spacing w:after="0" w:line="242" w:lineRule="auto"/>
        <w:tabs>
          <w:tab w:leader="none" w:pos="5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Term Loan Facility reflects the unaccreted debt discount of $3.1 million and $3.3 million as of June 30, 2022 and December 31, 2021, respectively. See Note 8, “Long-Term Debt and Other Liabilities,” for further information.</w:t>
      </w:r>
    </w:p>
    <w:p>
      <w:pPr>
        <w:spacing w:after="0" w:line="179"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0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effective income tax rates for continuing operations for the three- and six-month periods ended June 30, 2022 were 3.1% and 5.6%, respectively, compared to (0.4)% for both prior-year periods. For the three- and six-month periods ended June 30, 2022, our effective income tax rate was lower than the U.S. federal statutory rate of 21% primarily due to tax benefits for stock-based compensation and a partial release of the valuation allowance on our deferred income tax assets. For the three- and six-month periods ended June 30, 2022, our income tax expense was $0.7 million and $2.6 million, respectively. For the three- and six-month periods ended June 30, 2021, our income tax expense was not significant primarily due to the full valuation allowance against our net deferred tax assets.</w:t>
      </w:r>
    </w:p>
    <w:p>
      <w:pPr>
        <w:spacing w:after="0" w:line="70"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The remaining valuation allowance is still required for deferred tax assets related to certain state and foreign net operating losses (“NOLs”), capital losses, and the Section 163(j) interest limitation carryforward as it was more likely than not as of June 30, 2022 that these deferred tax assets will not be realized. If we continue to sustain our current operating performance, additional reversals of our valuation allowance could occur within the next twelve to eighteen months.</w:t>
      </w:r>
    </w:p>
    <w:p>
      <w:pPr>
        <w:spacing w:after="0" w:line="7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and many states and Canada. With few exceptions, as of June 30, 2022 we are no longer subject to U.S. federal, state, local or foreign examinations by tax authorities for years before 2017.</w:t>
      </w:r>
    </w:p>
    <w:p>
      <w:pPr>
        <w:spacing w:after="0" w:line="6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 and six-month periods ended June 30, 2022 and 2021. As of June 30, 2022 and December 31, 2021, we did not have a liability recorded for interest or potential penalties.</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Presently, we do not require a reserve for unrecognized tax benefits, nor do we foresee any change to that position during the next 12 months.</w:t>
      </w:r>
    </w:p>
    <w:p>
      <w:pPr>
        <w:spacing w:after="0" w:line="31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401(k) Plan</w:t>
      </w:r>
    </w:p>
    <w:p>
      <w:pPr>
        <w:spacing w:after="0" w:line="103"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June 30, 2022, we maintained three stock-based incentive compensation plans (“Stock Plans”), as well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Stock Purchase Plan (“ESPP”). See Note 15, “Stock-Based Compensation and 401(k) Plan,” in our 2021 10-K for further information regarding these plans. The majority of our equity grants are awarded on an annual basis.</w:t>
      </w:r>
    </w:p>
    <w:p>
      <w:pPr>
        <w:spacing w:after="0" w:line="59" w:lineRule="exact"/>
        <w:rPr>
          <w:sz w:val="20"/>
          <w:szCs w:val="20"/>
          <w:color w:val="auto"/>
        </w:rPr>
      </w:pPr>
    </w:p>
    <w:p>
      <w:pPr>
        <w:jc w:val="both"/>
        <w:ind w:right="120" w:firstLine="509"/>
        <w:spacing w:after="0" w:line="312" w:lineRule="auto"/>
        <w:rPr>
          <w:sz w:val="20"/>
          <w:szCs w:val="20"/>
          <w:color w:val="auto"/>
        </w:rPr>
      </w:pPr>
      <w:r>
        <w:rPr>
          <w:rFonts w:ascii="Times New Roman" w:cs="Times New Roman" w:eastAsia="Times New Roman" w:hAnsi="Times New Roman"/>
          <w:sz w:val="17"/>
          <w:szCs w:val="17"/>
          <w:color w:val="auto"/>
        </w:rPr>
        <w:t>For the six-month period ended June 30, 2022, no options to purchase shares of common stock were granted, options to purchase 727,423 shares of common stock were exercised, no options to purchase shares of common stock were forfeited and no options to purchase shares of common stock expired.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 the six-month period ended June 30, 2022, 1,016,341 Restricted Stock Units (“RSUs”) were granted, 842,507 RSUs vested and 110,009 RSUs were forfeited. The fair value of the RSUs granted during the six-month period ended June 30, 2022 was approximately $19.0 million, which will be recognized over a period of four years.</w:t>
      </w:r>
    </w:p>
    <w:p>
      <w:pPr>
        <w:spacing w:after="0" w:line="6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For the six-month period ended June 30, 2022, 52,678 deferred stock units were granted and 92,280 vested. The fair value of the deferred stock units granted during the six-month period ended June 30, 2022 was approximately $0.9 million, half of which was recognized immediately and the remainder of which will be recognized over a period of one year.</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six-month period ended June 30, 2022, 27,726 shares of common stock were issued under the ESPP.</w:t>
      </w:r>
    </w:p>
    <w:p>
      <w:pPr>
        <w:spacing w:after="0" w:line="103"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excluding stock-based compensation expense for discontinued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r>
      <w:tr>
        <w:trPr>
          <w:trHeight w:val="187"/>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-170815</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-170815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-170815</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jc w:val="both"/>
        <w:ind w:right="520" w:firstLine="509"/>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401(k) Plan — </w:t>
      </w:r>
      <w:r>
        <w:rPr>
          <w:rFonts w:ascii="Times New Roman" w:cs="Times New Roman" w:eastAsia="Times New Roman" w:hAnsi="Times New Roman"/>
          <w:sz w:val="17"/>
          <w:szCs w:val="17"/>
          <w:color w:val="auto"/>
        </w:rPr>
        <w:t>Under our 401(k) plan, all employees who are eligible to participate are entitled to make tax-deferred contributions,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Internal Revenue Service limitations. We match 100% of the employee’s first 4% of contributions made, subject to annual limitations. Our matching contributions were $0.5 million and $0.9 million, respectively, during both the three- and six-month periods ended June 30, 2022 and 2021.</w:t>
      </w:r>
    </w:p>
    <w:p>
      <w:pPr>
        <w:spacing w:after="0" w:line="25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07"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$8.0 million and $13.4 million, respectively, during the three- and six-month periods ended June 30, 2022 and $6.5 million and $12.0 million, respectively, for the prior-year periods. Research and development costs are reported as Engineering, design and development expenses in our Unaudited Condensed Consolidated Statements of Operations.</w:t>
      </w:r>
    </w:p>
    <w:p>
      <w:pPr>
        <w:spacing w:after="0" w:line="272"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6"/>
                <w:szCs w:val="16"/>
                <w:color w:val="auto"/>
              </w:rPr>
            </w:pPr>
          </w:p>
        </w:tc>
        <w:tc>
          <w:tcPr>
            <w:tcW w:w="92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360"/>
        </w:trPr>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6"/>
                <w:szCs w:val="16"/>
                <w:color w:val="auto"/>
              </w:rPr>
            </w:pPr>
          </w:p>
        </w:tc>
        <w:tc>
          <w:tcPr>
            <w:tcW w:w="92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(430 )</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(430 )</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tcBorders>
              <w:bottom w:val="single" w:sz="8" w:color="CFF0FC"/>
            </w:tcBorders>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1"/>
                <w:szCs w:val="21"/>
                <w:color w:val="auto"/>
              </w:rPr>
            </w:pPr>
          </w:p>
        </w:tc>
      </w:tr>
      <w:tr>
        <w:trPr>
          <w:trHeight w:val="614"/>
        </w:trPr>
        <w:tc>
          <w:tcPr>
            <w:tcW w:w="1140" w:type="dxa"/>
            <w:vAlign w:val="bottom"/>
          </w:tcPr>
          <w:p>
            <w:pPr>
              <w:spacing w:after="0"/>
              <w:rPr>
                <w:sz w:val="24"/>
                <w:szCs w:val="24"/>
                <w:color w:val="auto"/>
              </w:rPr>
            </w:pPr>
          </w:p>
        </w:tc>
        <w:tc>
          <w:tcPr>
            <w:tcW w:w="51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-2105660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-2105660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-2105660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-1814830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-1797685</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-1814830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-1797685</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-1814830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-1797685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-787400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-787400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-787400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-495935</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-478790</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-495935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-478790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-495935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-478790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89"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As discussed in Note 1, “Basis of Presentation,” on December 1, 2020 we completed the sale of our CA business to Intelsat. As a result of the Transaction, the CA business is reported for all periods as discontinued operations.</w:t>
      </w:r>
    </w:p>
    <w:p>
      <w:pPr>
        <w:spacing w:after="0" w:line="5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table summarizes the results of discontinued operations which are presented as Net loss from discontinued operations, net of tax, in our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820" w:type="dxa"/>
            <w:vAlign w:val="bottom"/>
            <w:gridSpan w:val="6"/>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3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7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8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78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78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Borders>
              <w:top w:val="single" w:sz="8" w:color="CFF0FC"/>
            </w:tcBorders>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09"/>
        </w:trPr>
        <w:tc>
          <w:tcPr>
            <w:tcW w:w="5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(2,754 )</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(4,555 )</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-2414270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-2414270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-2414270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-1163955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-1163955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-1163955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-872490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-872490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-872490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In August 2020 the Compensation Committee of our Board of Directors (the “Compensation Committee”)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to the vesting conditions and exercise periods of outstanding equity compensation awards held by certain of our then-current employees who became employees of Intelsat in the Transaction. Certain of these awards vested based on conditions that were not classified as a service, market or performance condition, and as a result such awards were classified as a liability. As of December 31, 2021, there were no remaining liability-classified awards.</w:t>
      </w:r>
    </w:p>
    <w:p>
      <w:pPr>
        <w:spacing w:after="0" w:line="8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contained within the results of discontinued operations by operating expense line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160" w:type="dxa"/>
            <w:vAlign w:val="bottom"/>
            <w:gridSpan w:val="4"/>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r>
      <w:tr>
        <w:trPr>
          <w:trHeight w:val="187"/>
        </w:trPr>
        <w:tc>
          <w:tcPr>
            <w:tcW w:w="5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76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2,802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18"/>
                <w:szCs w:val="18"/>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2,802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-24765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“Stock-Based Compensation and 401(k) Plan,” for additional information on our stock-based compensation plans.</w:t>
      </w:r>
    </w:p>
    <w:p>
      <w:pPr>
        <w:spacing w:after="0" w:line="99"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Other Costs Classified to Discontinued Operations </w:t>
      </w:r>
      <w:r>
        <w:rPr>
          <w:rFonts w:ascii="Times New Roman" w:cs="Times New Roman" w:eastAsia="Times New Roman" w:hAnsi="Times New Roman"/>
          <w:sz w:val="18"/>
          <w:szCs w:val="18"/>
          <w:color w:val="auto"/>
        </w:rPr>
        <w:t>– During the three- and six-month periods ended June 30, 2021, we incurred $0.1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$0.8 million, respectively, of additional costs (exclusive of the stock-based compensation expense noted above) primarily due to employer-paid taxes arising from the exercise of stock options by former employees then employed by Intelsat.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7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and generate revenue from the provision of our connectivity and entertainment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Gogo 5G and Global Broadband;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potential future competition;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the measures implemented to combat it;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and logistics issues and the possible impact of inflation;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and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3Mhz of ATG spectrum in the United States and obtain rights to additional spectrum if needed;</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 source software;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failures or material software defects;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disruptions caused by, among other things, force majeure events, cyber-attacks or other malicious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products and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regulation of the internet and conflict minerals;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limitations and restrictions in the agreements governing our current and future indebtedness and our ability to service our indebtedness;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tax assets; and</w:t>
      </w:r>
    </w:p>
    <w:p>
      <w:pPr>
        <w:spacing w:after="0" w:line="10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our Annual Report on Form 10-K for the year ended December 31, 2021, as filed with the Securities and Exchange Commission (the “SEC”) on March 3, 2022 (the “2021 10-K”), in Item</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26" w:name="page27"/>
    <w:bookmarkEnd w:id="26"/>
    <w:p>
      <w:pPr>
        <w:ind w:left="1020" w:right="280"/>
        <w:spacing w:after="0" w:line="281" w:lineRule="auto"/>
        <w:rPr>
          <w:sz w:val="20"/>
          <w:szCs w:val="20"/>
          <w:color w:val="auto"/>
        </w:rPr>
      </w:pPr>
      <w:r>
        <w:rPr>
          <w:rFonts w:ascii="Times New Roman" w:cs="Times New Roman" w:eastAsia="Times New Roman" w:hAnsi="Times New Roman"/>
          <w:sz w:val="18"/>
          <w:szCs w:val="18"/>
          <w:color w:val="auto"/>
        </w:rPr>
        <w:t>1A of our Quarterly Report on Form 10-Q for the quarter ended March 31, 2022, as filed with the SEC on May 5, 2022 (the “2022 Q1 10-Q”), and in Item 1A of this Report.</w:t>
      </w:r>
    </w:p>
    <w:p>
      <w:pPr>
        <w:spacing w:after="0" w:line="41"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5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72"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On December 1, 2020, we completed the previously announced sale of our commercial aviation (“CA”) business to a subsidiary of Intelsat Jackson Holdings S.A. (“Intelsat”) for a purchase price of $400.0 million in cash, subject to certain adjustments (the “Transaction”). As a result, all periods presented in our Unaudited Condensed Consolidated Financial Statements and other portions of this Quarterly Report on Form 10-Q have been conformed to present the CA business as discontinued operations.</w:t>
      </w:r>
    </w:p>
    <w:p>
      <w:pPr>
        <w:spacing w:after="0" w:line="6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2021 10-K and the 2022 Q1 10-Q and in Item 1A and “Special Note Regarding Forward-Looking Statements” in this report. Our actual results may differ materially from those contained in or implied by any forward-looking statements.</w:t>
      </w:r>
    </w:p>
    <w:p>
      <w:pPr>
        <w:spacing w:after="0" w:line="66"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made available through strategic partnerships with satellite providers. In May 2022, in order to further serve our existing clients and expand our target market, we announced plans to expand our broadband offerings beyond ATG by launching the first global broadband service in business aviation to use an electronically steered antenna (“ESA”) on a low earth orbit (“LEO”) satellite network (“Global Broadband”). The antenna will be designed with Hughes Network Systems, LLC (“Hughes”) and utilized on a LEO satellite network operated by OneWeb.</w:t>
      </w:r>
    </w:p>
    <w:p>
      <w:pPr>
        <w:spacing w:after="0" w:line="7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0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Although these and other key metrics began to recover in the third quarter of 2020 and have since reached pre-COVID levels or better, we continue to monitor the status of the pandemic in the United States and internationally. We are unable to predict whether COVID-19 will have a material adverse effect on our business in the future or with what degree of severity or over what length of time such impact may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94" w:lineRule="exact"/>
        <w:rPr>
          <w:sz w:val="20"/>
          <w:szCs w:val="20"/>
          <w:color w:val="auto"/>
        </w:rPr>
      </w:pPr>
    </w:p>
    <w:p>
      <w:pPr>
        <w:jc w:val="both"/>
        <w:ind w:right="440" w:firstLine="509"/>
        <w:spacing w:after="0" w:line="236"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4" w:lineRule="exact"/>
        <w:rPr>
          <w:sz w:val="20"/>
          <w:szCs w:val="20"/>
          <w:color w:val="auto"/>
        </w:rPr>
      </w:pPr>
    </w:p>
    <w:p>
      <w:pPr>
        <w:ind w:left="1020" w:right="18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including upgrades to and installation of the ATG technologies we currently offer, Gogo 5G, Global Broadband and any other next generation or other new technology;</w:t>
      </w:r>
    </w:p>
    <w:p>
      <w:pPr>
        <w:spacing w:after="0" w:line="60"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some of which are single-source;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8" w:name="page29"/>
    <w:bookmarkEnd w:id="28"/>
    <w:p>
      <w:pPr>
        <w:ind w:left="1020" w:right="16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network and operations as technology and user expectations change;</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aircraft in service in our markets, including consolidations or changes in fleet size by one or more of our large-fleet customers;</w:t>
      </w:r>
    </w:p>
    <w:p>
      <w:pPr>
        <w:spacing w:after="0" w:line="114" w:lineRule="exact"/>
        <w:rPr>
          <w:rFonts w:ascii="Times New Roman" w:cs="Times New Roman" w:eastAsia="Times New Roman" w:hAnsi="Times New Roman"/>
          <w:sz w:val="17"/>
          <w:szCs w:val="17"/>
          <w:color w:val="auto"/>
        </w:rPr>
      </w:pPr>
    </w:p>
    <w:p>
      <w:pPr>
        <w:ind w:left="1020" w:right="50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 including the impact of COVID-19 on restrictions on and demand for air travel;</w:t>
      </w:r>
    </w:p>
    <w:p>
      <w:pPr>
        <w:spacing w:after="0" w:line="4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and installations, including COVID-19-related shortages of electronic components that have resulted in longer lead times and delays in obtaining certain electronic components used in the airborne equipment that we manufacture;</w:t>
      </w:r>
    </w:p>
    <w:p>
      <w:pPr>
        <w:spacing w:after="0" w:line="67" w:lineRule="exact"/>
        <w:rPr>
          <w:rFonts w:ascii="Times New Roman" w:cs="Times New Roman" w:eastAsia="Times New Roman" w:hAnsi="Times New Roman"/>
          <w:sz w:val="18"/>
          <w:szCs w:val="18"/>
          <w:color w:val="auto"/>
        </w:rPr>
      </w:pPr>
    </w:p>
    <w:p>
      <w:pPr>
        <w:ind w:left="1020" w:right="48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8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r>
      <w:tr>
        <w:trPr>
          <w:trHeight w:val="187"/>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aircraft online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sold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Average equipment revenue per unit sold (in thousands)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r>
    </w:tbl>
    <w:p>
      <w:pPr>
        <w:spacing w:after="0" w:line="164" w:lineRule="exact"/>
        <w:rPr>
          <w:sz w:val="20"/>
          <w:szCs w:val="20"/>
          <w:color w:val="auto"/>
        </w:rPr>
      </w:pPr>
    </w:p>
    <w:p>
      <w:pPr>
        <w:ind w:left="1020" w:right="80" w:hanging="503"/>
        <w:spacing w:after="0" w:line="25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ATG aircraft online. </w:t>
      </w:r>
      <w:r>
        <w:rPr>
          <w:rFonts w:ascii="Times New Roman" w:cs="Times New Roman" w:eastAsia="Times New Roman" w:hAnsi="Times New Roman"/>
          <w:sz w:val="18"/>
          <w:szCs w:val="18"/>
          <w:color w:val="auto"/>
        </w:rPr>
        <w:t>We define ATG aircraft online as the total number of business aircraft for which we provide ATG services as of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each period presented. This number excludes aircraft receiving ATG service as part of the ATG Network Sharing Agreement with Intelsat.</w:t>
      </w:r>
    </w:p>
    <w:p>
      <w:pPr>
        <w:spacing w:after="0" w:line="58"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Satellite aircraft online</w:t>
      </w:r>
      <w:r>
        <w:rPr>
          <w:rFonts w:ascii="Times New Roman" w:cs="Times New Roman" w:eastAsia="Times New Roman" w:hAnsi="Times New Roman"/>
          <w:sz w:val="18"/>
          <w:szCs w:val="18"/>
          <w:color w:val="auto"/>
        </w:rPr>
        <w:t>. We define satellite aircraft online as the total number of business aircraft for which we provide narrowband satellite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as of the last day of each period presented.</w:t>
      </w:r>
    </w:p>
    <w:p>
      <w:pPr>
        <w:spacing w:after="0" w:line="63" w:lineRule="exact"/>
        <w:rPr>
          <w:rFonts w:ascii="Times New Roman" w:cs="Times New Roman" w:eastAsia="Times New Roman" w:hAnsi="Times New Roman"/>
          <w:sz w:val="18"/>
          <w:szCs w:val="18"/>
          <w:color w:val="auto"/>
        </w:rPr>
      </w:pPr>
    </w:p>
    <w:p>
      <w:pPr>
        <w:ind w:left="1020" w:right="180" w:hanging="503"/>
        <w:spacing w:after="0" w:line="25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w:t>
      </w:r>
      <w:r>
        <w:rPr>
          <w:rFonts w:ascii="Times New Roman" w:cs="Times New Roman" w:eastAsia="Times New Roman" w:hAnsi="Times New Roman"/>
          <w:sz w:val="18"/>
          <w:szCs w:val="18"/>
          <w:color w:val="auto"/>
        </w:rPr>
        <w:t>We define average monthly connectivity service revenue per ATG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1" w:right="399" w:bottom="1440" w:gutter="0" w:footer="0" w:header="0"/>
        </w:sectPr>
      </w:pPr>
    </w:p>
    <w:bookmarkStart w:id="29" w:name="page30"/>
    <w:bookmarkEnd w:id="29"/>
    <w:p>
      <w:pPr>
        <w:ind w:left="1020" w:right="80" w:hanging="503"/>
        <w:spacing w:after="0" w:line="25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monthly connectivity service revenue per satellite aircraft online</w:t>
      </w:r>
      <w:r>
        <w:rPr>
          <w:rFonts w:ascii="Times New Roman" w:cs="Times New Roman" w:eastAsia="Times New Roman" w:hAnsi="Times New Roman"/>
          <w:sz w:val="18"/>
          <w:szCs w:val="18"/>
          <w:color w:val="auto"/>
        </w:rPr>
        <w:t>. We define average monthly connectivity service revenue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spacing w:after="0" w:line="7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Units sold</w:t>
      </w:r>
      <w:r>
        <w:rPr>
          <w:rFonts w:ascii="Times New Roman" w:cs="Times New Roman" w:eastAsia="Times New Roman" w:hAnsi="Times New Roman"/>
          <w:sz w:val="18"/>
          <w:szCs w:val="18"/>
          <w:color w:val="auto"/>
        </w:rPr>
        <w:t>. We define units sold as the number of ATG or narrowband satellite units for which we recognized revenue during the period.</w:t>
      </w:r>
    </w:p>
    <w:p>
      <w:pPr>
        <w:spacing w:after="0" w:line="103"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equipment revenue per ATG unit sold. </w:t>
      </w:r>
      <w:r>
        <w:rPr>
          <w:rFonts w:ascii="Times New Roman" w:cs="Times New Roman" w:eastAsia="Times New Roman" w:hAnsi="Times New Roman"/>
          <w:sz w:val="18"/>
          <w:szCs w:val="18"/>
          <w:color w:val="auto"/>
        </w:rPr>
        <w:t>We define average equipment revenue per ATG unit sold as the aggregate equipment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all ATG units sold during the period, divided by the number of ATG units sold.</w:t>
      </w:r>
    </w:p>
    <w:p>
      <w:pPr>
        <w:spacing w:after="0" w:line="63" w:lineRule="exact"/>
        <w:rPr>
          <w:rFonts w:ascii="Times New Roman" w:cs="Times New Roman" w:eastAsia="Times New Roman" w:hAnsi="Times New Roman"/>
          <w:sz w:val="18"/>
          <w:szCs w:val="18"/>
          <w:color w:val="auto"/>
        </w:rPr>
      </w:pPr>
    </w:p>
    <w:p>
      <w:pPr>
        <w:ind w:left="1020" w:right="240" w:hanging="503"/>
        <w:spacing w:after="0" w:line="298"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Average equipment revenue per satellite unit sold</w:t>
      </w:r>
      <w:r>
        <w:rPr>
          <w:rFonts w:ascii="Times New Roman" w:cs="Times New Roman" w:eastAsia="Times New Roman" w:hAnsi="Times New Roman"/>
          <w:sz w:val="17"/>
          <w:szCs w:val="17"/>
          <w:color w:val="auto"/>
        </w:rPr>
        <w:t>. We define average equipment revenue per satellite unit sold as the aggregate equipment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earned from all narrowband satellite units sold during the period, divided by the number of narrowband satellite units sold.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07"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2021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76"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2021 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“Recent Accounting Pronouncements,” to our Unaudited Condensed Consolidated Financial Statements for additional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40" w:type="dxa"/>
            <w:vAlign w:val="bottom"/>
            <w:gridSpan w:val="6"/>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1"/>
                <w:szCs w:val="11"/>
                <w:color w:val="auto"/>
              </w:rPr>
            </w:pPr>
          </w:p>
        </w:tc>
        <w:tc>
          <w:tcPr>
            <w:tcW w:w="2380" w:type="dxa"/>
            <w:vAlign w:val="bottom"/>
            <w:gridSpan w:val="6"/>
          </w:tcPr>
          <w:p>
            <w:pPr>
              <w:jc w:val="right"/>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97,836</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65,496</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(194 )</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(241 )</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95,723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(66,117 )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(71,966 )</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(66,394 )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(72,278 )</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(4,655 )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(69,248 )</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(76,933 )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-3467100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-3467100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-3467100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-3467100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-2353945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-2353945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-2353945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-2063115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-2063115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-2063115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-1223645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-1223645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-1223645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-941070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-941070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-941070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-658495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-658495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-658495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color w:val="auto"/>
        </w:rPr>
        <w:t xml:space="preserve">Revenue and percent change for the three- and six-month periods ended June 30, 2022 and 2021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58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00" w:type="dxa"/>
            <w:vAlign w:val="bottom"/>
          </w:tcPr>
          <w:p>
            <w:pPr>
              <w:spacing w:after="0"/>
              <w:rPr>
                <w:sz w:val="13"/>
                <w:szCs w:val="13"/>
                <w:color w:val="auto"/>
              </w:rPr>
            </w:pPr>
          </w:p>
        </w:tc>
        <w:tc>
          <w:tcPr>
            <w:tcW w:w="124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202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70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revenue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97,836</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82,375</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190,586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156,244</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to $97.8 million and $190.6 million, respectively, for the three- and six-month periods ended June 30, 2022, as compared with $82.4 million and $156.2 million, respectively, for the prior-year periods, due to increases in both service and equipment revenue.</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Service revenue increased to $73.1 million and $143.7 million, respectively, for the three- and six-month periods ended June 30, 2022, as compared with $64.8 million and $124.1 million, respectively, for the prior-year periods, primarily due to increases in ATG aircraft online and average monthly service revenue per aircraft online.</w:t>
      </w:r>
    </w:p>
    <w:p>
      <w:pPr>
        <w:spacing w:after="0" w:line="61"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Equipment revenue increased to $24.8 million and $46.9 million, respectively, for the three- and six-month periods ended June 30, 2022, as compared with $17.6 million and $32.1 million, respectively, for the prior-year periods, primarily due to increases in the number of ATG units sold, with 310 units and 556 units, respectively, sold during the three- and six-month periods ended June 30, 2022 as compared with 182 units and 317 units, respectively, sold during the prior-year periods.</w:t>
      </w:r>
    </w:p>
    <w:p>
      <w:pPr>
        <w:spacing w:after="0" w:line="68"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We expect service revenue to increase in the future as additional ATG aircraft come online and average monthly connectivity service revenue per ATG aircraft online increases. We expect equipment revenue to increase in the future as additional ATG units are sold. In addition, we expect further revenue growth as we launch Global Broadband.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 and six-month periods ended June 30, 2022 and 2021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640" w:type="dxa"/>
            <w:vAlign w:val="bottom"/>
            <w:gridSpan w:val="3"/>
            <w:vMerge w:val="restart"/>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6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20" w:type="dxa"/>
            <w:vAlign w:val="bottom"/>
          </w:tcPr>
          <w:p>
            <w:pPr>
              <w:spacing w:after="0"/>
              <w:rPr>
                <w:sz w:val="13"/>
                <w:szCs w:val="13"/>
                <w:color w:val="auto"/>
              </w:rPr>
            </w:pPr>
          </w:p>
        </w:tc>
        <w:tc>
          <w:tcPr>
            <w:tcW w:w="128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96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680" w:type="dxa"/>
            <w:vAlign w:val="bottom"/>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8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54.3 %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Cost of service revenue increased to $15.8 million and $30.4 million, respectively, for the three- and six-month periods ended June 30, 2022, as compared with $15.2 million and $29.3 million, respectively, for the prior-year periods, primarily due to an increase in personnel costs.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cost of service revenue to increase over time, primarily due to service revenue growth and increasing ATG network costs associated with Gogo 5G. In addition, we expect cost of service revenue to increase as we launch Global Broadband.</w:t>
      </w:r>
    </w:p>
    <w:p>
      <w:pPr>
        <w:spacing w:after="0" w:line="6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Cost of equipment revenue increased to $16.9 million and $31.1 million, respectively, for the three- and six-month periods ended June 30, 2022, as compared with $10.9 million and $19.2 million, respectively, for the prior-year periods, primarily due to an increase in ATG units sold.</w:t>
      </w:r>
    </w:p>
    <w:p>
      <w:pPr>
        <w:spacing w:after="0" w:line="16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We expect that our cost of equipment revenue will increase with growth in ATG units sold and Global Broadband units sold following the launch of that service.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0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Engineering, design and development expenses increased to $8.0 million and $13.4 million, respectively, for the three- and six-month periods ended June 30, 2022, as compared with $6.5 million and $12.0 million, respectively, for the prior-year periods, primarily due to the commencement of Global Broadband development and personnel costs.</w:t>
      </w:r>
    </w:p>
    <w:p>
      <w:pPr>
        <w:spacing w:after="0" w:line="61" w:lineRule="exact"/>
        <w:rPr>
          <w:sz w:val="20"/>
          <w:szCs w:val="20"/>
          <w:color w:val="auto"/>
        </w:rPr>
      </w:pPr>
    </w:p>
    <w:p>
      <w:pPr>
        <w:ind w:right="800" w:firstLine="509"/>
        <w:spacing w:after="0" w:line="281" w:lineRule="auto"/>
        <w:rPr>
          <w:sz w:val="20"/>
          <w:szCs w:val="20"/>
          <w:color w:val="auto"/>
        </w:rPr>
      </w:pPr>
      <w:r>
        <w:rPr>
          <w:rFonts w:ascii="Times New Roman" w:cs="Times New Roman" w:eastAsia="Times New Roman" w:hAnsi="Times New Roman"/>
          <w:sz w:val="18"/>
          <w:szCs w:val="18"/>
          <w:color w:val="auto"/>
        </w:rPr>
        <w:t>We expect engineering, design and development expenses as a percentage of service revenue to increase in the near term, driven by Global Broadband development costs, and decrease over the long term as the level of investment decreases and revenue increases.</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8" w:right="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Sales and marketing expenses increased to $6.1 million and $12.3 million, respectively, for the three- and six-month periods ended June 30, 2022, as compared with $4.8 million and $8.6 million, respectively, for the prior-year periods, primarily due to an increase in personnel, promotional and advertising and travel expenses.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sales and marketing expenses as a percentage of service revenue to remain relatively flat in the future.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$15.4 million and $28.8 million, respectively, for the three- and six-month periods ended June 30, 2022 as compared with $11.7 million and $22.1 million, respectively, for the prior-year periods, primarily due to increases in stock-based compensation, legal fees and personnel costs.</w:t>
      </w:r>
    </w:p>
    <w:p>
      <w:pPr>
        <w:spacing w:after="0" w:line="6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service revenue to decrease over time as the business grows given the relatively fixed cost nature of this operating expense category.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07"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was $3.5 million for both three-month periods and $7.3 million and $7.7 million, respectively, for the six-month periods ended June 30, 2022 and 2021. The decrease for the six-month period ended June 30, 2022 was primarily due to decreased amortization expense for capitalized software.</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 will increase in the future as we launch our Gogo 5G network.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560" w:firstLine="509"/>
        <w:spacing w:after="0" w:line="250" w:lineRule="auto"/>
        <w:rPr>
          <w:sz w:val="20"/>
          <w:szCs w:val="20"/>
          <w:color w:val="auto"/>
        </w:rPr>
      </w:pPr>
      <w:r>
        <w:rPr>
          <w:rFonts w:ascii="Times New Roman" w:cs="Times New Roman" w:eastAsia="Times New Roman" w:hAnsi="Times New Roman"/>
          <w:sz w:val="18"/>
          <w:szCs w:val="18"/>
          <w:color w:val="auto"/>
        </w:rPr>
        <w:t xml:space="preserve">Other (income) expense and percent change for the three- and six-month periods ended June 30, 2022 and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for percent change)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31"/>
        </w:trPr>
        <w:tc>
          <w:tcPr>
            <w:tcW w:w="6560" w:type="dxa"/>
            <w:vAlign w:val="bottom"/>
          </w:tcPr>
          <w:p>
            <w:pPr>
              <w:spacing w:after="0"/>
              <w:rPr>
                <w:sz w:val="11"/>
                <w:szCs w:val="11"/>
                <w:color w:val="auto"/>
              </w:rPr>
            </w:pPr>
          </w:p>
        </w:tc>
        <w:tc>
          <w:tcPr>
            <w:tcW w:w="2420" w:type="dxa"/>
            <w:vAlign w:val="bottom"/>
            <w:gridSpan w:val="4"/>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vMerge w:val="continue"/>
          </w:tcPr>
          <w:p>
            <w:pPr>
              <w:spacing w:after="0"/>
              <w:rPr>
                <w:sz w:val="18"/>
                <w:szCs w:val="18"/>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16,340</w:t>
            </w: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8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79,564</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(127 )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(133.9 )%</w:t>
            </w:r>
          </w:p>
        </w:tc>
        <w:tc>
          <w:tcPr>
            <w:tcW w:w="0" w:type="dxa"/>
            <w:vAlign w:val="bottom"/>
          </w:tcPr>
          <w:p>
            <w:pPr>
              <w:spacing w:after="0"/>
              <w:rPr>
                <w:sz w:val="1"/>
                <w:szCs w:val="1"/>
                <w:color w:val="auto"/>
              </w:rPr>
            </w:pPr>
          </w:p>
        </w:tc>
      </w:tr>
      <w:tr>
        <w:trPr>
          <w:trHeight w:val="22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95,723</w:t>
            </w:r>
          </w:p>
        </w:tc>
        <w:tc>
          <w:tcPr>
            <w:tcW w:w="2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vMerge w:val="continue"/>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20,661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8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(132 )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(112.9 )%</w:t>
            </w:r>
          </w:p>
        </w:tc>
        <w:tc>
          <w:tcPr>
            <w:tcW w:w="0" w:type="dxa"/>
            <w:vAlign w:val="bottom"/>
          </w:tcPr>
          <w:p>
            <w:pPr>
              <w:spacing w:after="0"/>
              <w:rPr>
                <w:sz w:val="1"/>
                <w:szCs w:val="1"/>
                <w:color w:val="auto"/>
              </w:rPr>
            </w:pPr>
          </w:p>
        </w:tc>
      </w:tr>
      <w:tr>
        <w:trPr>
          <w:trHeight w:val="22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20,437</w:t>
            </w: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129,352</w:t>
            </w:r>
          </w:p>
        </w:tc>
        <w:tc>
          <w:tcPr>
            <w:tcW w:w="2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67" w:lineRule="exact"/>
        <w:rPr>
          <w:sz w:val="20"/>
          <w:szCs w:val="20"/>
          <w:color w:val="auto"/>
        </w:rPr>
      </w:pPr>
    </w:p>
    <w:p>
      <w:pPr>
        <w:ind w:right="620" w:firstLine="509"/>
        <w:spacing w:after="0" w:line="250" w:lineRule="auto"/>
        <w:rPr>
          <w:sz w:val="20"/>
          <w:szCs w:val="20"/>
          <w:color w:val="auto"/>
        </w:rPr>
      </w:pPr>
      <w:r>
        <w:rPr>
          <w:rFonts w:ascii="Times New Roman" w:cs="Times New Roman" w:eastAsia="Times New Roman" w:hAnsi="Times New Roman"/>
          <w:sz w:val="18"/>
          <w:szCs w:val="18"/>
          <w:color w:val="auto"/>
        </w:rPr>
        <w:t>Total other expense decreased to $9.6 million and $20.4 million, respectively, for the three- and six-month periods ended June 30, 2022, as compared with $95.7 million and $129.4 million, respectively, for the prior-year periods, primarily due to the prior-year periods including the loss on extinguishment of debt and settlement of convertible notes as well as lower interest expense in the current year as a result of the Refinancing.</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our interest expense to fluctuate with changes in the variable rates associated with the Facilities. See Note 8, “Long-Term Debt and Other Liabilities,” to our Unaudited Condensed Consolidated Financial Statements for additional information.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7" w:lineRule="exact"/>
        <w:rPr>
          <w:sz w:val="20"/>
          <w:szCs w:val="20"/>
          <w:color w:val="auto"/>
        </w:rPr>
      </w:pPr>
    </w:p>
    <w:p>
      <w:pPr>
        <w:ind w:right="100" w:firstLine="509"/>
        <w:spacing w:after="0" w:line="232" w:lineRule="auto"/>
        <w:rPr>
          <w:sz w:val="20"/>
          <w:szCs w:val="20"/>
          <w:color w:val="auto"/>
        </w:rPr>
      </w:pPr>
      <w:r>
        <w:rPr>
          <w:rFonts w:ascii="Times New Roman" w:cs="Times New Roman" w:eastAsia="Times New Roman" w:hAnsi="Times New Roman"/>
          <w:sz w:val="18"/>
          <w:szCs w:val="18"/>
          <w:color w:val="auto"/>
        </w:rPr>
        <w:t>The effective income tax rates for the three- and six-month periods ended June 30, 2022 were 3.1% and 5.6%, respectively, compared to (0.4)% for both prior-year periods. For the three- and six-month periods ended June 30, 2022, our income tax expense was $0.7 million and $2.6 million, respectively, primarily due to pre-tax income, partially offset by the partial release of the valuation allowance against our deferred income tax assets and the tax benefits for stock-based compensation. For the three- and six-month periods ended June 30, 2021, our income tax expense was not significant primarily due to the full valuation allowance against our net deferred tax assets. See Note 14, “Income Tax,” to our Unaudited Condensed Consolidated Financial Statements for additional information.</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27" w:right="239" w:bottom="1440" w:gutter="0" w:footer="0" w:header="0"/>
        </w:sectPr>
      </w:pPr>
    </w:p>
    <w:bookmarkStart w:id="33" w:name="page34"/>
    <w:bookmarkEnd w:id="33"/>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expect our income tax provision to increase in the long term as we generate positive pre-tax income, which may be at least partially offset by reversals of our valuation allowance within the next twelve to eighteen months.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7"/>
          <w:szCs w:val="17"/>
          <w:color w:val="auto"/>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w:t>
      </w:r>
    </w:p>
    <w:p>
      <w:pPr>
        <w:ind w:left="280" w:hanging="272"/>
        <w:spacing w:after="0" w:line="238" w:lineRule="auto"/>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Adjusted EBITDA in addition to, and not as an alternative to, net income (loss) attributable to common stock as a measure of operating results and</w:t>
      </w: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Free Cash Flow in addition to, and not as an alternative to, consolidated net cash provided by operating activities when evaluating our liquidity.</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Definition and Reconciliation of Non-GAAP Measures</w:t>
      </w:r>
    </w:p>
    <w:p>
      <w:pPr>
        <w:spacing w:after="0" w:line="11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(loss) attributable to common stock before interest expense, interest income, income taxes and depreciation and amortization expense.</w:t>
      </w:r>
    </w:p>
    <w:p>
      <w:pPr>
        <w:spacing w:after="0" w:line="54"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u w:val="single" w:color="auto"/>
          <w:color w:val="auto"/>
        </w:rPr>
        <w:t>Adjusted EBITDA</w:t>
      </w:r>
      <w:r>
        <w:rPr>
          <w:rFonts w:ascii="Times New Roman" w:cs="Times New Roman" w:eastAsia="Times New Roman" w:hAnsi="Times New Roman"/>
          <w:sz w:val="17"/>
          <w:szCs w:val="17"/>
          <w:color w:val="auto"/>
        </w:rPr>
        <w:t xml:space="preserve"> represents EBITDA adjusted for (i) stock-based compensation expense included in the results of continuing operations, (ii) the results of discontinued operations, including stock-based compensation expense, (iii) loss on extinguishment of debt and settlement of convertible notes and</w:t>
      </w:r>
    </w:p>
    <w:p>
      <w:pPr>
        <w:spacing w:after="0" w:line="1" w:lineRule="exact"/>
        <w:rPr>
          <w:sz w:val="20"/>
          <w:szCs w:val="20"/>
          <w:color w:val="auto"/>
        </w:rPr>
      </w:pPr>
    </w:p>
    <w:p>
      <w:pPr>
        <w:ind w:right="20" w:firstLine="8"/>
        <w:spacing w:after="0" w:line="242" w:lineRule="auto"/>
        <w:tabs>
          <w:tab w:leader="none" w:pos="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90"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5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loss on extinguishment of debt and settlement of convertible notes from Adjusted EBITDA because this activity is not related to our operating performance.</w:t>
      </w:r>
    </w:p>
    <w:p>
      <w:pPr>
        <w:spacing w:after="0" w:line="4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separation costs related to the sale of CA from Adjusted EBITDA for the three- and six-month periods ended June 30, 2021 because of the non-recurring nature of this activity.</w:t>
      </w:r>
    </w:p>
    <w:p>
      <w:pPr>
        <w:spacing w:after="0" w:line="6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81" w:lineRule="exact"/>
        <w:rPr>
          <w:sz w:val="20"/>
          <w:szCs w:val="20"/>
          <w:color w:val="auto"/>
        </w:rPr>
      </w:pPr>
    </w:p>
    <w:p>
      <w:pPr>
        <w:ind w:right="160" w:firstLine="562"/>
        <w:spacing w:after="0" w:line="266"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represents net cash provided by operating activities, less purchases of property and equipment, the acquisition of intangible assets and the cash flows associated with our interest rate caps. We believe that Free Cash Flow provides meaningful information regarding our liquidity.</w:t>
      </w:r>
    </w:p>
    <w:p>
      <w:pPr>
        <w:spacing w:after="0" w:line="54" w:lineRule="exact"/>
        <w:rPr>
          <w:sz w:val="20"/>
          <w:szCs w:val="20"/>
          <w:color w:val="auto"/>
        </w:rPr>
      </w:pPr>
    </w:p>
    <w:p>
      <w:pPr>
        <w:ind w:right="80" w:firstLine="562"/>
        <w:spacing w:after="0" w:line="258" w:lineRule="auto"/>
        <w:rPr>
          <w:sz w:val="20"/>
          <w:szCs w:val="20"/>
          <w:color w:val="auto"/>
        </w:rPr>
      </w:pPr>
      <w:r>
        <w:rPr>
          <w:rFonts w:ascii="Times New Roman" w:cs="Times New Roman" w:eastAsia="Times New Roman" w:hAnsi="Times New Roman"/>
          <w:sz w:val="18"/>
          <w:szCs w:val="18"/>
          <w:color w:val="auto"/>
        </w:rPr>
        <w:t>To conform to current year presentation, we included the cash paid for our interest rate caps in Free Cash Flow for the three- and six-month periods ended June 30, 2021. We believe it is useful for an understanding of our liquidity to include the cash flows associated with interest rate caps to facilitate a more consistent comparison of net cash paid for interest and the interest rate changes for which we are hedged.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4" w:name="page35"/>
    <w:bookmarkEnd w:id="34"/>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tbl>
      <w:tblPr>
        <w:tblLayout w:type="fixed"/>
        <w:tblInd w:w="0" w:type="dxa"/>
        <w:tblCellMar>
          <w:top w:w="0" w:type="dxa"/>
          <w:left w:w="0" w:type="dxa"/>
          <w:bottom w:w="0" w:type="dxa"/>
          <w:right w:w="0" w:type="dxa"/>
        </w:tblCellMar>
      </w:tblPr>
      <w:tr>
        <w:trPr>
          <w:trHeight w:val="131"/>
        </w:trPr>
        <w:tc>
          <w:tcPr>
            <w:tcW w:w="5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40" w:type="dxa"/>
            <w:vAlign w:val="bottom"/>
            <w:gridSpan w:val="5"/>
          </w:tcPr>
          <w:p>
            <w:pPr>
              <w:jc w:val="right"/>
              <w:ind w:right="761"/>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1"/>
                <w:szCs w:val="11"/>
                <w:color w:val="auto"/>
              </w:rPr>
            </w:pPr>
          </w:p>
        </w:tc>
        <w:tc>
          <w:tcPr>
            <w:tcW w:w="2380" w:type="dxa"/>
            <w:vAlign w:val="bottom"/>
            <w:gridSpan w:val="5"/>
          </w:tcPr>
          <w:p>
            <w:pPr>
              <w:jc w:val="right"/>
              <w:ind w:right="701"/>
              <w:spacing w:after="0" w:line="131" w:lineRule="exact"/>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common stock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(69,248 )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(76,933 )</w:t>
            </w:r>
          </w:p>
        </w:tc>
      </w:tr>
      <w:tr>
        <w:trPr>
          <w:trHeight w:val="216"/>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(194 )</w:t>
            </w:r>
          </w:p>
        </w:tc>
        <w:tc>
          <w:tcPr>
            <w:tcW w:w="38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(54 )</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(241 )</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6"/>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18"/>
                <w:szCs w:val="18"/>
                <w:color w:val="auto"/>
              </w:rPr>
            </w:pPr>
          </w:p>
        </w:tc>
      </w:tr>
      <w:tr>
        <w:trPr>
          <w:trHeight w:val="209"/>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(49,138</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74,562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Separation costs related to CA sale</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FF0FC"/>
          </w:tcPr>
          <w:p>
            <w:pPr>
              <w:spacing w:after="0"/>
              <w:rPr>
                <w:sz w:val="18"/>
                <w:szCs w:val="18"/>
                <w:color w:val="auto"/>
              </w:rPr>
            </w:pPr>
          </w:p>
        </w:tc>
      </w:tr>
      <w:tr>
        <w:trPr>
          <w:trHeight w:val="209"/>
        </w:trPr>
        <w:tc>
          <w:tcPr>
            <w:tcW w:w="5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36,747</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83,973</w:t>
            </w: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70,643</w:t>
            </w:r>
          </w:p>
        </w:tc>
        <w:tc>
          <w:tcPr>
            <w:tcW w:w="100" w:type="dxa"/>
            <w:vAlign w:val="bottom"/>
            <w:tcBorders>
              <w:top w:val="single" w:sz="8" w:color="CFF0FC"/>
            </w:tcBorders>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(14,973 )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(10,895 )</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(1,124 )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(19,950 )</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(1,826 )</w:t>
            </w: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interest rate caps</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(8,629 )</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(8,629 )</w:t>
            </w:r>
          </w:p>
        </w:tc>
      </w:tr>
      <w:tr>
        <w:trPr>
          <w:trHeight w:val="249"/>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-1026795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-1026795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-1026795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Material limitations of Non-GAAP measures</w:t>
      </w:r>
    </w:p>
    <w:p>
      <w:pPr>
        <w:spacing w:after="0" w:line="11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03"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03"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03"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results of discontinued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separation costs related to the sale of CA;</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loss on extinguishment of debt and settlement of convertible notes;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our or related industries may calculate these measures differently from the way we do, their usefulness as comparative measures may be limited.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Continuing operations cash flow activity:</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80" w:type="dxa"/>
            <w:vAlign w:val="bottom"/>
          </w:tcPr>
          <w:p>
            <w:pPr>
              <w:spacing w:after="0"/>
              <w:rPr>
                <w:sz w:val="18"/>
                <w:szCs w:val="18"/>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(19,950 )</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(10,455 )</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(6,243 )</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(324,928 )</w:t>
            </w: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 cash flow activity</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18,055</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(326,671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146,268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435,870</w:t>
            </w:r>
          </w:p>
        </w:tc>
        <w:tc>
          <w:tcPr>
            <w:tcW w:w="80" w:type="dxa"/>
            <w:vAlign w:val="bottom"/>
          </w:tcPr>
          <w:p>
            <w:pPr>
              <w:spacing w:after="0"/>
              <w:rPr>
                <w:sz w:val="18"/>
                <w:szCs w:val="18"/>
                <w:color w:val="auto"/>
              </w:rPr>
            </w:pPr>
          </w:p>
        </w:tc>
      </w:tr>
      <w:tr>
        <w:trPr>
          <w:trHeight w:val="249"/>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5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109,199</w:t>
            </w:r>
          </w:p>
        </w:tc>
        <w:tc>
          <w:tcPr>
            <w:tcW w:w="80" w:type="dxa"/>
            <w:vAlign w:val="bottom"/>
            <w:shd w:val="clear" w:color="auto" w:fill="CFF0FC"/>
          </w:tcPr>
          <w:p>
            <w:pPr>
              <w:spacing w:after="0"/>
              <w:rPr>
                <w:sz w:val="18"/>
                <w:szCs w:val="18"/>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163,993</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109,174</w:t>
            </w:r>
          </w:p>
        </w:tc>
        <w:tc>
          <w:tcPr>
            <w:tcW w:w="80" w:type="dxa"/>
            <w:vAlign w:val="bottom"/>
            <w:tcBorders>
              <w:top w:val="single" w:sz="8" w:color="CFF0FC"/>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-744220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-727075</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-744220</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-727075</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6" w:lineRule="exact"/>
        <w:rPr>
          <w:sz w:val="20"/>
          <w:szCs w:val="20"/>
          <w:color w:val="auto"/>
        </w:rPr>
      </w:pPr>
    </w:p>
    <w:p>
      <w:pPr>
        <w:ind w:right="80" w:firstLine="509"/>
        <w:spacing w:after="0" w:line="230"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non-convertible debt, senior convertible preferred stock, convertible debt, credit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0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capital markets will be sufficient to meet the cash requirements of our business, including capital expenditure requirements and debt maturities, for at least the next twelve months and thereafter for the foreseeable future.</w:t>
      </w:r>
    </w:p>
    <w:p>
      <w:pPr>
        <w:spacing w:after="0" w:line="6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As detailed in Note 8,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 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7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 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For the six-month period ended June 30, 2022, the fee for unused commitments under the Revolving Facility was 0.25%.</w:t>
      </w:r>
    </w:p>
    <w:p>
      <w:pPr>
        <w:spacing w:after="0" w:line="7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70"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6" w:name="page37"/>
    <w:bookmarkEnd w:id="36"/>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68" w:lineRule="exact"/>
        <w:rPr>
          <w:sz w:val="20"/>
          <w:szCs w:val="20"/>
          <w:color w:val="auto"/>
        </w:rPr>
      </w:pPr>
    </w:p>
    <w:p>
      <w:pPr>
        <w:jc w:val="both"/>
        <w:ind w:right="40" w:firstLine="509"/>
        <w:spacing w:after="0" w:line="246"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June 30, 2022 and December 31, 2021.</w:t>
      </w:r>
    </w:p>
    <w:p>
      <w:pPr>
        <w:spacing w:after="0" w:line="72"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In May 2022, the remaining $102.8 million aggregate principal amount of the 2022 Convertible Notes was converted by holders into 17,131,332 shares of common stock.</w:t>
      </w:r>
    </w:p>
    <w:p>
      <w:pPr>
        <w:spacing w:after="0" w:line="4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2021 Credit Agreement and 2022 Convertibles Notes, see Note 8, “Long-Term Debt and Other Liabilities,” to our Unaudited Condensed Consolidated Financial Statements.</w:t>
      </w:r>
    </w:p>
    <w:p>
      <w:pPr>
        <w:spacing w:after="0" w:line="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In May 2021, we purchased interest rate caps with an aggregate notional amount of $650.0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63"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9, “Derivative Instruments and Hedging Activities,” to our Unaudited Condensed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(21,834 )</w:t>
            </w:r>
          </w:p>
        </w:tc>
        <w:tc>
          <w:tcPr>
            <w:tcW w:w="4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(17,529 )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-658495</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-658495</wp:posOffset>
            </wp:positionV>
            <wp:extent cx="4254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7" w:name="page38"/>
    <w:bookmarkEnd w:id="37"/>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the six-month period ended June 30, 2022, net cash provided by operating activities was $44.2 million as compared with net cash provided by operating activities of $9.6 million in the prior-year period. The principal contributors to the year-over-year change in operating cash flows were:</w:t>
      </w:r>
    </w:p>
    <w:p>
      <w:pPr>
        <w:spacing w:after="0" w:line="6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$38.9 million improvement in net income (loss) and non-cash charges and credits, as noted above under “—Results of Operations.”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$4.3 million decrease in cash flows related to operating assets and liabilities resulting from:</w:t>
      </w:r>
    </w:p>
    <w:p>
      <w:pPr>
        <w:spacing w:after="0" w:line="10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decrease in cash flows due to the following:</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due to higher revenue;</w:t>
      </w:r>
    </w:p>
    <w:p>
      <w:pPr>
        <w:spacing w:after="0" w:line="103"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inventories due to additional purchases to meet increased demand and manage supply chain disruptions; and</w:t>
      </w:r>
    </w:p>
    <w:p>
      <w:pPr>
        <w:spacing w:after="0" w:line="103"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payable primarily due to the timing of payments.</w:t>
      </w:r>
    </w:p>
    <w:p>
      <w:pPr>
        <w:spacing w:after="0" w:line="103" w:lineRule="exact"/>
        <w:rPr>
          <w:sz w:val="20"/>
          <w:szCs w:val="20"/>
          <w:color w:val="auto"/>
        </w:rPr>
      </w:pPr>
    </w:p>
    <w:p>
      <w:pPr>
        <w:ind w:left="1540" w:hanging="513"/>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increase due to the following:</w:t>
      </w:r>
    </w:p>
    <w:p>
      <w:pPr>
        <w:spacing w:after="0" w:line="116" w:lineRule="exact"/>
        <w:rPr>
          <w:rFonts w:ascii="Times New Roman" w:cs="Times New Roman" w:eastAsia="Times New Roman" w:hAnsi="Times New Roman"/>
          <w:sz w:val="18"/>
          <w:szCs w:val="18"/>
          <w:color w:val="auto"/>
        </w:rPr>
      </w:pPr>
    </w:p>
    <w:p>
      <w:pPr>
        <w:ind w:left="2380" w:right="200" w:hanging="500"/>
        <w:spacing w:after="0" w:line="266" w:lineRule="auto"/>
        <w:tabs>
          <w:tab w:leader="none" w:pos="23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primarily due to the timing of interest payments as compared with the prior-year and lower interest expense resulting from the Refinancing; and</w:t>
      </w:r>
    </w:p>
    <w:p>
      <w:pPr>
        <w:spacing w:after="0" w:line="53"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liabilities and prepaid expenses and other current assets primarily due to the timing of payments.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six-month period ended June 30, 2022, our Free Cash Flow improved to $24.3 million as compared with negative $0.9 million for the prior-year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is primarily for capital expenditures related to cell site construction, software development, and data center upgrades, see “— Capital Expenditures” below. Additionally, cash used in investing activities includes the purchase of the interest rate caps during the six-month period ended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six-month period ended June 30, 2022 was $6.2 million primarily due to principal payments on the Term Loan Facility.</w:t>
      </w:r>
    </w:p>
    <w:p>
      <w:pPr>
        <w:spacing w:after="0" w:line="6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Cash used in financing activities for the six-month period ended June 30, 2021 was $324.9 million primarily due to the redemption of all of our outstanding 2024 Senior Secured Notes (including the make-whole premium payable under the indenture governing the 2024 Senior Secured Notes) for a redemption price totaling $1,023.1 million and the payment of $20.3 million of deferred financing fees associated with the issuance of the Facilities, offset in part by $721.4 million of gross proceeds from the Term Loan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6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Capital expenditures for the six-month periods ended June 30, 2022 and 2021 were $20.0 million and $1.8 million, respectively. The increase in capital expenditures was primarily due to the build out of Gogo 5G.</w:t>
      </w:r>
    </w:p>
    <w:p>
      <w:pPr>
        <w:spacing w:after="0" w:line="54"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We expect that our capital expenditures will increase in the near-term as we build out Gogo 5G and further invest in capitalized software but then decrease substantially after the Gogo 5G build out is completed.</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w:t>
      </w:r>
      <w:r>
        <w:rPr>
          <w:rFonts w:ascii="Times New Roman" w:cs="Times New Roman" w:eastAsia="Times New Roman" w:hAnsi="Times New Roman"/>
          <w:sz w:val="18"/>
          <w:szCs w:val="18"/>
          <w:color w:val="auto"/>
        </w:rPr>
        <w:t>In June 2022, we and Hughes entered into a supply and product support agreement (the “SPSA”), providing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from Hughes of airborne antennas for use on a LEO satellite network, and the performance by Hughes of services related thereto. Under the SPSA, we commit to purchase, over a seven-year period that will begin on completion of a project milestone currently expected to occur at the end of 2024, antennas with an estimated aggregate purchase price of approximately $170 million. During that seven-year period, Hughes may not sell substantially similar equipment to other purchasers in our primary target market.</w:t>
      </w:r>
    </w:p>
    <w:p>
      <w:pPr>
        <w:spacing w:after="0" w:line="72" w:lineRule="exact"/>
        <w:rPr>
          <w:sz w:val="20"/>
          <w:szCs w:val="20"/>
          <w:color w:val="auto"/>
        </w:rPr>
      </w:pPr>
    </w:p>
    <w:p>
      <w:pPr>
        <w:ind w:right="26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11, “Leases,” to our Unaudited Condensed Consolidated Financial Statements for additional information.</w:t>
      </w:r>
    </w:p>
    <w:p>
      <w:pPr>
        <w:spacing w:after="0" w:line="3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Indemnifications and Guarantees</w:t>
      </w:r>
      <w:r>
        <w:rPr>
          <w:rFonts w:ascii="Times New Roman" w:cs="Times New Roman" w:eastAsia="Times New Roman" w:hAnsi="Times New Roman"/>
          <w:sz w:val="18"/>
          <w:szCs w:val="18"/>
          <w:color w:val="auto"/>
        </w:rPr>
        <w:t>: In accordance with Delaware law, we indemnify our officers and directors for certain events or occurrences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6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61"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June 30, 2022 and December 31, 2021 included amounts in bank deposit accounts and money market funds, and we did not have any short-term investments as of either such date. We believe that a change in average interest rates would not affect our interest income and results of operations by a material amount.</w:t>
      </w:r>
    </w:p>
    <w:p>
      <w:pPr>
        <w:spacing w:after="0" w:line="78" w:lineRule="exact"/>
        <w:rPr>
          <w:sz w:val="20"/>
          <w:szCs w:val="20"/>
          <w:color w:val="auto"/>
        </w:rPr>
      </w:pPr>
    </w:p>
    <w:p>
      <w:pPr>
        <w:jc w:val="both"/>
        <w:ind w:right="520" w:firstLine="509"/>
        <w:spacing w:after="0" w:line="250"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79"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June 30, 2022, we had interest rate cap agreements to hedge a portion of our exposure to interest rate movements of our variable rate debt and to manage our interest expense.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4"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The notional amount of outstanding debt associated with interest rate cap agreements as of June 30, 2022 was $650.0 million. Based on our June 30, 2022 outstanding variable rate debt balance, a hypothetical one percentage point change in the three-month LIBOR interest rate would impact our annual interest expense by approximately $0.7 million for the next twelve-month period, which includes the impact of our interest rate caps at a strike rate of</w:t>
      </w:r>
    </w:p>
    <w:p>
      <w:pPr>
        <w:ind w:right="60"/>
        <w:spacing w:after="0" w:line="242" w:lineRule="auto"/>
        <w:rPr>
          <w:sz w:val="20"/>
          <w:szCs w:val="20"/>
          <w:color w:val="auto"/>
        </w:rPr>
      </w:pPr>
      <w:r>
        <w:rPr>
          <w:rFonts w:ascii="Times New Roman" w:cs="Times New Roman" w:eastAsia="Times New Roman" w:hAnsi="Times New Roman"/>
          <w:sz w:val="18"/>
          <w:szCs w:val="18"/>
          <w:color w:val="auto"/>
        </w:rPr>
        <w:t>0.75%. Excluding the impact of our interest rate caps, a hypothetical one percentage point change in the three-month LIBOR interest rate would impact our annual interest expense by approximately $7.2 million for the next twelve-month period.</w:t>
      </w:r>
    </w:p>
    <w:p>
      <w:pPr>
        <w:spacing w:after="0" w:line="8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and cash equivalents. Our cash and cash equivalents as of both June 30, 2022 and December 31, 2021 included amounts in bank deposit accounts and money market funds. We believe we have minimal interest rate risk related to our cash and cash equivalents, as a 10% decrease in the average interest rate on our portfolio would have reduced interest income for the three- and six-month periods ended June 30, 2022 and 2021 by immaterial amounts.</w:t>
      </w:r>
    </w:p>
    <w:p>
      <w:pPr>
        <w:spacing w:after="0" w:line="83"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affected by inflation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90" w:lineRule="exact"/>
        <w:rPr>
          <w:sz w:val="20"/>
          <w:szCs w:val="20"/>
          <w:color w:val="auto"/>
        </w:rPr>
      </w:pPr>
    </w:p>
    <w:p>
      <w:pPr>
        <w:ind w:right="120" w:firstLine="509"/>
        <w:spacing w:after="0" w:line="232"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June 30, 2022. Based upon this evaluation, our Chief Executive Officer and the Chief Financial Officer have concluded that our disclosure controls and procedures were effective as of June 30, 2022.</w:t>
      </w:r>
    </w:p>
    <w:p>
      <w:pPr>
        <w:spacing w:after="0" w:line="76"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03" w:lineRule="exact"/>
        <w:rPr>
          <w:sz w:val="20"/>
          <w:szCs w:val="20"/>
          <w:color w:val="auto"/>
        </w:rPr>
      </w:pPr>
    </w:p>
    <w:p>
      <w:pPr>
        <w:jc w:val="both"/>
        <w:ind w:right="160" w:firstLine="509"/>
        <w:spacing w:after="0" w:line="23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lawsuits arising out of the conduct of our business. See Note 12, “Commitments and Contingencies,” to our Unaudited Condensed Consolidated Financial Statements for a discussion of litigation matters.</w:t>
      </w:r>
    </w:p>
    <w:p>
      <w:pPr>
        <w:spacing w:after="0" w:line="5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72"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“Item 1A. Risk Factors” of our 2021 10-K includes a discussion of our risk factors. The information presented below updates, and should be read in conjunction with, the risk factors and information disclosed in our 2021 10-K. Except as set forth below and in Item 1A of the 2022 Q1 10-Q, there have been no material changes to the risk factors previously disclosed in our 2021 10-K.</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Competition could result in price reduction, reduced revenue and loss of market position and could harm our results of operations.</w:t>
      </w:r>
    </w:p>
    <w:p>
      <w:pPr>
        <w:spacing w:after="0" w:line="10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equipment and services are sold in competitive markets. Some of our current or potential future competitors are or could potentially be, larger, more diversified corporations and have greater financial, marketing, production and research and development resources. As a result, they may be better able to withstand pricing pressures and the effects of periodic economic downturns. Some of our current or future competitors may offer a broader product line or broader geographic coverage to customers. Our business and results of operations may be materially adversely affected if our competitors:</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•develop equipment or services that are superior to our equipment and services;</w:t>
      </w:r>
    </w:p>
    <w:p>
      <w:pPr>
        <w:spacing w:after="0" w:line="117" w:lineRule="exact"/>
        <w:rPr>
          <w:sz w:val="20"/>
          <w:szCs w:val="20"/>
          <w:color w:val="auto"/>
        </w:rPr>
      </w:pPr>
    </w:p>
    <w:p>
      <w:pPr>
        <w:ind w:left="1020" w:right="3020"/>
        <w:spacing w:after="0" w:line="359" w:lineRule="auto"/>
        <w:rPr>
          <w:sz w:val="20"/>
          <w:szCs w:val="20"/>
          <w:color w:val="auto"/>
        </w:rPr>
      </w:pPr>
      <w:r>
        <w:rPr>
          <w:rFonts w:ascii="Times New Roman" w:cs="Times New Roman" w:eastAsia="Times New Roman" w:hAnsi="Times New Roman"/>
          <w:sz w:val="18"/>
          <w:szCs w:val="18"/>
          <w:color w:val="auto"/>
        </w:rPr>
        <w:t>•develop equipment or services that are priced more competitively than our equipment and services; •develop methods of more efficiently and effectively providing equipment and services; or •adapt more quickly than we do to new technologies or evolving customer requirements.</w:t>
      </w:r>
    </w:p>
    <w:p>
      <w:pPr>
        <w:spacing w:after="0" w:line="2"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believe that the principal points of competition in our business are technological capabilities, geographic coverage, price, customer service, product development, conformity to customer specifications, compliance with regulatory certification requirements, quality of support after the sale and timeliness of delivery and installation.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 In addition, competition may subject us to downward pricing pressures. Pricing at too high a level could adversely affect our ability to gain new customers and retain current customers, while increased competition could force us to lower our prices or lose market position, which could adversely affect growth prospects and profitability. We may not have the financial resources, technical expertise or support capabilities to continue to compete successfully. A competitor recently announced that its ATG network in the continental United States, originally targeted for launch in 2016, is now “live nationwide.” This is the first time that we have faced competition from a nationwide ATG network, and should such competitor be successful in entering our market, other competitors could be prompted to enter this business using the same or other ATG spectrum. Another in-flight connectivity provider has launched service on commercial aircraft in Europe using a hybrid ATG/satellite network.</w:t>
      </w:r>
    </w:p>
    <w:p>
      <w:pPr>
        <w:spacing w:after="0" w:line="7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While we have recently announced our plans to launch the first Global Broadband service in business aviation, we do not currently offer satellite-based broadband service, and could face competition from owners of LEO and other new non-geosynchronous satellite constellations should they decide to enter our market. Starlink, a division of Space Exploration Technologies Corp., has recently been awarded an ESIM (Earth Stations in Motion) license by the Federal Communications Commission that would cover aircraft and other moving vehicles. Starlink recently announced that it has signed contracts to provide in-flight connectivity services on transpacific jets operated by a commercial airline and a semi-private regional jet operator’s fleet. We believe that Starlink intends to enter the business aviation market but cannot predict the timing of such entry. A failure to successfully anticipate and respond to Starlink and other established and new competitors may have a material adverse impact on our business and results of operations.</w:t>
      </w:r>
    </w:p>
    <w:p>
      <w:pPr>
        <w:spacing w:after="0" w:line="74"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measures implemented to combat it have had, and may continue to have, a material adverse effect on our business.</w:t>
      </w:r>
    </w:p>
    <w:p>
      <w:pPr>
        <w:spacing w:after="0" w:line="3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Although these and other key business metrics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1" w:name="page42"/>
    <w:bookmarkEnd w:id="41"/>
    <w:p>
      <w:pPr>
        <w:ind w:right="200"/>
        <w:spacing w:after="0" w:line="281" w:lineRule="auto"/>
        <w:rPr>
          <w:sz w:val="20"/>
          <w:szCs w:val="20"/>
          <w:color w:val="auto"/>
        </w:rPr>
      </w:pPr>
      <w:r>
        <w:rPr>
          <w:rFonts w:ascii="Times New Roman" w:cs="Times New Roman" w:eastAsia="Times New Roman" w:hAnsi="Times New Roman"/>
          <w:sz w:val="18"/>
          <w:szCs w:val="18"/>
          <w:color w:val="auto"/>
        </w:rPr>
        <w:t>began to recover in the third quarter of 2020 and have since reached pre-COVID levels or better, we continue to monitor the status of the pandemic in the U.S. and internationally.</w:t>
      </w:r>
    </w:p>
    <w:p>
      <w:pPr>
        <w:spacing w:after="0" w:line="4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Whether and to what extent COVID-19 impacts our future financial and operational performance will depend on developments that include the duration, spread and severity of the outbreak, the timetable for administering and efficacy of vaccines, the duration and geographic scope of related travel advisories and restrictions and the extent of the impact of COVID-19 on overall demand for commercial and business aviation travel, all of which are highly uncertain and cannot be predicted.</w:t>
      </w:r>
    </w:p>
    <w:p>
      <w:pPr>
        <w:spacing w:after="0" w:line="68"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In addition to directly impacting demand for air travel, COVID-19 and related restrictions may have a material and adverse impact on other aspects of our business, including:</w:t>
      </w:r>
    </w:p>
    <w:p>
      <w:pPr>
        <w:spacing w:after="0" w:line="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•delays and difficulties in completing installations on certain aircraft; and</w:t>
      </w: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•limitations on our ability to market and grow our business and to promote technological innovation.</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COVID-19 has had, and may in the future continue to have, an adverse effect on our supply chain. See “—</w:t>
      </w:r>
      <w:r>
        <w:rPr>
          <w:rFonts w:ascii="Times New Roman" w:cs="Times New Roman" w:eastAsia="Times New Roman" w:hAnsi="Times New Roman"/>
          <w:sz w:val="18"/>
          <w:szCs w:val="18"/>
          <w:i w:val="1"/>
          <w:iCs w:val="1"/>
          <w:color w:val="auto"/>
        </w:rPr>
        <w:t>Global supply chain</w:t>
      </w:r>
    </w:p>
    <w:p>
      <w:pPr>
        <w:spacing w:after="0" w:line="29"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8"/>
          <w:szCs w:val="18"/>
          <w:i w:val="1"/>
          <w:iCs w:val="1"/>
          <w:color w:val="auto"/>
        </w:rPr>
        <w:t>challenges and logistics issues as well as increasing inflation have had, and may continue to have, an adverse effect on our business, financial condition and results of operations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 The full extent of the ongoing impact of COVID-19 on our longer-term operational and financial performance will depend on future developments, many of which are outside of our control.</w:t>
      </w:r>
    </w:p>
    <w:p>
      <w:pPr>
        <w:spacing w:after="0" w:line="77"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Global supply chain challenges and logistics issues as well as increasing inflation have had, and may continue to have, an adverse effect on our business, financial condition and results of operations.</w:t>
      </w:r>
    </w:p>
    <w:p>
      <w:pPr>
        <w:spacing w:after="0" w:line="5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early 2020, many manufacturers of electronic components reduced their capacity in response to the reduced demand that accompanied the COVID-19 pandemic. While manufacturers have begun to increase manufacturing capacity as demand recovers from the impact of COVID-19, demand has exceeded supply in certain areas, and global shortages of electronic components have occurred. In particular, inflation, changes in trade policies, the imposition of duties and tariffs, potential retaliatory countermeasures, public health crises (such as the COVID-19 pandemic), Russia's invasion of Ukraine and geopolitical conflicts continue to adversely impact the availability and price of electronic components. We have experienced longer lead times and encountered delays in obtaining electronic components, and we expect longer lead times and delays to continue. While we believe that we have adequate inventory or will be able to acquire sufficient electronic components to meet customer demand as currently forecasted, increases in demand combined with a continued shortage of electronic components could cause product delays or shortages. We have prepaid the suppliers of certain components to help ensure adequate supply and expect to continue to do so, and we may face price increases for certain components due to the shortages. In addition, the effects of the pandemic include global logistics issues such as shipping logjams, workforce shortages and carrier capacity constraints, all of which may negatively affect our ability to obtain electronic and other components on a timely basis. We cannot predict how long the component shortages or logistics issues will continue. Furthermore, although inflation in the United States has been relatively low in recent years, the U.S. economy has recently experienced a significant inflationary effect from, among other things, supply chain disruptions and governmental stimulus or fiscal policies adopted in response to the COVID-19 pandemic. While we cannot predict any future trends in the rate of inflation, there is currently significant uncertainty to the near-term economic outlook. A significant increase in inflation would raise our costs for labor, materials and services, which could negatively impact our profitability and cash flows. Additionally, we may be unable to raise our prices for our equipment and services equal to the rate of inflation, and if our constrained supply chain continues, our operating profit and balance sheet may be negatively impacted. All of these factors could have a material adverse effect on our profitability and cash flows, business, financial condition and results of operations.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or delayed in developing and deploying Gogo 5G or other next generation technologies.</w:t>
      </w:r>
    </w:p>
    <w:p>
      <w:pPr>
        <w:spacing w:after="0" w:line="10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We are currently developing a next generation ATG network using 5G technology and unlicensed spectrum. Gogo 5G will be capable of working with different spectrum and supporting different next generation technologies. There can be no assurance that we will launch Gogo 5G or any other next generation technology in sufficient time to meet growing user expectations regarding the in-flight connectivity experience and to effectively compete in the business aviation market,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As disclosed in this Item 1A under the caption “Global supply chain challenges and logistics issues as well as increasing inflation have had, and may continue to have, an adverse effect on our business, financial condition and results of operations,” we have experienced longer lead times and encountered delays in obtaining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2" w:name="page43"/>
    <w:bookmarkEnd w:id="42"/>
    <w:p>
      <w:pPr>
        <w:spacing w:after="0" w:line="244" w:lineRule="auto"/>
        <w:rPr>
          <w:sz w:val="20"/>
          <w:szCs w:val="20"/>
          <w:color w:val="auto"/>
        </w:rPr>
      </w:pPr>
      <w:r>
        <w:rPr>
          <w:rFonts w:ascii="Times New Roman" w:cs="Times New Roman" w:eastAsia="Times New Roman" w:hAnsi="Times New Roman"/>
          <w:sz w:val="18"/>
          <w:szCs w:val="18"/>
          <w:color w:val="auto"/>
        </w:rPr>
        <w:t>certain electronic components used in our business. For instance, manufacturing issues with respect to a component necessitated process revisions and additional testing, which have repeatedly delayed the delivery date for this component, and the supplier of the component recently informed us of additional manufacturing issues which will further delay delivery. We currently believe that this combination of delays will likely shift the commercial launch of Gogo 5G service from our previously announced target of fourth quarter 2022 into 2023. If Gogo 5G or any other next generation technology fails to perform as expected or its commercial availability is significantly delayed as compared to the timelines we establish, our ability to meet users' expectations regarding our systems' performance and to effectively compete in our market may be impaired and our business, financial condition and results of operations may be materially adversely affected.</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or delayed in developing and deploying Global Broadband service.</w:t>
      </w:r>
    </w:p>
    <w:p>
      <w:pPr>
        <w:spacing w:after="0" w:line="107"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 xml:space="preserve">In May 2022, we announced our plans to launch Global Broadband using an ESA designed with Hughes and utilized on a LEO satellite network operated by OneWeb. There can be no assurance that we will launch Global Broadband in sufficient time to effectively compete in the global business aviation market, if at all, due to, among other things, risks associated with: (i) OneWeb’s failure to launch or delay in launching its LEO network; (ii) the failure of our equipment and software to perform as expected; (iii) the failure of the OneWeb network to perform as expected; (iv) integrating our hardware and software with the OneWeb network; (v) problems arising in the manufacturing process; (vi) our ability to negotiate contracts with suppliers on acceptable commercial and other terms; (vii) our reliance on single-source suppliers for the development and manufacturing of the antenna and access to a LEO network; and (viii) delays in obtaining or failures to obtain the required regulatory approvals for installation and operation of such equipment and the provision of service to passengers. As disclosed in this Item 1A under the caption </w:t>
      </w:r>
      <w:r>
        <w:rPr>
          <w:rFonts w:ascii="Times New Roman" w:cs="Times New Roman" w:eastAsia="Times New Roman" w:hAnsi="Times New Roman"/>
          <w:sz w:val="18"/>
          <w:szCs w:val="18"/>
          <w:i w:val="1"/>
          <w:iCs w:val="1"/>
          <w:color w:val="auto"/>
        </w:rPr>
        <w:t>“Global supply chain challenges and logistics issues as well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increasing inflation have had, and may continue to have an adverse effect on our business, financial condition and results of operations,”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experienced longer lead times and encountered delays in obtaining certain electronic components used in our business, and such issues could affect the development of Global Broadband. If Global Broadband fails to perform as expected or its commercial availability is significantly delayed as compared to the timelines we establish, our ability to meet customers’ or end users’ expectations regarding our systems’ performance and to effectively compete in our market may be impaired and our business, financial condition and results of operations may be materially adversely affected.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Competition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 in price reduction, reduced revenue and loss of market position and could harm our results of operations.” </w:t>
      </w:r>
      <w:r>
        <w:rPr>
          <w:rFonts w:ascii="Times New Roman" w:cs="Times New Roman" w:eastAsia="Times New Roman" w:hAnsi="Times New Roman"/>
          <w:sz w:val="18"/>
          <w:szCs w:val="18"/>
          <w:color w:val="auto"/>
        </w:rPr>
        <w:t>Furthermore, under our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Hughes we have committed to purchase, over a seven-year period, antennas with an aggregate purchase price of approximately $170 million, and we may make additional financial commitments in connection with Global Broadband. If we are not successful in launching Global Broadband, we may nonetheless, depending on the circumstances, be required to honor these commitments.</w:t>
      </w:r>
    </w:p>
    <w:p>
      <w:pPr>
        <w:spacing w:after="0" w:line="8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In addition, expanding our business to include international markets involves various risks including without limitation (i) the need to invest significant resources in unfamiliar markets; (ii) legal and regulatory restrictions including different communications, privacy, aerospace and liability standards; (iii) intellectual property laws and enforcement practices; (iv) changes in tariffs; (v) restrictions on the ability of U.S. companies to do business in foreign countries; and (vi) compliance with anti-corruption laws and regulations in the jurisdictions in which we do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140" w:right="7019" w:hanging="758"/>
        <w:spacing w:after="0" w:line="359" w:lineRule="auto"/>
        <w:tabs>
          <w:tab w:leader="none" w:pos="765"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Proceeds from Public Offering of Common Stock</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27"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98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98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9980" w:type="dxa"/>
            <w:vAlign w:val="bottom"/>
            <w:gridSpan w:val="16"/>
          </w:tcPr>
          <w:p>
            <w:pPr>
              <w:spacing w:after="0"/>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Master Services Agreement, dated as of May 21, 2022, by and between Gogo Business Aviation LLC and Hughes Network Systems, LLC</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(incorporated by reference to Exhibit 10.1 to Form 8-K filed on May 26, 2022 (File No. 001-35975))</w:t>
              </w:r>
            </w:hyperlink>
          </w:p>
        </w:tc>
        <w:tc>
          <w:tcPr>
            <w:tcW w:w="4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980" w:type="dxa"/>
            <w:vAlign w:val="bottom"/>
            <w:gridSpan w:val="16"/>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Supply and Product Support Agreement, dated as of June 6, 2022, by and between Gogo Business Aviation LLC and Hughes Network</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Systems, LLC (incorporated by reference to Exhibit 10.1 to Form 8-K filed on June 14, 2022 (File No. 001-35975))</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10.4.1#</w:t>
            </w:r>
          </w:p>
        </w:tc>
        <w:tc>
          <w:tcPr>
            <w:tcW w:w="120" w:type="dxa"/>
            <w:vAlign w:val="bottom"/>
          </w:tcPr>
          <w:p>
            <w:pPr>
              <w:spacing w:after="0"/>
              <w:rPr>
                <w:sz w:val="24"/>
                <w:szCs w:val="24"/>
                <w:color w:val="auto"/>
              </w:rPr>
            </w:pPr>
          </w:p>
        </w:tc>
        <w:tc>
          <w:tcPr>
            <w:tcW w:w="5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Second Amended and Restated Gogo Inc. 2016 Omnibus Incentive Plan</w:t>
            </w:r>
          </w:p>
        </w:tc>
        <w:tc>
          <w:tcPr>
            <w:tcW w:w="1500" w:type="dxa"/>
            <w:vAlign w:val="bottom"/>
            <w:tcBorders>
              <w:top w:val="single" w:sz="8" w:color="0000FF"/>
            </w:tcBorders>
            <w:gridSpan w:val="3"/>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Borders>
              <w:top w:val="single" w:sz="8" w:color="0000FF"/>
            </w:tcBorders>
            <w:gridSpan w:val="4"/>
          </w:tcPr>
          <w:p>
            <w:pPr>
              <w:spacing w:after="0"/>
              <w:rPr>
                <w:sz w:val="24"/>
                <w:szCs w:val="24"/>
                <w:color w:val="auto"/>
              </w:rPr>
            </w:pPr>
          </w:p>
        </w:tc>
        <w:tc>
          <w:tcPr>
            <w:tcW w:w="16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540" w:type="dxa"/>
            <w:vAlign w:val="bottom"/>
            <w:tcBorders>
              <w:top w:val="single" w:sz="8" w:color="0000FF"/>
            </w:tcBorders>
            <w:gridSpan w:val="1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480" w:type="dxa"/>
            <w:vAlign w:val="bottom"/>
            <w:tcBorders>
              <w:top w:val="single" w:sz="8" w:color="0000FF"/>
            </w:tcBorders>
            <w:gridSpan w:val="11"/>
          </w:tcPr>
          <w:p>
            <w:pPr>
              <w:spacing w:after="0"/>
              <w:rPr>
                <w:sz w:val="14"/>
                <w:szCs w:val="14"/>
                <w:color w:val="auto"/>
              </w:rPr>
            </w:pP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11240"/>
          </w:cols>
          <w:pgMar w:left="320" w:top="319" w:right="339" w:bottom="1440" w:gutter="0" w:footer="0" w:header="0"/>
        </w:sectPr>
      </w:pPr>
    </w:p>
    <w:p>
      <w:pPr>
        <w:ind w:left="340"/>
        <w:spacing w:after="0"/>
        <w:rPr>
          <w:sz w:val="20"/>
          <w:szCs w:val="20"/>
          <w:color w:val="auto"/>
        </w:rPr>
      </w:pPr>
      <w:r>
        <w:rPr>
          <w:rFonts w:ascii="Times New Roman" w:cs="Times New Roman" w:eastAsia="Times New Roman" w:hAnsi="Times New Roman"/>
          <w:sz w:val="18"/>
          <w:szCs w:val="18"/>
          <w:color w:val="auto"/>
        </w:rPr>
        <w:t>32.1 *</w:t>
      </w: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32.2 *</w:t>
      </w:r>
    </w:p>
    <w:p>
      <w:pPr>
        <w:spacing w:after="0" w:line="3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63226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63226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54483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544830" cy="8255"/>
                    </a:xfrm>
                    <a:prstGeom prst="rect">
                      <a:avLst/>
                    </a:prstGeom>
                    <a:noFill/>
                  </pic:spPr>
                </pic:pic>
              </a:graphicData>
            </a:graphic>
          </wp:anchor>
        </w:drawing>
      </w:r>
    </w:p>
    <w:p>
      <w:pPr>
        <w:spacing w:after="0" w:line="7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61652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61652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5448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544830" cy="8255"/>
                    </a:xfrm>
                    <a:prstGeom prst="rect">
                      <a:avLst/>
                    </a:prstGeom>
                    <a:noFill/>
                  </pic:spPr>
                </pic:pic>
              </a:graphicData>
            </a:graphic>
          </wp:anchor>
        </w:drawing>
      </w:r>
    </w:p>
    <w:p>
      <w:pPr>
        <w:spacing w:after="0" w:line="61" w:lineRule="exact"/>
        <w:rPr>
          <w:sz w:val="20"/>
          <w:szCs w:val="20"/>
          <w:color w:val="auto"/>
        </w:rPr>
      </w:pPr>
    </w:p>
    <w:p>
      <w:pPr>
        <w:ind w:right="740"/>
        <w:spacing w:after="0" w:line="250"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81" w:lineRule="exact"/>
        <w:rPr>
          <w:sz w:val="20"/>
          <w:szCs w:val="20"/>
          <w:color w:val="auto"/>
        </w:rPr>
      </w:pPr>
    </w:p>
    <w:p>
      <w:pPr>
        <w:sectPr>
          <w:pgSz w:w="11900" w:h="16838" w:orient="portrait"/>
          <w:cols w:equalWidth="0" w:num="2">
            <w:col w:w="880" w:space="380"/>
            <w:col w:w="9980"/>
          </w:cols>
          <w:pgMar w:left="320" w:top="319" w:right="339" w:bottom="1440" w:gutter="0" w:footer="0" w:header="0"/>
          <w:type w:val="continuous"/>
        </w:sectPr>
      </w:pPr>
    </w:p>
    <w:tbl>
      <w:tblPr>
        <w:tblLayout w:type="fixed"/>
        <w:tblInd w:w="2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89" w:lineRule="exact"/>
        <w:rPr>
          <w:sz w:val="20"/>
          <w:szCs w:val="20"/>
          <w:color w:val="auto"/>
        </w:rPr>
      </w:pPr>
    </w:p>
    <w:p>
      <w:pPr>
        <w:ind w:left="1260" w:hanging="821"/>
        <w:spacing w:after="0"/>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right="46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45" w:name="page46"/>
    <w:bookmarkEnd w:id="4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35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Gogo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35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8890</wp:posOffset>
            </wp:positionV>
            <wp:extent cx="34766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19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Oakleigh Thorne</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40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8890</wp:posOffset>
            </wp:positionV>
            <wp:extent cx="34766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Barry Rowan</w:t>
      </w:r>
    </w:p>
    <w:p>
      <w:pPr>
        <w:spacing w:after="0" w:line="19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19" w:right="5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10.4.1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SECOND AMENDED AND RESTATED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GOGO INC. 2016</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OMNIBUS INCENTIVE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 PURPOSE</w:t>
      </w:r>
    </w:p>
    <w:p>
      <w:pPr>
        <w:spacing w:after="0" w:line="165"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22"/>
          <w:szCs w:val="22"/>
          <w:color w:val="auto"/>
        </w:rPr>
        <w:t>The purposes of the Second Amended and Restated Gogo Inc. 2016 Omnibus Incentive Plan (the “Plan”) are to promote the interests of Gogo Inc. and its shareholders by (i) attracting and retaining executive personnel and other key employees and directors of outstanding ability; (ii) motivating executive personnel and other key employees and directors by means of performance-related incentives, to achieve longer-range performance goals; and (iii) enabling such individuals to participate in the long-term growth and financial success of Gogo Inc.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 DEFINITIONS</w:t>
      </w:r>
    </w:p>
    <w:p>
      <w:pPr>
        <w:spacing w:after="0" w:line="165" w:lineRule="exact"/>
        <w:rPr>
          <w:sz w:val="20"/>
          <w:szCs w:val="20"/>
          <w:color w:val="auto"/>
        </w:rPr>
      </w:pPr>
    </w:p>
    <w:p>
      <w:pPr>
        <w:ind w:left="440" w:right="120" w:hanging="1"/>
        <w:spacing w:after="0" w:line="390" w:lineRule="auto"/>
        <w:tabs>
          <w:tab w:leader="none" w:pos="73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Capitalized terms used herein without definition shall have the respective meanings set forth below: “</w:t>
      </w:r>
      <w:r>
        <w:rPr>
          <w:rFonts w:ascii="Times New Roman" w:cs="Times New Roman" w:eastAsia="Times New Roman" w:hAnsi="Times New Roman"/>
          <w:sz w:val="22"/>
          <w:szCs w:val="22"/>
          <w:u w:val="single" w:color="auto"/>
          <w:color w:val="auto"/>
        </w:rPr>
        <w:t>Adjustment Event</w:t>
      </w:r>
      <w:r>
        <w:rPr>
          <w:rFonts w:ascii="Times New Roman" w:cs="Times New Roman" w:eastAsia="Times New Roman" w:hAnsi="Times New Roman"/>
          <w:sz w:val="22"/>
          <w:szCs w:val="22"/>
          <w:color w:val="auto"/>
        </w:rPr>
        <w:t>” has the meaning given in Section 4(f).</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Adoption Date</w:t>
      </w:r>
      <w:r>
        <w:rPr>
          <w:rFonts w:ascii="Times New Roman" w:cs="Times New Roman" w:eastAsia="Times New Roman" w:hAnsi="Times New Roman"/>
          <w:sz w:val="22"/>
          <w:szCs w:val="22"/>
          <w:color w:val="auto"/>
        </w:rPr>
        <w:t>” means the date this Plan is adopted by the Board.</w:t>
      </w:r>
    </w:p>
    <w:p>
      <w:pPr>
        <w:spacing w:after="0" w:line="152" w:lineRule="exact"/>
        <w:rPr>
          <w:sz w:val="20"/>
          <w:szCs w:val="20"/>
          <w:color w:val="auto"/>
        </w:rPr>
      </w:pPr>
    </w:p>
    <w:p>
      <w:pPr>
        <w:jc w:val="both"/>
        <w:ind w:right="120" w:firstLine="43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(i) for purposes of Incentive Stock Options, any corporation that is a “parent corporation” (as defined in Section 424(e) of the Code) or a “subsidiary corporation” (as defined in Section 424(e) of the Code) of the Company, and (ii) for all other purposes, with respect to any person, any other person that (directly or indirectly) is controlled by, controlling or under common control with such person.</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Award</w:t>
      </w:r>
      <w:r>
        <w:rPr>
          <w:rFonts w:ascii="Times New Roman" w:cs="Times New Roman" w:eastAsia="Times New Roman" w:hAnsi="Times New Roman"/>
          <w:sz w:val="22"/>
          <w:szCs w:val="22"/>
          <w:color w:val="auto"/>
        </w:rPr>
        <w:t>” has the meaning given in Section 13(b).</w:t>
      </w:r>
    </w:p>
    <w:p>
      <w:pPr>
        <w:spacing w:after="0" w:line="165"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any Performance Award, Restricted Stock, Restricted Stock Unit, Option, Stock Appreciation Right, Deferred Share Unit, Dividend Equivalent or other Stock-Based Award granted to a Participant pursuant to the Plan, including an Award combining two or more types in a single grant.</w:t>
      </w:r>
    </w:p>
    <w:p>
      <w:pPr>
        <w:spacing w:after="0" w:line="112" w:lineRule="exact"/>
        <w:rPr>
          <w:sz w:val="20"/>
          <w:szCs w:val="20"/>
          <w:color w:val="auto"/>
        </w:rPr>
      </w:pPr>
    </w:p>
    <w:p>
      <w:pPr>
        <w:ind w:right="22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any written agreement, contract or other instrument or document evidencing an Award granted under the Plan.</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6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with respect to a Participant, (A) if the Participant is a party to an employment or similar agreement with the Company or an Employer that defines such term, shall have the meaning ascribed thereto in such agreement and (B) if the Participant is not a party to such agreement shall mean (i) the Participant’s refusal to perform or the disregard of the Participant’s duties or responsibilities, or of specific directives of the officer or other executive of the Company to whom the Participant reports; (ii) the Participant’s willful, reckless or negligent commission of act(s) or omission(s) which have resulted in or are likely to result in, a loss to, or damage to the reputation of, the Company or any of its affiliates, or that compromise the safety of any employee or other person; (iii) the Participant’s act of fraud, embezzlement or theft in</w:t>
      </w:r>
    </w:p>
    <w:p>
      <w:pPr>
        <w:spacing w:after="0" w:line="7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140"/>
        <w:spacing w:after="0" w:line="262" w:lineRule="auto"/>
        <w:rPr>
          <w:sz w:val="20"/>
          <w:szCs w:val="20"/>
          <w:color w:val="auto"/>
        </w:rPr>
      </w:pPr>
      <w:r>
        <w:rPr>
          <w:rFonts w:ascii="Times New Roman" w:cs="Times New Roman" w:eastAsia="Times New Roman" w:hAnsi="Times New Roman"/>
          <w:sz w:val="22"/>
          <w:szCs w:val="22"/>
          <w:color w:val="auto"/>
        </w:rPr>
        <w:t>connection with the Participant’s duties to the Company or in the course of his or her employment, or the Participant’s commission of a felony or any crime involving dishonesty or moral turpitude; (iv) the Participant’s material violation of the Company’s policies or standards or of any statutory or common law duty of loyalty to the Company; or (v) any material breach by the Participant of any one or more noncompetition, nonsolicitation, confidentiality or other restrictive covenants to which the Participant is subject.</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w:t>
      </w:r>
    </w:p>
    <w:p>
      <w:pPr>
        <w:spacing w:after="0" w:line="165" w:lineRule="exact"/>
        <w:rPr>
          <w:sz w:val="20"/>
          <w:szCs w:val="20"/>
          <w:color w:val="auto"/>
        </w:rPr>
      </w:pPr>
    </w:p>
    <w:p>
      <w:pPr>
        <w:jc w:val="both"/>
        <w:ind w:left="760" w:right="240" w:firstLine="111"/>
        <w:spacing w:after="0" w:line="260" w:lineRule="auto"/>
        <w:tabs>
          <w:tab w:leader="none" w:pos="113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entity or “group” (within the meaning of Section 13(d)(3) or 14(d)(2), of beneficial ownership (within the meaning of Rule 13d-3 promulgated under the Exchange Act) of 50% or more of either the then outstanding equity interests in the Company or the combined voting power of the Company’s then outstanding voting securities; or</w:t>
      </w:r>
    </w:p>
    <w:p>
      <w:pPr>
        <w:spacing w:after="0" w:line="117" w:lineRule="exact"/>
        <w:rPr>
          <w:rFonts w:ascii="Times New Roman" w:cs="Times New Roman" w:eastAsia="Times New Roman" w:hAnsi="Times New Roman"/>
          <w:sz w:val="22"/>
          <w:szCs w:val="22"/>
          <w:color w:val="auto"/>
        </w:rPr>
      </w:pPr>
    </w:p>
    <w:p>
      <w:pPr>
        <w:ind w:left="760" w:right="60" w:firstLine="111"/>
        <w:spacing w:after="0" w:line="259" w:lineRule="auto"/>
        <w:tabs>
          <w:tab w:leader="none" w:pos="11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of the Company or the sale of all or substantially all of the assets of the Company, in each case with respect to which the persons who held equity interests in the Company immediately prior to such reorganization, merger, consolidation or sale do not immediately thereafter own, directly or indirectly, 50% or more of the combined voting power of the then outstanding securities of the surviving or resulting corporation or other entity.</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in each case, provided that such event constitutes a “change in control” within the meaning of Section 409A of the Code.</w:t>
      </w:r>
    </w:p>
    <w:p>
      <w:pPr>
        <w:spacing w:after="0" w:line="152" w:lineRule="exact"/>
        <w:rPr>
          <w:sz w:val="20"/>
          <w:szCs w:val="20"/>
          <w:color w:val="auto"/>
        </w:rPr>
      </w:pPr>
    </w:p>
    <w:p>
      <w:pPr>
        <w:ind w:right="60" w:firstLine="432"/>
        <w:spacing w:after="0" w:line="269"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be deemed to occur if the Company files for bankruptcy, liquidation or reorganization under the United States Bankruptcy Code or as a result of any restructuring that occurs as a result of any such proceeding.</w:t>
      </w:r>
    </w:p>
    <w:p>
      <w:pPr>
        <w:spacing w:after="0" w:line="93" w:lineRule="exact"/>
        <w:rPr>
          <w:sz w:val="20"/>
          <w:szCs w:val="20"/>
          <w:color w:val="auto"/>
        </w:rPr>
      </w:pPr>
    </w:p>
    <w:p>
      <w:pPr>
        <w:ind w:right="340" w:firstLine="43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Price</w:t>
      </w:r>
      <w:r>
        <w:rPr>
          <w:rFonts w:ascii="Times New Roman" w:cs="Times New Roman" w:eastAsia="Times New Roman" w:hAnsi="Times New Roman"/>
          <w:sz w:val="22"/>
          <w:szCs w:val="22"/>
          <w:color w:val="auto"/>
        </w:rPr>
        <w:t>” means the price per share of Stock offered in conjunction with any transaction resulting in a Change in Control. If any part of the offered price is payable other than in cash, or if more than one price per share of Stock is paid in conjunction with such transaction, the Change in Control Price shall be determined in good faith by the Committee as constituted immediately prior to the Change in Control.</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165"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such other committee of the Board as the Board or the Compensation Committee shall designate from time to time, which Committee shall be comprised of two or more members of the Board, each of whom is a “non-employee director” within the meaning of Rule 16b-3, as promulgated under the Exchange Act and an “independent member” of the Board to the extent required by applicable law or stock exchange rule.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Gogo Inc., a Delaware corporation, and any successor thereto.</w:t>
      </w:r>
    </w:p>
    <w:p>
      <w:pPr>
        <w:spacing w:after="0" w:line="152" w:lineRule="exact"/>
        <w:rPr>
          <w:sz w:val="20"/>
          <w:szCs w:val="20"/>
          <w:color w:val="auto"/>
        </w:rPr>
      </w:pPr>
    </w:p>
    <w:p>
      <w:pPr>
        <w:ind w:right="22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consultants and advisors who are natural persons who provide bona fide services to the Company and its Subsidiaries (other than services in connection with the</w:t>
      </w:r>
    </w:p>
    <w:p>
      <w:pPr>
        <w:spacing w:after="0" w:line="5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offer or sale of securities in a capital raising transaction or that promote or maintain a market for the Company’s securities).</w:t>
      </w:r>
    </w:p>
    <w:p>
      <w:pPr>
        <w:spacing w:after="0" w:line="200" w:lineRule="exact"/>
        <w:rPr>
          <w:sz w:val="20"/>
          <w:szCs w:val="20"/>
          <w:color w:val="auto"/>
        </w:rPr>
      </w:pP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Annual Amount</w:t>
      </w:r>
      <w:r>
        <w:rPr>
          <w:rFonts w:ascii="Times New Roman" w:cs="Times New Roman" w:eastAsia="Times New Roman" w:hAnsi="Times New Roman"/>
          <w:sz w:val="22"/>
          <w:szCs w:val="22"/>
          <w:color w:val="auto"/>
        </w:rPr>
        <w:t>” shall have the meaning set forth in Section 9(a).</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Award</w:t>
      </w:r>
      <w:r>
        <w:rPr>
          <w:rFonts w:ascii="Times New Roman" w:cs="Times New Roman" w:eastAsia="Times New Roman" w:hAnsi="Times New Roman"/>
          <w:sz w:val="22"/>
          <w:szCs w:val="22"/>
          <w:color w:val="auto"/>
        </w:rPr>
        <w:t>” shall have the meaning set forth in Section 9(a).</w:t>
      </w:r>
    </w:p>
    <w:p>
      <w:pPr>
        <w:spacing w:after="0" w:line="152"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Share Unit</w:t>
      </w:r>
      <w:r>
        <w:rPr>
          <w:rFonts w:ascii="Times New Roman" w:cs="Times New Roman" w:eastAsia="Times New Roman" w:hAnsi="Times New Roman"/>
          <w:sz w:val="22"/>
          <w:szCs w:val="22"/>
          <w:color w:val="auto"/>
        </w:rPr>
        <w:t>” means a unit credited to a Participant’s account on the books of the Company under Section 9 that represents the right to receive Stock or cash with a value equal to the Fair Market Value of one share of Stock on settlement of the account.</w:t>
      </w:r>
    </w:p>
    <w:p>
      <w:pPr>
        <w:spacing w:after="0" w:line="107"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Beneficiary</w:t>
      </w:r>
      <w:r>
        <w:rPr>
          <w:rFonts w:ascii="Times New Roman" w:cs="Times New Roman" w:eastAsia="Times New Roman" w:hAnsi="Times New Roman"/>
          <w:sz w:val="22"/>
          <w:szCs w:val="22"/>
          <w:color w:val="auto"/>
        </w:rPr>
        <w:t>” means the beneficiary designated by the Participant, in a manner determined by the Committee, to receive amounts due the Participant in the event of the Participant’s death. In the absence of an effective designation by the Participant, Designated Beneficiary shall mean the Participant’s estate.</w:t>
      </w:r>
    </w:p>
    <w:p>
      <w:pPr>
        <w:spacing w:after="0" w:line="11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unless another definition is incorporated into the applicable Award Agreement, Disability as specified under the Company’s long-term disability insurance policy and any other termination of a Participant’s employment or service under such circumstances that the Committee determines to qualify as a Disability for purposes of this Plan; provided, that if a Participant is a party to an employment or individual severance agreement with an Employer that defines the term “Disability” then, with respect to any Award made to such Participant, “Disability” shall have the meaning set forth in such agreement; provided, further, that in the case of any Award subject to Section 409A of the Code, Disability shall have the meaning set forth in Section 409A of the Code.</w:t>
      </w:r>
    </w:p>
    <w:p>
      <w:pPr>
        <w:spacing w:after="0" w:line="105" w:lineRule="exact"/>
        <w:rPr>
          <w:sz w:val="20"/>
          <w:szCs w:val="20"/>
          <w:color w:val="auto"/>
        </w:rPr>
      </w:pPr>
    </w:p>
    <w:p>
      <w:pPr>
        <w:ind w:right="38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means the right, granted under Section 11 of the Plan, to receive payments in cash or in shares of Stock, based on dividends with respect to shares of Stock.</w:t>
      </w:r>
    </w:p>
    <w:p>
      <w:pPr>
        <w:spacing w:after="0" w:line="91"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following adoption of this Plan by the Board, on which this Plan is approved or reapproved by a majority of the votes cast at a duly constituted meeting of the shareholders of the Company or by a duly effective written consent of the shareholders in lieu thereof.</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Elective Deferred Share Unit</w:t>
      </w:r>
      <w:r>
        <w:rPr>
          <w:rFonts w:ascii="Times New Roman" w:cs="Times New Roman" w:eastAsia="Times New Roman" w:hAnsi="Times New Roman"/>
          <w:sz w:val="22"/>
          <w:szCs w:val="22"/>
          <w:color w:val="auto"/>
        </w:rPr>
        <w:t>” shall have the meaning set forth in Section 9(a).</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Director</w:t>
      </w:r>
      <w:r>
        <w:rPr>
          <w:rFonts w:ascii="Times New Roman" w:cs="Times New Roman" w:eastAsia="Times New Roman" w:hAnsi="Times New Roman"/>
          <w:sz w:val="22"/>
          <w:szCs w:val="22"/>
          <w:color w:val="auto"/>
        </w:rPr>
        <w:t>” means a member of the Board who is not an Employee.</w:t>
      </w:r>
    </w:p>
    <w:p>
      <w:pPr>
        <w:spacing w:after="0" w:line="165" w:lineRule="exact"/>
        <w:rPr>
          <w:sz w:val="20"/>
          <w:szCs w:val="20"/>
          <w:color w:val="auto"/>
        </w:rPr>
      </w:pPr>
    </w:p>
    <w:p>
      <w:pPr>
        <w:ind w:right="24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officer or employee of the Company, any Subsidiary or any other Employer (as determined by the Committee in its sole discretion).</w:t>
      </w:r>
    </w:p>
    <w:p>
      <w:pPr>
        <w:spacing w:after="0" w:line="78" w:lineRule="exact"/>
        <w:rPr>
          <w:sz w:val="20"/>
          <w:szCs w:val="20"/>
          <w:color w:val="auto"/>
        </w:rPr>
      </w:pPr>
    </w:p>
    <w:p>
      <w:pPr>
        <w:ind w:right="200" w:firstLine="432"/>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and any Subsidiary, and, in the discretion of the Committee, may also mean any business organization designated as an Employer; provided that the Company directly or indirectly owns at least 20% of the combined voting power of all classes of voting securities of such entity.</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3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9" w:name="page50"/>
    <w:bookmarkEnd w:id="49"/>
    <w:p>
      <w:pPr>
        <w:ind w:left="440" w:right="1460"/>
        <w:spacing w:after="0" w:line="39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“officer” within the meaning of Rule 16(a)-1(f) promulgated under the Act.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w:t>
      </w:r>
    </w:p>
    <w:p>
      <w:pPr>
        <w:ind w:left="760" w:right="240" w:firstLine="111"/>
        <w:spacing w:after="0" w:line="265" w:lineRule="auto"/>
        <w:tabs>
          <w:tab w:leader="none" w:pos="11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is listed on any established stock exchange or a national market system, the closing sales price for a share of Stock (or the closing bid, if no sales were reported) as quoted on such exchange or system on the date of determination, as reported in The Wall Street Journal or, if not so reported, such other source as the Committee deems reliable;</w:t>
      </w:r>
    </w:p>
    <w:p>
      <w:pPr>
        <w:spacing w:after="0" w:line="96" w:lineRule="exact"/>
        <w:rPr>
          <w:rFonts w:ascii="Times New Roman" w:cs="Times New Roman" w:eastAsia="Times New Roman" w:hAnsi="Times New Roman"/>
          <w:sz w:val="22"/>
          <w:szCs w:val="22"/>
          <w:color w:val="auto"/>
        </w:rPr>
      </w:pPr>
    </w:p>
    <w:p>
      <w:pPr>
        <w:jc w:val="both"/>
        <w:ind w:left="760" w:right="80" w:firstLine="111"/>
        <w:spacing w:after="0" w:line="269" w:lineRule="auto"/>
        <w:tabs>
          <w:tab w:leader="none" w:pos="119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is regularly quoted by a recognized securities dealer but selling prices are not reported, its Fair Market Value shall be the mean between the high bid and low asked prices for the Stock on the last market trading day prior to the day of determination.</w:t>
      </w:r>
    </w:p>
    <w:p>
      <w:pPr>
        <w:spacing w:after="0" w:line="106" w:lineRule="exact"/>
        <w:rPr>
          <w:rFonts w:ascii="Times New Roman" w:cs="Times New Roman" w:eastAsia="Times New Roman" w:hAnsi="Times New Roman"/>
          <w:sz w:val="22"/>
          <w:szCs w:val="22"/>
          <w:color w:val="auto"/>
        </w:rPr>
      </w:pPr>
    </w:p>
    <w:p>
      <w:pPr>
        <w:jc w:val="both"/>
        <w:ind w:left="760" w:firstLine="111"/>
        <w:spacing w:after="0" w:line="260" w:lineRule="auto"/>
        <w:tabs>
          <w:tab w:leader="none" w:pos="125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is not listed on an established stock exchange or national market system, its Fair Market Value shall be determined in good faith by the Committee pursuant to a reasonable valuation method in accordance with Section 409A of the Code, including without limitation by reliance on an independent appraisal completed within the preceding 12 months.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Freestanding SAR</w:t>
      </w:r>
      <w:r>
        <w:rPr>
          <w:rFonts w:ascii="Times New Roman" w:cs="Times New Roman" w:eastAsia="Times New Roman" w:hAnsi="Times New Roman"/>
          <w:sz w:val="22"/>
          <w:szCs w:val="22"/>
          <w:color w:val="auto"/>
        </w:rPr>
        <w:t>” means a Stock Appreciation Right granted independently of any Options.</w:t>
      </w:r>
    </w:p>
    <w:p>
      <w:pPr>
        <w:spacing w:after="0" w:line="152"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with respect to any Participant (A) if the Participant is a party to an employment or similar agreement with the Company or an Employer that defines such term, the meaning ascribed thereto in such agreement and (B) if the Participant is not a party to such agreement, the occurrence of any one of the following events (without the Participant’s consent):</w:t>
      </w:r>
    </w:p>
    <w:p>
      <w:pPr>
        <w:spacing w:after="0" w:line="96" w:lineRule="exact"/>
        <w:rPr>
          <w:sz w:val="20"/>
          <w:szCs w:val="20"/>
          <w:color w:val="auto"/>
        </w:rPr>
      </w:pPr>
    </w:p>
    <w:p>
      <w:pPr>
        <w:ind w:left="1120" w:hanging="249"/>
        <w:spacing w:after="0"/>
        <w:tabs>
          <w:tab w:leader="none" w:pos="11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such Participant’s base salary;</w:t>
      </w:r>
    </w:p>
    <w:p>
      <w:pPr>
        <w:spacing w:after="0" w:line="165" w:lineRule="exact"/>
        <w:rPr>
          <w:rFonts w:ascii="Times New Roman" w:cs="Times New Roman" w:eastAsia="Times New Roman" w:hAnsi="Times New Roman"/>
          <w:sz w:val="22"/>
          <w:szCs w:val="22"/>
          <w:color w:val="auto"/>
        </w:rPr>
      </w:pPr>
    </w:p>
    <w:p>
      <w:pPr>
        <w:ind w:left="760" w:right="140" w:firstLine="111"/>
        <w:spacing w:after="0" w:line="270" w:lineRule="auto"/>
        <w:tabs>
          <w:tab w:leader="none" w:pos="119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such Participant’s annual incentive opportunity (including a material adverse change in the method of calculating such Participant’s annual incentive);</w:t>
      </w:r>
    </w:p>
    <w:p>
      <w:pPr>
        <w:spacing w:after="0" w:line="105" w:lineRule="exact"/>
        <w:rPr>
          <w:rFonts w:ascii="Times New Roman" w:cs="Times New Roman" w:eastAsia="Times New Roman" w:hAnsi="Times New Roman"/>
          <w:sz w:val="22"/>
          <w:szCs w:val="22"/>
          <w:color w:val="auto"/>
        </w:rPr>
      </w:pPr>
    </w:p>
    <w:p>
      <w:pPr>
        <w:ind w:left="1240" w:hanging="369"/>
        <w:spacing w:after="0"/>
        <w:tabs>
          <w:tab w:leader="none" w:pos="12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such Participant’s duties, responsibilities, or authority; or</w:t>
      </w:r>
    </w:p>
    <w:p>
      <w:pPr>
        <w:spacing w:after="0" w:line="151" w:lineRule="exact"/>
        <w:rPr>
          <w:rFonts w:ascii="Times New Roman" w:cs="Times New Roman" w:eastAsia="Times New Roman" w:hAnsi="Times New Roman"/>
          <w:sz w:val="22"/>
          <w:szCs w:val="22"/>
          <w:color w:val="auto"/>
        </w:rPr>
      </w:pPr>
    </w:p>
    <w:p>
      <w:pPr>
        <w:ind w:left="760" w:right="60" w:firstLine="111"/>
        <w:spacing w:after="0" w:line="283" w:lineRule="auto"/>
        <w:tabs>
          <w:tab w:leader="none" w:pos="12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more than 50 miles from such Participant’s principal place of employment immediately prior to the Change in Control;</w:t>
      </w:r>
    </w:p>
    <w:p>
      <w:pPr>
        <w:spacing w:after="0" w:line="8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Participant provides the Company with written notice of his or her intent to terminate his or her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Good Reason within 60 days of such Participant becoming aware of any circumstances set forth above (with such notice indicating the specific termination provision above on which such Participant is relying and describing in reasonable detail the facts and circumstances claimed to provide a basis for termination of his or her employment under the indicated provision), that such Participant provides the Company with at least 30 days following receipt of such notice to remedy such circumstances and that the Company has not remedied such circumstances within such timeframe.</w:t>
      </w:r>
    </w:p>
    <w:p>
      <w:pPr>
        <w:spacing w:after="0" w:line="85"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50" w:name="page51"/>
    <w:bookmarkEnd w:id="50"/>
    <w:p>
      <w:pPr>
        <w:ind w:right="40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to purchase Stock granted under Section 7 of the Plan that is designated as an Incentive Stock Option that meets the requirements of Section 422 of the Code.</w:t>
      </w:r>
    </w:p>
    <w:p>
      <w:pPr>
        <w:spacing w:after="0" w:line="91" w:lineRule="exact"/>
        <w:rPr>
          <w:sz w:val="20"/>
          <w:szCs w:val="20"/>
          <w:color w:val="auto"/>
        </w:rPr>
      </w:pPr>
    </w:p>
    <w:p>
      <w:pPr>
        <w:ind w:right="6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Employer</w:t>
      </w:r>
      <w:r>
        <w:rPr>
          <w:rFonts w:ascii="Times New Roman" w:cs="Times New Roman" w:eastAsia="Times New Roman" w:hAnsi="Times New Roman"/>
          <w:sz w:val="22"/>
          <w:szCs w:val="22"/>
          <w:color w:val="auto"/>
        </w:rPr>
        <w:t>” means, after a Change in Control, a Participant’s employer, or any direct or indirect parent or any direct or indirect majority-owned subsidiary of such employer.</w:t>
      </w:r>
    </w:p>
    <w:p>
      <w:pPr>
        <w:spacing w:after="0" w:line="78" w:lineRule="exact"/>
        <w:rPr>
          <w:sz w:val="20"/>
          <w:szCs w:val="20"/>
          <w:color w:val="auto"/>
        </w:rPr>
      </w:pPr>
    </w:p>
    <w:p>
      <w:pPr>
        <w:ind w:right="30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Non-statutory Stock Option</w:t>
      </w:r>
      <w:r>
        <w:rPr>
          <w:rFonts w:ascii="Times New Roman" w:cs="Times New Roman" w:eastAsia="Times New Roman" w:hAnsi="Times New Roman"/>
          <w:sz w:val="22"/>
          <w:szCs w:val="22"/>
          <w:color w:val="auto"/>
        </w:rPr>
        <w:t>” means an option to purchase shares of Stock granted under Section 7 of the Plan that is not intended to be an Incentive Stock Option.</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Award(s)</w:t>
      </w:r>
      <w:r>
        <w:rPr>
          <w:rFonts w:ascii="Times New Roman" w:cs="Times New Roman" w:eastAsia="Times New Roman" w:hAnsi="Times New Roman"/>
          <w:sz w:val="22"/>
          <w:szCs w:val="22"/>
          <w:color w:val="auto"/>
        </w:rPr>
        <w:t>” has the meaning given in Section 3(f).</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an Incentive Stock Option or a Non-statutory Stock Option.</w:t>
      </w:r>
    </w:p>
    <w:p>
      <w:pPr>
        <w:spacing w:after="0" w:line="152" w:lineRule="exact"/>
        <w:rPr>
          <w:sz w:val="20"/>
          <w:szCs w:val="20"/>
          <w:color w:val="auto"/>
        </w:rPr>
      </w:pPr>
    </w:p>
    <w:p>
      <w:pPr>
        <w:ind w:right="32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Employee, Eligible Director or Consultant who is selected by the Committee to receive an Award under the Plan.</w:t>
      </w:r>
    </w:p>
    <w:p>
      <w:pPr>
        <w:spacing w:after="0" w:line="91" w:lineRule="exact"/>
        <w:rPr>
          <w:sz w:val="20"/>
          <w:szCs w:val="20"/>
          <w:color w:val="auto"/>
        </w:rPr>
      </w:pPr>
    </w:p>
    <w:p>
      <w:pPr>
        <w:jc w:val="both"/>
        <w:ind w:right="80" w:firstLine="432"/>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Award</w:t>
      </w:r>
      <w:r>
        <w:rPr>
          <w:rFonts w:ascii="Times New Roman" w:cs="Times New Roman" w:eastAsia="Times New Roman" w:hAnsi="Times New Roman"/>
          <w:sz w:val="22"/>
          <w:szCs w:val="22"/>
          <w:color w:val="auto"/>
        </w:rPr>
        <w:t>” means an Award of Restricted Stock, Restricted Stock Units, Options, Performance Shares, Deferred Shares, Deferred Share Units, Performance Units, SARs, other Equity-Based Awards or other Awards, the grant, exercise, voting or settlement of which is subject (in whole or in part) to the achievement of specified Performance Goals.</w:t>
      </w:r>
    </w:p>
    <w:p>
      <w:pPr>
        <w:spacing w:after="0" w:line="112" w:lineRule="exact"/>
        <w:rPr>
          <w:sz w:val="20"/>
          <w:szCs w:val="20"/>
          <w:color w:val="auto"/>
        </w:rPr>
      </w:pPr>
    </w:p>
    <w:p>
      <w:pPr>
        <w:ind w:right="34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Cycle</w:t>
      </w:r>
      <w:r>
        <w:rPr>
          <w:rFonts w:ascii="Times New Roman" w:cs="Times New Roman" w:eastAsia="Times New Roman" w:hAnsi="Times New Roman"/>
          <w:sz w:val="22"/>
          <w:szCs w:val="22"/>
          <w:color w:val="auto"/>
        </w:rPr>
        <w:t>” means the period of time selected by the Committee during which performance is measured for the purpose of determining the extent to which a Performance Award has been earned or vested.</w:t>
      </w:r>
    </w:p>
    <w:p>
      <w:pPr>
        <w:spacing w:after="0" w:line="78" w:lineRule="exact"/>
        <w:rPr>
          <w:sz w:val="20"/>
          <w:szCs w:val="20"/>
          <w:color w:val="auto"/>
        </w:rPr>
      </w:pPr>
    </w:p>
    <w:p>
      <w:pPr>
        <w:ind w:right="18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means the objectives established by the Committee for a Performance Cycle pursuant to Section 5(c) for the purpose of determining the extent to which a Performance Award has been earned or vested.</w:t>
      </w:r>
    </w:p>
    <w:p>
      <w:pPr>
        <w:spacing w:after="0" w:line="91" w:lineRule="exact"/>
        <w:rPr>
          <w:sz w:val="20"/>
          <w:szCs w:val="20"/>
          <w:color w:val="auto"/>
        </w:rPr>
      </w:pPr>
    </w:p>
    <w:p>
      <w:pPr>
        <w:ind w:right="820" w:firstLine="432"/>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Share</w:t>
      </w:r>
      <w:r>
        <w:rPr>
          <w:rFonts w:ascii="Times New Roman" w:cs="Times New Roman" w:eastAsia="Times New Roman" w:hAnsi="Times New Roman"/>
          <w:sz w:val="22"/>
          <w:szCs w:val="22"/>
          <w:color w:val="auto"/>
        </w:rPr>
        <w:t>” means a Performance Award that is a contractual right to receive a share of Stock (or the cash equivalent thereof) granted pursuant to Section 5 of the Plan.</w:t>
      </w:r>
    </w:p>
    <w:p>
      <w:pPr>
        <w:spacing w:after="0" w:line="105" w:lineRule="exact"/>
        <w:rPr>
          <w:sz w:val="20"/>
          <w:szCs w:val="20"/>
          <w:color w:val="auto"/>
        </w:rPr>
      </w:pPr>
    </w:p>
    <w:p>
      <w:pPr>
        <w:ind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Unit”</w:t>
      </w:r>
      <w:r>
        <w:rPr>
          <w:rFonts w:ascii="Times New Roman" w:cs="Times New Roman" w:eastAsia="Times New Roman" w:hAnsi="Times New Roman"/>
          <w:sz w:val="22"/>
          <w:szCs w:val="22"/>
          <w:color w:val="auto"/>
        </w:rPr>
        <w:t xml:space="preserve"> means a Performance Award that is a dollar denominated unit (or a unit denominated in the Participant’s local currency) granted pursuant to Section 5 of the Plan.</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Transferees</w:t>
      </w:r>
      <w:r>
        <w:rPr>
          <w:rFonts w:ascii="Times New Roman" w:cs="Times New Roman" w:eastAsia="Times New Roman" w:hAnsi="Times New Roman"/>
          <w:sz w:val="22"/>
          <w:szCs w:val="22"/>
          <w:color w:val="auto"/>
        </w:rPr>
        <w:t>” has the meaning given it in Section 15(b).</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has the meaning given it in the preamble to this Agreement.</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Preexisting Plan</w:t>
      </w:r>
      <w:r>
        <w:rPr>
          <w:rFonts w:ascii="Times New Roman" w:cs="Times New Roman" w:eastAsia="Times New Roman" w:hAnsi="Times New Roman"/>
          <w:sz w:val="22"/>
          <w:szCs w:val="22"/>
          <w:color w:val="auto"/>
        </w:rPr>
        <w:t>” means the Aircell Holdings Inc. Stock Option Plan and the Gogo Inc. 2013 Omnibus Incentive Plan.</w:t>
      </w:r>
    </w:p>
    <w:p>
      <w:pPr>
        <w:spacing w:after="0" w:line="165" w:lineRule="exact"/>
        <w:rPr>
          <w:sz w:val="20"/>
          <w:szCs w:val="20"/>
          <w:color w:val="auto"/>
        </w:rPr>
      </w:pPr>
    </w:p>
    <w:p>
      <w:pPr>
        <w:ind w:right="60" w:firstLine="432"/>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Preexisting Plan Award</w:t>
      </w:r>
      <w:r>
        <w:rPr>
          <w:rFonts w:ascii="Times New Roman" w:cs="Times New Roman" w:eastAsia="Times New Roman" w:hAnsi="Times New Roman"/>
          <w:sz w:val="22"/>
          <w:szCs w:val="22"/>
          <w:color w:val="auto"/>
        </w:rPr>
        <w:t>” means an award of stock options previously granted to a Participant pursuant to the Aircell Holdings Inc. Stock Option Plan or an Award (as defined in the Gogo Inc. 2013 Omnibus Incentive Plan) granted to a Participant under the Gogo Inc. 2013 Omnibus Incentive Plan.</w:t>
      </w:r>
    </w:p>
    <w:p>
      <w:pPr>
        <w:spacing w:after="0" w:line="112" w:lineRule="exact"/>
        <w:rPr>
          <w:sz w:val="20"/>
          <w:szCs w:val="20"/>
          <w:color w:val="auto"/>
        </w:rPr>
      </w:pPr>
    </w:p>
    <w:p>
      <w:pPr>
        <w:ind w:right="40" w:firstLine="432"/>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xml:space="preserve"> means the period of time selected by the Committee during which a grant of Restricted Stock, Restricted Stock Units or Deferred Share Units, as the case may be, is subject to forfeiture and/or restrictions on transfer pursuant to the terms of the Plan.</w:t>
      </w:r>
    </w:p>
    <w:p>
      <w:pPr>
        <w:spacing w:after="0" w:line="5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of Stock contingently granted to a Participant under Section 6 of the Plan.</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stock denominated unit contingently awarded under Section 6 of the Plan.</w:t>
      </w:r>
    </w:p>
    <w:p>
      <w:pPr>
        <w:spacing w:after="0" w:line="152" w:lineRule="exact"/>
        <w:rPr>
          <w:sz w:val="20"/>
          <w:szCs w:val="20"/>
          <w:color w:val="auto"/>
        </w:rPr>
      </w:pPr>
    </w:p>
    <w:p>
      <w:pPr>
        <w:ind w:right="110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means Section 409A of the Code and the applicable rules, regulations and guidance promulgated thereunder.</w:t>
      </w:r>
    </w:p>
    <w:p>
      <w:pPr>
        <w:spacing w:after="0" w:line="91" w:lineRule="exact"/>
        <w:rPr>
          <w:sz w:val="20"/>
          <w:szCs w:val="20"/>
          <w:color w:val="auto"/>
        </w:rPr>
      </w:pPr>
    </w:p>
    <w:p>
      <w:pPr>
        <w:ind w:right="6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means, with respect to Employees and Consultants, continued employment with the Company and its Subsidiaries and Affiliates or, with respect to Eligible Directors, service on the Board of Directors.</w:t>
      </w:r>
    </w:p>
    <w:p>
      <w:pPr>
        <w:spacing w:after="0" w:line="78" w:lineRule="exact"/>
        <w:rPr>
          <w:sz w:val="20"/>
          <w:szCs w:val="20"/>
          <w:color w:val="auto"/>
        </w:rPr>
      </w:pPr>
    </w:p>
    <w:p>
      <w:pPr>
        <w:ind w:right="140" w:firstLine="432"/>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Award” means an Award that vests solely based on the passage of time or continued Service over a fixed period of time.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has the meaning given in Section 4(a).</w:t>
      </w:r>
    </w:p>
    <w:p>
      <w:pPr>
        <w:spacing w:after="0" w:line="165" w:lineRule="exact"/>
        <w:rPr>
          <w:sz w:val="20"/>
          <w:szCs w:val="20"/>
          <w:color w:val="auto"/>
        </w:rPr>
      </w:pPr>
    </w:p>
    <w:p>
      <w:pPr>
        <w:ind w:right="440" w:firstLine="432"/>
        <w:spacing w:after="0" w:line="30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Award</w:t>
      </w:r>
      <w:r>
        <w:rPr>
          <w:rFonts w:ascii="Times New Roman" w:cs="Times New Roman" w:eastAsia="Times New Roman" w:hAnsi="Times New Roman"/>
          <w:sz w:val="20"/>
          <w:szCs w:val="20"/>
          <w:color w:val="auto"/>
        </w:rPr>
        <w:t>” means an Award of non-qualified deferred compensation within the meaning of and that is subject to Section 409A of the Code, and which may include other Awards granted pursuant to the Plan (including, but not limited to, Restricted Stock Units and Deferred Awards) that do not otherwise qualify for an exemption from Section 409A of the Code.</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means the common stock of the Company, par value $0.01 per share.</w:t>
      </w:r>
    </w:p>
    <w:p>
      <w:pPr>
        <w:spacing w:after="0" w:line="165" w:lineRule="exact"/>
        <w:rPr>
          <w:sz w:val="20"/>
          <w:szCs w:val="20"/>
          <w:color w:val="auto"/>
        </w:rPr>
      </w:pPr>
    </w:p>
    <w:p>
      <w:pPr>
        <w:jc w:val="both"/>
        <w:ind w:right="480" w:firstLine="432"/>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SAR</w:t>
      </w:r>
      <w:r>
        <w:rPr>
          <w:rFonts w:ascii="Times New Roman" w:cs="Times New Roman" w:eastAsia="Times New Roman" w:hAnsi="Times New Roman"/>
          <w:sz w:val="22"/>
          <w:szCs w:val="22"/>
          <w:color w:val="auto"/>
        </w:rPr>
        <w:t>” means the right to receive a payment from the Company in cash and/or shares of Stock equal to the product of (i) the excess, if any, of the Fair Market Value of one share of Stock on the exercise date over a specified price fixed by the Committee on the grant date, multiplied by (ii) a stated number of shares of Stock.</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Stock-Based Awards”</w:t>
      </w:r>
      <w:r>
        <w:rPr>
          <w:rFonts w:ascii="Times New Roman" w:cs="Times New Roman" w:eastAsia="Times New Roman" w:hAnsi="Times New Roman"/>
          <w:sz w:val="22"/>
          <w:szCs w:val="22"/>
          <w:color w:val="auto"/>
        </w:rPr>
        <w:t xml:space="preserve"> has the meaning given in Section 10(a).</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Subplan</w:t>
      </w:r>
      <w:r>
        <w:rPr>
          <w:rFonts w:ascii="Times New Roman" w:cs="Times New Roman" w:eastAsia="Times New Roman" w:hAnsi="Times New Roman"/>
          <w:sz w:val="22"/>
          <w:szCs w:val="22"/>
          <w:color w:val="auto"/>
        </w:rPr>
        <w:t>” has the meaning given in Section 3(f).</w:t>
      </w:r>
    </w:p>
    <w:p>
      <w:pPr>
        <w:spacing w:after="0" w:line="165" w:lineRule="exact"/>
        <w:rPr>
          <w:sz w:val="20"/>
          <w:szCs w:val="20"/>
          <w:color w:val="auto"/>
        </w:rPr>
      </w:pPr>
    </w:p>
    <w:p>
      <w:pPr>
        <w:ind w:right="20" w:firstLine="432"/>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business entity in which the Company owns, directly or indirectly, fifty percent (50%) or more of the total combined voting power of all classes of stock entitled to vote, and any other business organization, regardless of form, in which the Company possesses, directly or indirectly, 50% or more of the total combined equity interests in such organization.</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 Percent Holder</w:t>
      </w:r>
      <w:r>
        <w:rPr>
          <w:rFonts w:ascii="Times New Roman" w:cs="Times New Roman" w:eastAsia="Times New Roman" w:hAnsi="Times New Roman"/>
          <w:sz w:val="22"/>
          <w:szCs w:val="22"/>
          <w:color w:val="auto"/>
        </w:rPr>
        <w:t>” has the meaning given in Section 7(b).</w:t>
      </w:r>
    </w:p>
    <w:p>
      <w:pPr>
        <w:spacing w:after="0" w:line="152"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xml:space="preserve">” means with respect to an Eligible Director, the date upon which such Eligible Director ceases to be a member of the Board, with respect to an Employee, the date the Participant ceases to be an Employee and, with respect to a Consultant, the date the Consultant ceases to provide services to the Company or any Employer, in each case as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any Specified Award, Termination of Service shall mean “separation from service”, as defined in Section 409A of the Code and the rules, regulations and guidance promulgated thereunder.</w:t>
      </w:r>
    </w:p>
    <w:p>
      <w:pPr>
        <w:spacing w:after="0" w:line="6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ind w:right="80" w:firstLine="43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Power</w:t>
      </w:r>
      <w:r>
        <w:rPr>
          <w:rFonts w:ascii="Times New Roman" w:cs="Times New Roman" w:eastAsia="Times New Roman" w:hAnsi="Times New Roman"/>
          <w:sz w:val="22"/>
          <w:szCs w:val="22"/>
          <w:color w:val="auto"/>
        </w:rPr>
        <w:t>” when used in the definition of Change in Control shall mean such specified number of the Voting Securities as shall enable the holders thereof to cast such percentage of all the votes which could be cast in an annual election of directors and “Voting Securities” shall mean all securities of a company entitling the holders thereof to vote in an annual election of directors.</w:t>
      </w:r>
    </w:p>
    <w:p>
      <w:pPr>
        <w:spacing w:after="0" w:line="96" w:lineRule="exact"/>
        <w:rPr>
          <w:sz w:val="20"/>
          <w:szCs w:val="20"/>
          <w:color w:val="auto"/>
        </w:rPr>
      </w:pPr>
    </w:p>
    <w:p>
      <w:pPr>
        <w:ind w:right="320" w:firstLine="439"/>
        <w:spacing w:after="0" w:line="283" w:lineRule="auto"/>
        <w:tabs>
          <w:tab w:leader="none" w:pos="73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Except when otherwise indicated by the context, words in the masculine gender used in the Plan shall include the feminine gender, the singular shall include the plural, and the plural shall include the singular.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3. POWERS OF THE COMMITTEE</w:t>
      </w:r>
    </w:p>
    <w:p>
      <w:pPr>
        <w:spacing w:after="0" w:line="165" w:lineRule="exact"/>
        <w:rPr>
          <w:sz w:val="20"/>
          <w:szCs w:val="20"/>
          <w:color w:val="auto"/>
        </w:rPr>
      </w:pPr>
    </w:p>
    <w:p>
      <w:pPr>
        <w:ind w:right="140" w:firstLine="439"/>
        <w:spacing w:after="0" w:line="270" w:lineRule="auto"/>
        <w:tabs>
          <w:tab w:leader="none" w:pos="7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Participants in the Plan shall consist of such Employees (including any officer of the Company), Consultants and Eligible Directors as the Committee in its sole discretion may select from time to time.</w:t>
      </w:r>
    </w:p>
    <w:p>
      <w:pPr>
        <w:spacing w:after="0" w:line="105" w:lineRule="exact"/>
        <w:rPr>
          <w:rFonts w:ascii="Times New Roman" w:cs="Times New Roman" w:eastAsia="Times New Roman" w:hAnsi="Times New Roman"/>
          <w:sz w:val="22"/>
          <w:szCs w:val="22"/>
          <w:color w:val="auto"/>
        </w:rPr>
      </w:pPr>
    </w:p>
    <w:p>
      <w:pPr>
        <w:ind w:right="100" w:firstLine="439"/>
        <w:spacing w:after="0" w:line="258" w:lineRule="auto"/>
        <w:tabs>
          <w:tab w:leader="none" w:pos="73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to Grant and Establish Terms of Awards</w:t>
      </w:r>
      <w:r>
        <w:rPr>
          <w:rFonts w:ascii="Times New Roman" w:cs="Times New Roman" w:eastAsia="Times New Roman" w:hAnsi="Times New Roman"/>
          <w:sz w:val="22"/>
          <w:szCs w:val="22"/>
          <w:color w:val="auto"/>
        </w:rPr>
        <w:t>. The Committee shall have the discretionary authority, subject to the terms of the Plan, to determine the Participants, if any, to whom Awards shall be granted, the type or types of Awards to be granted, and the terms and conditions of any and all Awards including, without limitation, the number of shares of Stock subject to an Award, the time or times at which Awards shall be granted, and the terms and conditions of the Awards and the applicable Award Agreements. The Committee may establish different terms and conditions for different types of Awards, for different Participants receiving the same type of Award, and for the same Participant for each type of Award such Participant may receive, whether or not granted at the same or different times.</w:t>
      </w:r>
    </w:p>
    <w:p>
      <w:pPr>
        <w:spacing w:after="0" w:line="105" w:lineRule="exact"/>
        <w:rPr>
          <w:rFonts w:ascii="Times New Roman" w:cs="Times New Roman" w:eastAsia="Times New Roman" w:hAnsi="Times New Roman"/>
          <w:sz w:val="22"/>
          <w:szCs w:val="22"/>
          <w:color w:val="auto"/>
        </w:rPr>
      </w:pPr>
    </w:p>
    <w:p>
      <w:pPr>
        <w:ind w:firstLine="439"/>
        <w:spacing w:after="0" w:line="261" w:lineRule="auto"/>
        <w:tabs>
          <w:tab w:leader="none" w:pos="7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Plan shall be administered by the Committee. The Committee shall have sole and complete authority and discretion to adopt, alter and repeal such administrative rules, guidelines and practices governing the operation of the Plan as it shall from time to time deem advisable, and to interpret the terms and provisions of the Plan. The Committee’s decisions (including any failure to make decisions) shall be binding upon all persons, including but not limited to the Company, shareholders, Employers and each Employee, Director, Consultant, Participant, Designated Beneficiary and such person’s heirs, successors or assigns, and shall be given deference in any proceeding with respect thereto.</w:t>
      </w:r>
    </w:p>
    <w:p>
      <w:pPr>
        <w:spacing w:after="0" w:line="102" w:lineRule="exact"/>
        <w:rPr>
          <w:rFonts w:ascii="Times New Roman" w:cs="Times New Roman" w:eastAsia="Times New Roman" w:hAnsi="Times New Roman"/>
          <w:sz w:val="22"/>
          <w:szCs w:val="22"/>
          <w:color w:val="auto"/>
        </w:rPr>
      </w:pPr>
    </w:p>
    <w:p>
      <w:pPr>
        <w:ind w:right="40" w:firstLine="439"/>
        <w:spacing w:after="0" w:line="258" w:lineRule="auto"/>
        <w:tabs>
          <w:tab w:leader="none" w:pos="73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by the Committee</w:t>
      </w:r>
      <w:r>
        <w:rPr>
          <w:rFonts w:ascii="Times New Roman" w:cs="Times New Roman" w:eastAsia="Times New Roman" w:hAnsi="Times New Roman"/>
          <w:sz w:val="22"/>
          <w:szCs w:val="22"/>
          <w:color w:val="auto"/>
        </w:rPr>
        <w:t>. The Committee may delegate to the chief executive officer of the Company the power and authority to make Awards to Participants who are not Executive Officers, pursuant to such conditions and limitations as the Committee may establish. The Committee may also appoint agents (who may be officers or employees of the Company) to assist in the administration of the Plan and may grant authority to such persons to execute agreements, including Award Agreements, or other documents on its behalf. All expenses incurred in the administration of the Plan, including, without limitation, for the engagement of any counsel, consultant or agent, shall be paid by the Company.</w:t>
      </w:r>
    </w:p>
    <w:p>
      <w:pPr>
        <w:spacing w:after="0" w:line="121" w:lineRule="exact"/>
        <w:rPr>
          <w:rFonts w:ascii="Times New Roman" w:cs="Times New Roman" w:eastAsia="Times New Roman" w:hAnsi="Times New Roman"/>
          <w:sz w:val="22"/>
          <w:szCs w:val="22"/>
          <w:color w:val="auto"/>
        </w:rPr>
      </w:pPr>
    </w:p>
    <w:p>
      <w:pPr>
        <w:ind w:right="160" w:firstLine="439"/>
        <w:spacing w:after="0" w:line="269" w:lineRule="auto"/>
        <w:tabs>
          <w:tab w:leader="none" w:pos="7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and Other Conditions</w:t>
      </w:r>
      <w:r>
        <w:rPr>
          <w:rFonts w:ascii="Times New Roman" w:cs="Times New Roman" w:eastAsia="Times New Roman" w:hAnsi="Times New Roman"/>
          <w:sz w:val="22"/>
          <w:szCs w:val="22"/>
          <w:color w:val="auto"/>
        </w:rPr>
        <w:t>. Without limiting the generality of the foregoing, the Committee may condition the grant of any Award under the Plan upon the Participant to whom such Award would be granted agreeing in writing to certain conditions (such as restrictions on the ability to transfer the underlying shares of Stock) or covenants in</w:t>
      </w:r>
    </w:p>
    <w:p>
      <w:pPr>
        <w:spacing w:after="0" w:line="5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spacing w:after="0" w:line="262" w:lineRule="auto"/>
        <w:rPr>
          <w:sz w:val="20"/>
          <w:szCs w:val="20"/>
          <w:color w:val="auto"/>
        </w:rPr>
      </w:pPr>
      <w:r>
        <w:rPr>
          <w:rFonts w:ascii="Times New Roman" w:cs="Times New Roman" w:eastAsia="Times New Roman" w:hAnsi="Times New Roman"/>
          <w:sz w:val="22"/>
          <w:szCs w:val="22"/>
          <w:color w:val="auto"/>
        </w:rPr>
        <w:t>favor of the Company and/or one or more Affiliates thereof (including, without limitation, covenants not to compete, not to solicit employees and customers and not to disclose confidential information, that may have effect following the Termination of Service and after the Stock subject to the Award has been transferred to the Participant), including, without limitation, the requirement that the Participant disgorge any profit, gain or other benefit received in respect of the Award prior to any breach of any such covenant.</w:t>
      </w:r>
    </w:p>
    <w:p>
      <w:pPr>
        <w:spacing w:after="0" w:line="102" w:lineRule="exact"/>
        <w:rPr>
          <w:sz w:val="20"/>
          <w:szCs w:val="20"/>
          <w:color w:val="auto"/>
        </w:rPr>
      </w:pPr>
    </w:p>
    <w:p>
      <w:pPr>
        <w:ind w:firstLine="439"/>
        <w:spacing w:after="0" w:line="282" w:lineRule="auto"/>
        <w:tabs>
          <w:tab w:leader="none" w:pos="70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Based Outside the United States</w:t>
      </w:r>
      <w:r>
        <w:rPr>
          <w:rFonts w:ascii="Times New Roman" w:cs="Times New Roman" w:eastAsia="Times New Roman" w:hAnsi="Times New Roman"/>
          <w:sz w:val="20"/>
          <w:szCs w:val="20"/>
          <w:color w:val="auto"/>
        </w:rPr>
        <w:t>. To conform with the provisions of local laws and regulations, or with local compensation practices and policies, in foreign countries in which the Company or any of its Subsidiaries or Affiliates operate, but subject to the limitations set forth herein regarding the maximum number of shares issuable hereunder and the maximum award to any single Participant, the Committee may (i) modify the terms and conditions of Awards granted to Participants employed outside the United States (“</w:t>
      </w:r>
      <w:r>
        <w:rPr>
          <w:rFonts w:ascii="Times New Roman" w:cs="Times New Roman" w:eastAsia="Times New Roman" w:hAnsi="Times New Roman"/>
          <w:sz w:val="20"/>
          <w:szCs w:val="20"/>
          <w:u w:val="single" w:color="auto"/>
          <w:color w:val="auto"/>
        </w:rPr>
        <w:t>Non-US Awards</w:t>
      </w:r>
      <w:r>
        <w:rPr>
          <w:rFonts w:ascii="Times New Roman" w:cs="Times New Roman" w:eastAsia="Times New Roman" w:hAnsi="Times New Roman"/>
          <w:sz w:val="20"/>
          <w:szCs w:val="20"/>
          <w:color w:val="auto"/>
        </w:rPr>
        <w:t>”), (ii) establish subplans with modified exercise procedures and such other modifications as may be necessary or advisable under the circumstances (“</w:t>
      </w:r>
      <w:r>
        <w:rPr>
          <w:rFonts w:ascii="Times New Roman" w:cs="Times New Roman" w:eastAsia="Times New Roman" w:hAnsi="Times New Roman"/>
          <w:sz w:val="20"/>
          <w:szCs w:val="20"/>
          <w:u w:val="single" w:color="auto"/>
          <w:color w:val="auto"/>
        </w:rPr>
        <w:t>Subplans</w:t>
      </w:r>
      <w:r>
        <w:rPr>
          <w:rFonts w:ascii="Times New Roman" w:cs="Times New Roman" w:eastAsia="Times New Roman" w:hAnsi="Times New Roman"/>
          <w:sz w:val="20"/>
          <w:szCs w:val="20"/>
          <w:color w:val="auto"/>
        </w:rPr>
        <w:t>”), (iii) take any action which it deems advisable to obtain, comply with or otherwise reflect any necessary governmental regulatory procedures, exemptions or approvals with respect to the Plan, and (iv) require UK Participants to enter into a joint election under s431 ITEPA 2003. The Committee’s decision to grant Non-US Awards or to establish Subplans is entirely voluntary, and at the complete discretion of the Committee. The Committee may amend, modify or terminate any Subplans at any time, and such amendment, modification or termination may be made without prior notice to the Participants. The Company, Subsidiaries, Affiliates and members of the Committee shall not incur any liability of any kind to any Participant as a result of any change, amendment or termination of any Subplan at any time. The benefits and rights provided under any Subplan or by any Non-US Award (i) are wholly discretionary and, although provided by either the Company, a Subsidiary or Affiliate, do not constitute regular or periodic payments and (ii) are not to be considered part of the Participant’s salary or compensation under the Participant’s employment with the Participant’s local employer for purposes of calculating any severance, resignation, redundancy or other end of service payments, vacation, bonuses, long-term service awards, indemnification, pension or retirement benefits, or any other payments, benefits or rights of any kind. If a Subplan is terminated, the Committee may direct the payment of Non-US Awards (or direct the deferral of payments whose amount shall be determined) prior to the dates on which payments would otherwise have been made, and, in the Committee’s discretion, such payments may be made in a lump sum or in installments.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4. MAXIMUM AMOUNT AVAILABLE FOR AWARDS</w:t>
      </w:r>
    </w:p>
    <w:p>
      <w:pPr>
        <w:spacing w:after="0" w:line="152" w:lineRule="exact"/>
        <w:rPr>
          <w:sz w:val="20"/>
          <w:szCs w:val="20"/>
          <w:color w:val="auto"/>
        </w:rPr>
      </w:pPr>
    </w:p>
    <w:p>
      <w:pPr>
        <w:ind w:right="60" w:firstLine="439"/>
        <w:spacing w:after="0" w:line="258" w:lineRule="auto"/>
        <w:tabs>
          <w:tab w:leader="none" w:pos="72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Subject in all cases to the provisions of this Section 4, the maximum number of shares of Stock that are available for Awards granted under the Plan shall be 21,475,000 shares of Stock (the “Share Reserve”). Notwithstanding the provisions of Section 4(b), the maximum number of shares of Stock that may be issued in respect of Incentive Stock Options shall not exceed 8,050,000 shares of Stock. Any shares of Stock granted in connection with Awards other than Options and Stock Appreciation Rights shall be counted against this limit as 1.45 shares of Stock for every one (1) share of Stock granted in connection with such Award. Shares of Stock may be made available from Stock held in treasury or authorized but unissued shares of the Company not reserved for any other purpose.</w:t>
      </w:r>
    </w:p>
    <w:p>
      <w:pPr>
        <w:spacing w:after="0" w:line="8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ind w:right="40" w:firstLine="439"/>
        <w:spacing w:after="0" w:line="285" w:lineRule="auto"/>
        <w:tabs>
          <w:tab w:leader="none" w:pos="73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Canceled, Terminated, or Forfeited Awards, etc</w:t>
      </w:r>
      <w:r>
        <w:rPr>
          <w:rFonts w:ascii="Times New Roman" w:cs="Times New Roman" w:eastAsia="Times New Roman" w:hAnsi="Times New Roman"/>
          <w:sz w:val="20"/>
          <w:szCs w:val="20"/>
          <w:color w:val="auto"/>
        </w:rPr>
        <w:t>. In addition to the number of Shares provided for in Section 4(a), any shares of Stock subject to an Award or a Preexisting Plan Award which for any reason expires without having been exercised, is canceled or terminated or otherwise is settled without the issuance of any Stock shall be available for grant under the Plan (and any such shares of Stock subject to a Preexisting Plan Award shall no longer be available for grant under a Preexisting plan); provided, however, that (i) vested shares of Stock that are repurchased after being issued from the Plan (or Preexisting Plan), (ii) shares of Stock otherwise issuable or issued in respect of, or as part of, any Award (or Preexisting Plan Award) that are withheld to cover applicable taxes and (iii) shares of Stock that are tendered to exercise outstanding Options or other Awards (or Preexisting Plan Awards) or to cover applicable taxes shall not be available for future issuance under the Plan. If a Stock Appreciation Right is granted in tandem with an Option so that only one may be exercised with the other being surrendered in such exercise in accordance with Section 8(b), the number of shares subject to the tandem Option and Stock Appreciation Right shall only be taken into account once (and not as to both Awards). Shares of Stock subject to Awards that are assumed, converted or substituted pursuant to an Adjustment Event will not further reduce the maximum limitation set forth in Section 4(a).</w:t>
      </w:r>
    </w:p>
    <w:p>
      <w:pPr>
        <w:spacing w:after="0" w:line="80" w:lineRule="exact"/>
        <w:rPr>
          <w:rFonts w:ascii="Times New Roman" w:cs="Times New Roman" w:eastAsia="Times New Roman" w:hAnsi="Times New Roman"/>
          <w:sz w:val="20"/>
          <w:szCs w:val="20"/>
          <w:color w:val="auto"/>
        </w:rPr>
      </w:pPr>
    </w:p>
    <w:p>
      <w:pPr>
        <w:ind w:left="740" w:hanging="301"/>
        <w:spacing w:after="0"/>
        <w:tabs>
          <w:tab w:leader="none" w:pos="7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65" w:lineRule="exact"/>
        <w:rPr>
          <w:rFonts w:ascii="Times New Roman" w:cs="Times New Roman" w:eastAsia="Times New Roman" w:hAnsi="Times New Roman"/>
          <w:sz w:val="22"/>
          <w:szCs w:val="22"/>
          <w:color w:val="auto"/>
        </w:rPr>
      </w:pPr>
    </w:p>
    <w:p>
      <w:pPr>
        <w:ind w:right="180" w:firstLine="439"/>
        <w:spacing w:after="0" w:line="270" w:lineRule="auto"/>
        <w:tabs>
          <w:tab w:leader="none" w:pos="73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Director Award Limitations</w:t>
      </w:r>
      <w:r>
        <w:rPr>
          <w:rFonts w:ascii="Times New Roman" w:cs="Times New Roman" w:eastAsia="Times New Roman" w:hAnsi="Times New Roman"/>
          <w:sz w:val="22"/>
          <w:szCs w:val="22"/>
          <w:color w:val="auto"/>
        </w:rPr>
        <w:t>. Subject to Sections 4(b) and 4(f), the maximum aggregate grant date fair value of Awards granted to an Eligible Director as compensation for services as an Eligible Director in any one year is as follows:</w:t>
      </w:r>
    </w:p>
    <w:p>
      <w:pPr>
        <w:spacing w:after="0" w:line="105" w:lineRule="exact"/>
        <w:rPr>
          <w:rFonts w:ascii="Times New Roman" w:cs="Times New Roman" w:eastAsia="Times New Roman" w:hAnsi="Times New Roman"/>
          <w:sz w:val="22"/>
          <w:szCs w:val="22"/>
          <w:color w:val="auto"/>
        </w:rPr>
      </w:pPr>
    </w:p>
    <w:p>
      <w:pPr>
        <w:ind w:left="1120" w:hanging="249"/>
        <w:spacing w:after="0"/>
        <w:tabs>
          <w:tab w:leader="none" w:pos="112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Eligible Director who is not the Chairman of the Board, a maximum of $250,000 in any one year; and</w:t>
      </w:r>
    </w:p>
    <w:p>
      <w:pPr>
        <w:spacing w:after="0" w:line="151" w:lineRule="exact"/>
        <w:rPr>
          <w:rFonts w:ascii="Times New Roman" w:cs="Times New Roman" w:eastAsia="Times New Roman" w:hAnsi="Times New Roman"/>
          <w:sz w:val="22"/>
          <w:szCs w:val="22"/>
          <w:color w:val="auto"/>
        </w:rPr>
      </w:pPr>
    </w:p>
    <w:p>
      <w:pPr>
        <w:ind w:left="1180" w:hanging="309"/>
        <w:spacing w:after="0"/>
        <w:tabs>
          <w:tab w:leader="none" w:pos="11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Eligible Director who is the Chairman of the Board, a maximum of $350,000 in any one year.</w:t>
      </w:r>
    </w:p>
    <w:p>
      <w:pPr>
        <w:spacing w:after="0" w:line="165" w:lineRule="exact"/>
        <w:rPr>
          <w:sz w:val="20"/>
          <w:szCs w:val="20"/>
          <w:color w:val="auto"/>
        </w:rPr>
      </w:pPr>
    </w:p>
    <w:p>
      <w:pPr>
        <w:ind w:right="300" w:firstLine="432"/>
        <w:spacing w:after="0" w:line="283" w:lineRule="auto"/>
        <w:rPr>
          <w:sz w:val="20"/>
          <w:szCs w:val="20"/>
          <w:color w:val="auto"/>
        </w:rPr>
      </w:pPr>
      <w:r>
        <w:rPr>
          <w:rFonts w:ascii="Times New Roman" w:cs="Times New Roman" w:eastAsia="Times New Roman" w:hAnsi="Times New Roman"/>
          <w:sz w:val="22"/>
          <w:szCs w:val="22"/>
          <w:color w:val="auto"/>
        </w:rPr>
        <w:t>Notwithstanding the foregoing, this limitation does not apply to Awards granted at the election of the Eligible Director in lieu of all or a portion of annual and committee cash retainers.</w:t>
      </w:r>
    </w:p>
    <w:p>
      <w:pPr>
        <w:spacing w:after="0" w:line="78" w:lineRule="exact"/>
        <w:rPr>
          <w:sz w:val="20"/>
          <w:szCs w:val="20"/>
          <w:color w:val="auto"/>
        </w:rPr>
      </w:pPr>
    </w:p>
    <w:p>
      <w:pPr>
        <w:ind w:right="60" w:firstLine="439"/>
        <w:spacing w:after="0" w:line="262" w:lineRule="auto"/>
        <w:tabs>
          <w:tab w:leader="none" w:pos="72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Vesting Requirements</w:t>
      </w:r>
      <w:r>
        <w:rPr>
          <w:rFonts w:ascii="Times New Roman" w:cs="Times New Roman" w:eastAsia="Times New Roman" w:hAnsi="Times New Roman"/>
          <w:sz w:val="22"/>
          <w:szCs w:val="22"/>
          <w:color w:val="auto"/>
        </w:rPr>
        <w:t>. Except for any accelerated vesting permitted under Section 13 or upon the death, Disability or retirement of a Participant, and subject to such additional vesting requirements or conditions as the Committee may establish with respect to an Award, each Award shall be subject to a minimum vesting period of one year from the date of grant. Notwithstanding the preceding sentence, the minimum vesting requirements shall not apply to Awards involving an aggregate number of shares not in excess of 5% of the Share Reserve.</w:t>
      </w:r>
    </w:p>
    <w:p>
      <w:pPr>
        <w:spacing w:after="0" w:line="102" w:lineRule="exact"/>
        <w:rPr>
          <w:rFonts w:ascii="Times New Roman" w:cs="Times New Roman" w:eastAsia="Times New Roman" w:hAnsi="Times New Roman"/>
          <w:sz w:val="22"/>
          <w:szCs w:val="22"/>
          <w:color w:val="auto"/>
        </w:rPr>
      </w:pPr>
    </w:p>
    <w:p>
      <w:pPr>
        <w:ind w:firstLine="439"/>
        <w:spacing w:after="0" w:line="258" w:lineRule="auto"/>
        <w:tabs>
          <w:tab w:leader="none" w:pos="70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in Capitalization</w:t>
      </w:r>
      <w:r>
        <w:rPr>
          <w:rFonts w:ascii="Times New Roman" w:cs="Times New Roman" w:eastAsia="Times New Roman" w:hAnsi="Times New Roman"/>
          <w:sz w:val="22"/>
          <w:szCs w:val="22"/>
          <w:color w:val="auto"/>
        </w:rPr>
        <w:t>. The number and kind of shares of Stock available for issuance under the Plan and the number, class, exercise price, Performance Goals or other terms of any outstanding Award shall be adjusted by the Board to reflect any extraordinary dividend or distribution, stock dividend, stock split or share combination or any reorganization, recapitalization, business combination, merger, consolidation, spin-off, exchange of shares, liquidation or dissolution of the Company or other similar transaction or event affecting the Stock (any such transaction or event, an “</w:t>
      </w:r>
      <w:r>
        <w:rPr>
          <w:rFonts w:ascii="Times New Roman" w:cs="Times New Roman" w:eastAsia="Times New Roman" w:hAnsi="Times New Roman"/>
          <w:sz w:val="22"/>
          <w:szCs w:val="22"/>
          <w:u w:val="single" w:color="auto"/>
          <w:color w:val="auto"/>
        </w:rPr>
        <w:t>Adjustment Event</w:t>
      </w:r>
      <w:r>
        <w:rPr>
          <w:rFonts w:ascii="Times New Roman" w:cs="Times New Roman" w:eastAsia="Times New Roman" w:hAnsi="Times New Roman"/>
          <w:sz w:val="22"/>
          <w:szCs w:val="22"/>
          <w:color w:val="auto"/>
        </w:rPr>
        <w:t>”) in such manner as it determines in its sole discretion.</w:t>
      </w:r>
    </w:p>
    <w:p>
      <w:pPr>
        <w:spacing w:after="0" w:line="87"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55" w:name="page56"/>
    <w:bookmarkEnd w:id="55"/>
    <w:p>
      <w:pPr>
        <w:ind w:left="-20" w:firstLine="439"/>
        <w:spacing w:after="0" w:line="262" w:lineRule="auto"/>
        <w:tabs>
          <w:tab w:leader="none" w:pos="71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Against Repricing</w:t>
      </w:r>
      <w:r>
        <w:rPr>
          <w:rFonts w:ascii="Times New Roman" w:cs="Times New Roman" w:eastAsia="Times New Roman" w:hAnsi="Times New Roman"/>
          <w:sz w:val="22"/>
          <w:szCs w:val="22"/>
          <w:color w:val="auto"/>
        </w:rPr>
        <w:t>. Except to the extent (i) approved in advance by holders of a majority of the shares of the Company entitled to vote generally in the election of directors or (ii) as a result of any Adjustment Event, the Committee shall not have the power or authority to reduce, whether through amendment or otherwise, the exercise price of any outstanding Option or base price of any outstanding Stock Appreciation Right or to grant any new Award, or make any cash payment, in substitution for or upon the cancellation of Options or Stock Appreciation Rights previously granted.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5. PERFORMANCE AWARDS</w:t>
      </w:r>
    </w:p>
    <w:p>
      <w:pPr>
        <w:spacing w:after="0" w:line="152" w:lineRule="exact"/>
        <w:rPr>
          <w:sz w:val="20"/>
          <w:szCs w:val="20"/>
          <w:color w:val="auto"/>
        </w:rPr>
      </w:pPr>
    </w:p>
    <w:p>
      <w:pPr>
        <w:ind w:left="-20" w:right="80" w:firstLine="439"/>
        <w:spacing w:after="0" w:line="256" w:lineRule="auto"/>
        <w:tabs>
          <w:tab w:leader="none" w:pos="70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Committee shall have the authority to determine the Participants who shall receive Performance Awards, the number and type of Performance Awards and the number of shares of Stock and/or value of Performance Units or other cash-based Performance Award each Participant receives for each or any Performance Cycle, and the Performance Goals applicable in respect of such Performance Awards. Any adjustments to such Performance Goals shall be approved by the Committee. The Committee shall determine the duration of each Performance Cycle (the duration of Performance Cycles may differ from each other), and there may be more than one Performance Cycle in existence at any one time. Performance Awards shall be evidenced by an Award Agreement that shall specify the kind of Award, the number of shares of Stock and/or value of Awards awarded to the Participant, the Performance Goals applicable thereto, and such other terms and conditions not inconsistent with the Plan as the Committee shall determine. No shares of Stock will be issued at the time an Award of Performance Shares is made, and the Company shall not be required to set aside a fund for the payment of Performance Shares, Performance Units or other Performance Awards.</w:t>
      </w:r>
    </w:p>
    <w:p>
      <w:pPr>
        <w:spacing w:after="0" w:line="119" w:lineRule="exact"/>
        <w:rPr>
          <w:rFonts w:ascii="Times New Roman" w:cs="Times New Roman" w:eastAsia="Times New Roman" w:hAnsi="Times New Roman"/>
          <w:sz w:val="22"/>
          <w:szCs w:val="22"/>
          <w:color w:val="auto"/>
        </w:rPr>
      </w:pPr>
    </w:p>
    <w:p>
      <w:pPr>
        <w:ind w:left="-20" w:right="140" w:firstLine="439"/>
        <w:spacing w:after="0" w:line="258" w:lineRule="auto"/>
        <w:tabs>
          <w:tab w:leader="none" w:pos="71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Earned Performance Awards</w:t>
      </w:r>
      <w:r>
        <w:rPr>
          <w:rFonts w:ascii="Times New Roman" w:cs="Times New Roman" w:eastAsia="Times New Roman" w:hAnsi="Times New Roman"/>
          <w:sz w:val="22"/>
          <w:szCs w:val="22"/>
          <w:color w:val="auto"/>
        </w:rPr>
        <w:t>. Performance Awards shall become earned, in whole or in part, based upon the attainment of specified Performance Goals or the occurrence of any event or events, including a Change in Control, as the Committee shall determine, either before, at or after the grant date. In addition to the achievement of the specified Performance Goals, the Committee may, at the grant date, condition payment of Performance Awards on such conditions as the Committee shall specify. The Committee may also require the completion of a minimum period of service (in addition to the achievement of any applicable Performance Goals) as a condition to the vesting of any Performance Award.</w:t>
      </w:r>
    </w:p>
    <w:p>
      <w:pPr>
        <w:spacing w:after="0" w:line="121" w:lineRule="exact"/>
        <w:rPr>
          <w:rFonts w:ascii="Times New Roman" w:cs="Times New Roman" w:eastAsia="Times New Roman" w:hAnsi="Times New Roman"/>
          <w:sz w:val="22"/>
          <w:szCs w:val="22"/>
          <w:color w:val="auto"/>
        </w:rPr>
      </w:pPr>
    </w:p>
    <w:p>
      <w:pPr>
        <w:ind w:left="-20" w:right="40" w:firstLine="439"/>
        <w:spacing w:after="0" w:line="284" w:lineRule="auto"/>
        <w:tabs>
          <w:tab w:leader="none" w:pos="70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At the discretion of the Committee, Performance Goals may be based upon the relative or comparative attainment of one or more of the following criteria, whether in absolute terms or relative to the performance of one or more similarly situated companies or a published index covering multiple companies, and whether gross or net, before or after taxes, and/or before or after other adjustments, as determined by the Committee for the Performance Cycle: enterprise value, total return to the Company’s shareholders (inclusive of dividends paid), operating earnings, net earnings, revenues, sales, basic or diluted earnings per share, earnings before interest and taxes, earnings before interest and taxes or earnings before interest, taxes, depreciation and/or amortization, earnings before interest and taxes or earnings before interest, taxes, depreciation and/or amortization minus capital expenditures, increase in the Company’s earnings or basic or diluted earnings per share, revenue growth, share price performance, return on invested capital, assets, equity or sales, operating income, income, net</w:t>
      </w:r>
    </w:p>
    <w:p>
      <w:pPr>
        <w:spacing w:after="0" w:line="6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205105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8" w:right="339" w:bottom="1440" w:gutter="0" w:footer="0" w:header="0"/>
        </w:sectPr>
      </w:pPr>
    </w:p>
    <w:bookmarkStart w:id="56" w:name="page57"/>
    <w:bookmarkEnd w:id="56"/>
    <w:p>
      <w:pPr>
        <w:spacing w:after="0" w:line="255" w:lineRule="auto"/>
        <w:rPr>
          <w:sz w:val="20"/>
          <w:szCs w:val="20"/>
          <w:color w:val="auto"/>
        </w:rPr>
      </w:pPr>
      <w:r>
        <w:rPr>
          <w:rFonts w:ascii="Times New Roman" w:cs="Times New Roman" w:eastAsia="Times New Roman" w:hAnsi="Times New Roman"/>
          <w:sz w:val="22"/>
          <w:szCs w:val="22"/>
          <w:color w:val="auto"/>
        </w:rPr>
        <w:t>income, economic value added, profit margins, cash flow, cash flow on investment, free cash flow, improvement in or attainment of expense levels, capital expenditure levels and/or working capital levels, budget and expense management, debt reduction, gross profit, market share, cost reductions, workplace health and/or safety goals, workforce satisfaction goals, sales goals, diversity goals, employee retention, completion of key projects, planes under contract or memoranda of understanding, strategic plan development and implementation and/or achievement of synergy targets, and, in the case of persons who are not Executive Officers, such other criteria as may be determined by the Committee. Performance Goals may be established on a Company-wide basis or with respect to one or more business units, divisions, Subsidiaries, or products; and in either absolute terms or relative to the performance of one or more comparable companies or an index covering multiple companies. When establishing Performance Goals for a Performance Cycle, the Committee may exclude any or all “unusual or infrequently occurring” as determined under U.S. generally accepted accounting principles and as identified in the financial statements, notes to the financial statements or management’s discussion and analysis in the annual report, including, without limitation, the charges or costs associated with restructurings of the Company or any Employer, discontinued operations, unusual or infrequently occurring items, capital gains and losses, dividends, share repurchase, other unusual, infrequently occurring or non-recurring items, and the cumulative effects of accounting changes. The Committee may also adjust the Performance Goals for any Performance Cycle as it deems equitable in recognition of unusual or non-recurring events affecting the Company, changes in applicable tax laws or accounting principles, or such other factors as the Committee may determine (including, without limitation, any adjustments that would result in the Company paying non-deductible compensation to a Participant).</w:t>
      </w:r>
    </w:p>
    <w:p>
      <w:pPr>
        <w:spacing w:after="0" w:line="123" w:lineRule="exact"/>
        <w:rPr>
          <w:sz w:val="20"/>
          <w:szCs w:val="20"/>
          <w:color w:val="auto"/>
        </w:rPr>
      </w:pPr>
    </w:p>
    <w:p>
      <w:pPr>
        <w:ind w:left="740" w:hanging="301"/>
        <w:spacing w:after="0"/>
        <w:tabs>
          <w:tab w:leader="none" w:pos="7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65" w:lineRule="exact"/>
        <w:rPr>
          <w:rFonts w:ascii="Times New Roman" w:cs="Times New Roman" w:eastAsia="Times New Roman" w:hAnsi="Times New Roman"/>
          <w:sz w:val="22"/>
          <w:szCs w:val="22"/>
          <w:color w:val="auto"/>
        </w:rPr>
      </w:pPr>
    </w:p>
    <w:p>
      <w:pPr>
        <w:ind w:right="60" w:firstLine="439"/>
        <w:spacing w:after="0" w:line="259" w:lineRule="auto"/>
        <w:tabs>
          <w:tab w:leader="none" w:pos="72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Discretion</w:t>
      </w:r>
      <w:r>
        <w:rPr>
          <w:rFonts w:ascii="Times New Roman" w:cs="Times New Roman" w:eastAsia="Times New Roman" w:hAnsi="Times New Roman"/>
          <w:sz w:val="22"/>
          <w:szCs w:val="22"/>
          <w:color w:val="auto"/>
        </w:rPr>
        <w:t>. Notwithstanding anything in this Section 5 to the contrary, the Committee shall have the right, in its absolute discretion, (i) to reduce or eliminate the amount otherwise payable to any Participant under Section 5(h) based on individual performance or any other factors that the Committee, in its discretion, shall deem appropriate and (ii) to establish rules or procedures that have the effect of limiting the amount payable to each Participant to an amount that is less than the maximum amount otherwise authorized.</w:t>
      </w:r>
    </w:p>
    <w:p>
      <w:pPr>
        <w:spacing w:after="0" w:line="118" w:lineRule="exact"/>
        <w:rPr>
          <w:rFonts w:ascii="Times New Roman" w:cs="Times New Roman" w:eastAsia="Times New Roman" w:hAnsi="Times New Roman"/>
          <w:sz w:val="22"/>
          <w:szCs w:val="22"/>
          <w:color w:val="auto"/>
        </w:rPr>
      </w:pPr>
    </w:p>
    <w:p>
      <w:pPr>
        <w:ind w:right="340" w:firstLine="439"/>
        <w:spacing w:after="0" w:line="260" w:lineRule="auto"/>
        <w:tabs>
          <w:tab w:leader="none" w:pos="70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Discretion</w:t>
      </w:r>
      <w:r>
        <w:rPr>
          <w:rFonts w:ascii="Times New Roman" w:cs="Times New Roman" w:eastAsia="Times New Roman" w:hAnsi="Times New Roman"/>
          <w:sz w:val="22"/>
          <w:szCs w:val="22"/>
          <w:color w:val="auto"/>
        </w:rPr>
        <w:t>. Notwithstanding any other provision in the Plan to the contrary, but subject to the maximum number of shares available for issuance under Section 4(a) of the Plan, the Committee shall have the right, in its discretion, to grant a bonus in cash, in shares of Stock or in any combination thereof, to any Participant, based on individual performance or any other criteria that the Committee deems appropriate.</w:t>
      </w:r>
    </w:p>
    <w:p>
      <w:pPr>
        <w:spacing w:after="0" w:line="117" w:lineRule="exact"/>
        <w:rPr>
          <w:rFonts w:ascii="Times New Roman" w:cs="Times New Roman" w:eastAsia="Times New Roman" w:hAnsi="Times New Roman"/>
          <w:sz w:val="22"/>
          <w:szCs w:val="22"/>
          <w:color w:val="auto"/>
        </w:rPr>
      </w:pPr>
    </w:p>
    <w:p>
      <w:pPr>
        <w:ind w:right="80" w:firstLine="439"/>
        <w:spacing w:after="0" w:line="260" w:lineRule="auto"/>
        <w:tabs>
          <w:tab w:leader="none" w:pos="73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 of Attainment of Performance Goals</w:t>
      </w:r>
      <w:r>
        <w:rPr>
          <w:rFonts w:ascii="Times New Roman" w:cs="Times New Roman" w:eastAsia="Times New Roman" w:hAnsi="Times New Roman"/>
          <w:sz w:val="22"/>
          <w:szCs w:val="22"/>
          <w:color w:val="auto"/>
        </w:rPr>
        <w:t>. As soon as practicable after the end of a Performance Cycle and prior to any payment or vesting in respect of such Performance Cycle, the Committee shall certify in writing the number of Performance Shares or other Performance Awards and the number and value of Performance Units which have been earned or vested on the basis of performance in relation to the established Performance Goals.</w:t>
      </w:r>
    </w:p>
    <w:p>
      <w:pPr>
        <w:spacing w:after="0" w:line="117" w:lineRule="exact"/>
        <w:rPr>
          <w:rFonts w:ascii="Times New Roman" w:cs="Times New Roman" w:eastAsia="Times New Roman" w:hAnsi="Times New Roman"/>
          <w:sz w:val="22"/>
          <w:szCs w:val="22"/>
          <w:color w:val="auto"/>
        </w:rPr>
      </w:pPr>
    </w:p>
    <w:p>
      <w:pPr>
        <w:ind w:right="120" w:firstLine="439"/>
        <w:spacing w:after="0" w:line="283" w:lineRule="auto"/>
        <w:tabs>
          <w:tab w:leader="none" w:pos="73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Awards</w:t>
      </w:r>
      <w:r>
        <w:rPr>
          <w:rFonts w:ascii="Times New Roman" w:cs="Times New Roman" w:eastAsia="Times New Roman" w:hAnsi="Times New Roman"/>
          <w:sz w:val="22"/>
          <w:szCs w:val="22"/>
          <w:color w:val="auto"/>
        </w:rPr>
        <w:t>. Payment or delivery of Stock with respect to earned Performance Awards shall be distributed to the Participant or, if the Participant has died, to the Participant’s</w:t>
      </w:r>
    </w:p>
    <w:p>
      <w:pPr>
        <w:spacing w:after="0" w:line="4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ind w:right="40"/>
        <w:spacing w:after="0" w:line="257" w:lineRule="auto"/>
        <w:rPr>
          <w:sz w:val="20"/>
          <w:szCs w:val="20"/>
          <w:color w:val="auto"/>
        </w:rPr>
      </w:pPr>
      <w:r>
        <w:rPr>
          <w:rFonts w:ascii="Times New Roman" w:cs="Times New Roman" w:eastAsia="Times New Roman" w:hAnsi="Times New Roman"/>
          <w:sz w:val="22"/>
          <w:szCs w:val="22"/>
          <w:color w:val="auto"/>
        </w:rPr>
        <w:t>Designated Beneficiary, as soon as practicable after the expiration of the Performance Cycle and the Committee’s certification under paragraph 5(g) above, provided that payment or delivery of Stock with respect to earned Performance Awards shall not be distributed to a Participant until any other conditions on payment of such Awards established by the Committee have been satisfied. The Committee shall determine whether earned Performance Awards are distributed in the form of cash, shares of Stock or in a combination thereof, with the value or number of shares payable to be determined based on the Fair Market Value of the Stock on the date of the Committee’s certification under paragraph 5(g) above. The Committee shall have the right to impose whatever conditions it deems appropriate with respect to the award or delivery of shares of Stock, including conditioning the vesting of such shares on the performance of additional service.</w:t>
      </w:r>
    </w:p>
    <w:p>
      <w:pPr>
        <w:spacing w:after="0" w:line="125" w:lineRule="exact"/>
        <w:rPr>
          <w:sz w:val="20"/>
          <w:szCs w:val="20"/>
          <w:color w:val="auto"/>
        </w:rPr>
      </w:pPr>
    </w:p>
    <w:p>
      <w:pPr>
        <w:jc w:val="both"/>
        <w:ind w:right="20" w:firstLine="439"/>
        <w:spacing w:after="0" w:line="263" w:lineRule="auto"/>
        <w:tabs>
          <w:tab w:leader="none" w:pos="68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Newly Eligible Participants</w:t>
      </w:r>
      <w:r>
        <w:rPr>
          <w:rFonts w:ascii="Times New Roman" w:cs="Times New Roman" w:eastAsia="Times New Roman" w:hAnsi="Times New Roman"/>
          <w:sz w:val="22"/>
          <w:szCs w:val="22"/>
          <w:color w:val="auto"/>
        </w:rPr>
        <w:t>. Notwithstanding anything in this Section 5 to the contrary, the Committee shall be entitled to make such rules, determinations, and adjustments as it deems appropriate with respect to any Participant who becomes eligible to receive Performance Awards after the commencement of a Performance Cycle.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6. RESTRICTED STOCK AND RESTRICTED STOCK UNITS</w:t>
      </w:r>
    </w:p>
    <w:p>
      <w:pPr>
        <w:spacing w:after="0" w:line="165" w:lineRule="exact"/>
        <w:rPr>
          <w:sz w:val="20"/>
          <w:szCs w:val="20"/>
          <w:color w:val="auto"/>
        </w:rPr>
      </w:pPr>
    </w:p>
    <w:p>
      <w:pPr>
        <w:ind w:firstLine="439"/>
        <w:spacing w:after="0" w:line="256" w:lineRule="auto"/>
        <w:tabs>
          <w:tab w:leader="none" w:pos="72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Restricted Stock and Restricted Stock Units may be granted to Participants at such time or times as shall be determined by the Committee. The grant date of any Restricted Stock or Restricted Stock Units under the Plan will be the date on which such Restricted Stock or Restricted Stock Units are awarded by the Committee, or on such other date as the Committee shall determine. Restricted Stock and Restricted Stock Units shall be evidenced by an Award Agreement that shall specify (i) the number of shares of Restricted Stock and the number of Restricted Stock Units to be granted to each Participant, (ii) the Restriction Period(s) and (iii) such other terms and conditions, including rights to dividends or Dividend Equivalents, not inconsistent with the Plan as the Committee shall determine, including customary representations, warranties and covenants with respect to securities law matters. Grants of Restricted Stock shall be evidenced by issuance of certificates representing the shares registered in the name of the Participant or a bookkeeping entry in the Company’s records (or by such other reasonable method as the Company shall determine from time to time). No shares of Stock will be issued at the time an Award of Restricted Stock Units is made and the Company shall not be required to set aside a fund for the payment of any such Awards.</w:t>
      </w:r>
    </w:p>
    <w:p>
      <w:pPr>
        <w:spacing w:after="0" w:line="119" w:lineRule="exact"/>
        <w:rPr>
          <w:rFonts w:ascii="Times New Roman" w:cs="Times New Roman" w:eastAsia="Times New Roman" w:hAnsi="Times New Roman"/>
          <w:sz w:val="22"/>
          <w:szCs w:val="22"/>
          <w:color w:val="auto"/>
        </w:rPr>
      </w:pPr>
    </w:p>
    <w:p>
      <w:pPr>
        <w:ind w:left="740" w:hanging="301"/>
        <w:spacing w:after="0"/>
        <w:tabs>
          <w:tab w:leader="none" w:pos="7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Restricted Stock and Restricted Stock Units granted to Participants under the Plan shall be subject to a</w:t>
      </w:r>
    </w:p>
    <w:p>
      <w:pPr>
        <w:spacing w:after="0" w:line="29" w:lineRule="exact"/>
        <w:rPr>
          <w:rFonts w:ascii="Times New Roman" w:cs="Times New Roman" w:eastAsia="Times New Roman" w:hAnsi="Times New Roman"/>
          <w:sz w:val="22"/>
          <w:szCs w:val="22"/>
          <w:color w:val="auto"/>
        </w:rPr>
      </w:pPr>
    </w:p>
    <w:p>
      <w:pPr>
        <w:ind w:right="2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 Period. Except as otherwise determined by the Committee at or after grant, and subject to the Participant’s continued employment with the Company on such date, the Restriction Period shall lapse in accordance with the schedule provided in the Participant’s Award Agreement. In its discretion, the Committee may also establish performance-based vesting conditions with respect to Awards of Restricted Stock and Restricted Stock Units (in lieu of, or in addition to, time-based vesting) based on one or more of the Performance Goals listed in Section 5(c).</w:t>
      </w:r>
    </w:p>
    <w:p>
      <w:pPr>
        <w:spacing w:after="0" w:line="108" w:lineRule="exact"/>
        <w:rPr>
          <w:rFonts w:ascii="Times New Roman" w:cs="Times New Roman" w:eastAsia="Times New Roman" w:hAnsi="Times New Roman"/>
          <w:sz w:val="22"/>
          <w:szCs w:val="22"/>
          <w:color w:val="auto"/>
        </w:rPr>
      </w:pPr>
    </w:p>
    <w:p>
      <w:pPr>
        <w:ind w:right="80" w:firstLine="439"/>
        <w:spacing w:after="0" w:line="269" w:lineRule="auto"/>
        <w:tabs>
          <w:tab w:leader="none" w:pos="72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Restricted Stock and Restricted Stock Units</w:t>
      </w:r>
      <w:r>
        <w:rPr>
          <w:rFonts w:ascii="Times New Roman" w:cs="Times New Roman" w:eastAsia="Times New Roman" w:hAnsi="Times New Roman"/>
          <w:sz w:val="22"/>
          <w:szCs w:val="22"/>
          <w:color w:val="auto"/>
        </w:rPr>
        <w:t>. At the expiration of the Restriction Period for any Restricted Stock Awards, the Company shall remove the restrictions applicable to share certificates or the bookkeeping entry evidencing the Restricted Stock Awards,</w:t>
      </w:r>
    </w:p>
    <w:p>
      <w:pPr>
        <w:spacing w:after="0" w:line="7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spacing w:after="0" w:line="262" w:lineRule="auto"/>
        <w:rPr>
          <w:sz w:val="20"/>
          <w:szCs w:val="20"/>
          <w:color w:val="auto"/>
        </w:rPr>
      </w:pPr>
      <w:r>
        <w:rPr>
          <w:rFonts w:ascii="Times New Roman" w:cs="Times New Roman" w:eastAsia="Times New Roman" w:hAnsi="Times New Roman"/>
          <w:sz w:val="22"/>
          <w:szCs w:val="22"/>
          <w:color w:val="auto"/>
        </w:rPr>
        <w:t>and shall, upon request, deliver the stock certificates evidencing such Restricted Stock Awards to the Participant or the Participant’s legal representative (or otherwise evidence the issuance of such shares free of any restrictions imposed under the Plan). At the expiration of the Restriction Period for any Restricted Stock Units, for each such Restricted Stock Unit, the Participant shall receive, in the Committee’s discretion, (i) a cash payment equal to the Fair Market Value of one share of Stock as of such payment date, (ii) one share of Stock or (iii) any combination of cash and shares of Stock.</w:t>
      </w:r>
    </w:p>
    <w:p>
      <w:pPr>
        <w:spacing w:after="0" w:line="102" w:lineRule="exact"/>
        <w:rPr>
          <w:sz w:val="20"/>
          <w:szCs w:val="20"/>
          <w:color w:val="auto"/>
        </w:rPr>
      </w:pPr>
    </w:p>
    <w:p>
      <w:pPr>
        <w:jc w:val="both"/>
        <w:ind w:right="60" w:firstLine="439"/>
        <w:spacing w:after="0" w:line="265" w:lineRule="auto"/>
        <w:tabs>
          <w:tab w:leader="none" w:pos="73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Except as provided herein or in an Award Agreement, shares of Restricted Stock and Restricted Stock Units may not be sold, assigned, transferred, pledged, hedged or otherwise encumbered during the Restriction Period. Any such attempt by the Participant to sell, assign, transfer, pledge, hedge or encumber shares of Restricted Stock and Restricted Stock Units without complying with the provisions of the Plan shall be void and of no effect.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7. STOCK OPTIONS</w:t>
      </w:r>
    </w:p>
    <w:p>
      <w:pPr>
        <w:spacing w:after="0" w:line="152" w:lineRule="exact"/>
        <w:rPr>
          <w:sz w:val="20"/>
          <w:szCs w:val="20"/>
          <w:color w:val="auto"/>
        </w:rPr>
      </w:pPr>
    </w:p>
    <w:p>
      <w:pPr>
        <w:ind w:firstLine="439"/>
        <w:spacing w:after="0" w:line="256" w:lineRule="auto"/>
        <w:tabs>
          <w:tab w:leader="none" w:pos="72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Committee may, in its discretion, grant Options to purchase shares of Stock to such eligible persons as may be selected by the Committee. Each Option, or portion thereof, that is not an Incentive Stock Option shall be a Non-Statutory Stock Option. An Incentive Stock Option may not be granted to any person who is not an employee of the Company or any parent or subsidiary (as defined in Section 424 of the Code). Each Incentive Stock Option shall be granted within ten years of the date this Plan is adopted by the Board. The aggregate Fair Market Value of the shares of Stock with respect to which Incentive Stock Options are exercisable for the first time by a Participant during any calendar year shall not exceed $100,000 or such higher limit as may be permitted under Section 422 of the Code. To the extent that the aggregate Fair Market Value (determined as of the date of grant) of shares of Stock with respect to which Options designated as Incentive Stock Options are exercisable for the first time by a participant during any calendar year (under this Plan or any other plan of the Company or any parent or subsidiary as defined in Section 424 of the Code) exceeds $100,000 or such higher limit established by the Code, such Options shall constitute Non-Statutory Stock Options. Each Option shall be evidenced by an Award Agreement that shall specify the number of shares of Stock subject to such Option, the exercise price associated with the Option, the time and conditions of exercise of the Option and all other terms and conditions of the Option.</w:t>
      </w:r>
    </w:p>
    <w:p>
      <w:pPr>
        <w:spacing w:after="0" w:line="119" w:lineRule="exact"/>
        <w:rPr>
          <w:rFonts w:ascii="Times New Roman" w:cs="Times New Roman" w:eastAsia="Times New Roman" w:hAnsi="Times New Roman"/>
          <w:sz w:val="22"/>
          <w:szCs w:val="22"/>
          <w:color w:val="auto"/>
        </w:rPr>
      </w:pPr>
    </w:p>
    <w:p>
      <w:pPr>
        <w:ind w:right="60" w:firstLine="439"/>
        <w:spacing w:after="0" w:line="257" w:lineRule="auto"/>
        <w:tabs>
          <w:tab w:leader="none" w:pos="73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 and Purchase Price</w:t>
      </w:r>
      <w:r>
        <w:rPr>
          <w:rFonts w:ascii="Times New Roman" w:cs="Times New Roman" w:eastAsia="Times New Roman" w:hAnsi="Times New Roman"/>
          <w:sz w:val="22"/>
          <w:szCs w:val="22"/>
          <w:color w:val="auto"/>
        </w:rPr>
        <w:t>. The number of shares of Stock subject to an Option and the purchase price per share of Stock purchasable upon exercise of the Option shall be determined by the Committee; provided, however, that the purchase price per share of Stock purchasable upon exercise of an Option shall not be less than 100% of the Fair Market Value of a share of Stock on the date of grant of such Option; provided further, that if an Incentive Stock Option shall be granted to any person who, at the time such Option is granted, owns capital stock possessing more than ten percent of the total combined voting power of all classes of capital stock of the Company (or of any parent or subsidiary as defined in Section 424 of the Code) (a “Ten Percent Holder”), the purchase price per share of Stock shall be the price (currently 110% of Fair Market Value) required by the Code in order to constitute an Incentive Stock Option.</w:t>
      </w:r>
    </w:p>
    <w:p>
      <w:pPr>
        <w:spacing w:after="0" w:line="7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ind w:right="60" w:firstLine="439"/>
        <w:spacing w:after="0" w:line="261" w:lineRule="auto"/>
        <w:tabs>
          <w:tab w:leader="none" w:pos="72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and Exercisability</w:t>
      </w:r>
      <w:r>
        <w:rPr>
          <w:rFonts w:ascii="Times New Roman" w:cs="Times New Roman" w:eastAsia="Times New Roman" w:hAnsi="Times New Roman"/>
          <w:sz w:val="22"/>
          <w:szCs w:val="22"/>
          <w:color w:val="auto"/>
        </w:rPr>
        <w:t>. The period during which an Option may be exercised shall be determined by the Committee; provided, however, that no Option shall be exercised later than ten years after its date of grant; and provided further, that if an Incentive Stock Option shall be granted to a Ten Percent Holder, such Option shall not be exercised later than five years after its date of grant. The Committee shall determine whether a Stock Option shall become exercisable in cumulative or non-cumulative installments and in part or in full at any time. The Committee may require that an exercisable Option, or portion thereof, be exercised only with respect to whole shares of Stock.</w:t>
      </w:r>
    </w:p>
    <w:p>
      <w:pPr>
        <w:spacing w:after="0" w:line="102" w:lineRule="exact"/>
        <w:rPr>
          <w:rFonts w:ascii="Times New Roman" w:cs="Times New Roman" w:eastAsia="Times New Roman" w:hAnsi="Times New Roman"/>
          <w:sz w:val="22"/>
          <w:szCs w:val="22"/>
          <w:color w:val="auto"/>
        </w:rPr>
      </w:pPr>
    </w:p>
    <w:p>
      <w:pPr>
        <w:ind w:right="20" w:firstLine="439"/>
        <w:spacing w:after="0" w:line="282" w:lineRule="auto"/>
        <w:tabs>
          <w:tab w:leader="none" w:pos="73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An Option may be exercised (i) by giving written notice to the Company specifying the number of shares of Stock to be purchased and by accompanying such notice with a payment therefor in full (or by arranging for such payment to the Company’s satisfaction) and (ii) by executing such documents as the Company may reasonably request. If the Company’s Stock is not listed on an established stock exchange or national market system at the time an Option is exercised, then the option holder shall pay the exercise price of such Option in cash. If the Company’s Stock is listed on an established stock exchange or national market system at the time an option is exercised, then the option holder may pay the exercise price of such Option either (A) in cash, (B) by delivery (either actual delivery or by attestation procedures established by the Company) of shares of Stock having an aggregate Fair Market Value, determined as of the date of exercise, equal to the aggregate purchase price payable by reason of such exercise, (C) authorizing the Company to withhold whole shares of Stock which would otherwise be delivered having an aggregate Fair Market Value, determined as of the date of exercise, equal to the amount necessary to satisfy such obligation, provided that the Committee determines that such withholding of shares does not cause the Company to recognize an increased compensation expense under applicable accounting principles, (D) in cash by a broker-dealer acceptable to the Company to whom the optionee has submitted an irrevocable notice of exercise or (E) a combination of (A), (B), (C) and (D), in each case to the extent set forth in the Award Agreement relating to the Option. The Company shall have sole discretion to disapprove of an election pursuant to any of clauses (B) through (E). Any fraction of a share of Stock which would be required to pay such purchase price shall be disregarded and the remaining amount due shall be paid in cash by the optionee. No certificate representing Stock shall be delivered until the full purchase price therefor and any withholding taxes (as determined, pursuant to Section 15(a)), have been paid (or arrangement made for such payment to the Company’s satisfaction).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8. STOCK APPRECIATION RIGHTS</w:t>
      </w:r>
    </w:p>
    <w:p>
      <w:pPr>
        <w:spacing w:after="0" w:line="165" w:lineRule="exact"/>
        <w:rPr>
          <w:sz w:val="20"/>
          <w:szCs w:val="20"/>
          <w:color w:val="auto"/>
        </w:rPr>
      </w:pPr>
    </w:p>
    <w:p>
      <w:pPr>
        <w:ind w:firstLine="439"/>
        <w:spacing w:after="0" w:line="258" w:lineRule="auto"/>
        <w:tabs>
          <w:tab w:leader="none" w:pos="72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Stock Appreciation Rights may be granted to Participants at such time or times as shall be determined by the Committee. Stock Appreciation Rights may be granted in tandem with Options which, unless otherwise determined by the Committee at or after the grant date, shall have substantially similar terms and conditions to such Options to the extent applicable, or may be granted on a freestanding basis, not related to any Option (“Freestanding SARs”). The grant date of any Stock Appreciation Right under the Plan will be the date on which the Stock Appreciation Right is awarded by the Committee or such other future date as the Committee shall determine in its sole discretion. No Stock Appreciation Right shall be exercisable on or after the tenth anniversary of its grant date. Stock Appreciation Rights shall be evidenced by an</w:t>
      </w:r>
    </w:p>
    <w:p>
      <w:pPr>
        <w:spacing w:after="0" w:line="7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ind w:right="60"/>
        <w:spacing w:after="0" w:line="265" w:lineRule="auto"/>
        <w:rPr>
          <w:sz w:val="20"/>
          <w:szCs w:val="20"/>
          <w:color w:val="auto"/>
        </w:rPr>
      </w:pPr>
      <w:r>
        <w:rPr>
          <w:rFonts w:ascii="Times New Roman" w:cs="Times New Roman" w:eastAsia="Times New Roman" w:hAnsi="Times New Roman"/>
          <w:sz w:val="22"/>
          <w:szCs w:val="22"/>
          <w:color w:val="auto"/>
        </w:rPr>
        <w:t>Award Agreement, whether as part of the Award Agreement governing the terms of the Options, if any, to which such Stock Appreciation Right relates or pursuant to a separate Award Agreement with respect to Freestanding SARs, in each case containing such provisions not inconsistent with the Plan as the Committee shall determine, including customary representations, warranties and covenants with respect to securities law matters.</w:t>
      </w:r>
    </w:p>
    <w:p>
      <w:pPr>
        <w:spacing w:after="0" w:line="96" w:lineRule="exact"/>
        <w:rPr>
          <w:sz w:val="20"/>
          <w:szCs w:val="20"/>
          <w:color w:val="auto"/>
        </w:rPr>
      </w:pPr>
    </w:p>
    <w:p>
      <w:pPr>
        <w:ind w:right="140" w:firstLine="439"/>
        <w:spacing w:after="0" w:line="257" w:lineRule="auto"/>
        <w:tabs>
          <w:tab w:leader="none" w:pos="73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and Exercisability</w:t>
      </w:r>
      <w:r>
        <w:rPr>
          <w:rFonts w:ascii="Times New Roman" w:cs="Times New Roman" w:eastAsia="Times New Roman" w:hAnsi="Times New Roman"/>
          <w:sz w:val="22"/>
          <w:szCs w:val="22"/>
          <w:color w:val="auto"/>
        </w:rPr>
        <w:t>. The period during which a Stock Appreciation Right may be exercised shall be determined by the Committee; provided, however, that no Stock Appreciation Right shall be exercised later than ten years after its date of grant. The Committee shall determine whether a Stock Appreciation Right shall become exercisable in cumulative or non-cumulative installments and in part or in full at any time. Stock Appreciation Rights granted in tandem with an Option shall become exercisable on the same date or dates as the Options with which such Stock Appreciation Rights are associated become exercisable. Stock Appreciation Rights that are granted in tandem with an Option may only be exercised upon the surrender of the right to exercise such Option for an equivalent number of shares of Stock and may be exercised only with respect to the shares of Stock for which the related Option is then exercisable.</w:t>
      </w:r>
    </w:p>
    <w:p>
      <w:pPr>
        <w:spacing w:after="0" w:line="125" w:lineRule="exact"/>
        <w:rPr>
          <w:rFonts w:ascii="Times New Roman" w:cs="Times New Roman" w:eastAsia="Times New Roman" w:hAnsi="Times New Roman"/>
          <w:sz w:val="22"/>
          <w:szCs w:val="22"/>
          <w:color w:val="auto"/>
        </w:rPr>
      </w:pPr>
    </w:p>
    <w:p>
      <w:pPr>
        <w:ind w:firstLine="439"/>
        <w:spacing w:after="0" w:line="260" w:lineRule="auto"/>
        <w:tabs>
          <w:tab w:leader="none" w:pos="72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Subject to Section 13, upon exercise of a Stock Appreciation Right, the Participant shall be entitled to receive payment in the form, determined by the Committee, of cash or shares of Stock having a Fair Market Value equal to such cash amount, or a combination of shares of Stock and cash having an aggregate value equal to such amount, determined by multiplying:</w:t>
      </w:r>
    </w:p>
    <w:p>
      <w:pPr>
        <w:spacing w:after="0" w:line="117" w:lineRule="exact"/>
        <w:rPr>
          <w:rFonts w:ascii="Times New Roman" w:cs="Times New Roman" w:eastAsia="Times New Roman" w:hAnsi="Times New Roman"/>
          <w:sz w:val="22"/>
          <w:szCs w:val="22"/>
          <w:color w:val="auto"/>
        </w:rPr>
      </w:pPr>
    </w:p>
    <w:p>
      <w:pPr>
        <w:ind w:left="760" w:right="280" w:firstLine="111"/>
        <w:spacing w:after="0" w:line="263" w:lineRule="auto"/>
        <w:tabs>
          <w:tab w:leader="none" w:pos="113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increase in the Fair Market Value of one share of Stock on the exercise date over the price fixed by the Committee on the grant date of such Stock Appreciation Right, which may not be less than the Fair Market Value of a share of Stock on the grant date of such Stock Appreciation Right, by</w:t>
      </w:r>
    </w:p>
    <w:p>
      <w:pPr>
        <w:spacing w:after="0" w:line="112" w:lineRule="exact"/>
        <w:rPr>
          <w:rFonts w:ascii="Times New Roman" w:cs="Times New Roman" w:eastAsia="Times New Roman" w:hAnsi="Times New Roman"/>
          <w:sz w:val="22"/>
          <w:szCs w:val="22"/>
          <w:color w:val="auto"/>
        </w:rPr>
      </w:pPr>
    </w:p>
    <w:p>
      <w:pPr>
        <w:ind w:left="1180" w:hanging="309"/>
        <w:spacing w:after="0"/>
        <w:tabs>
          <w:tab w:leader="none" w:pos="11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Stock with respect to which the Stock Appreciation Right is exercised;</w:t>
      </w:r>
    </w:p>
    <w:p>
      <w:pPr>
        <w:spacing w:after="0" w:line="152" w:lineRule="exact"/>
        <w:rPr>
          <w:sz w:val="20"/>
          <w:szCs w:val="20"/>
          <w:color w:val="auto"/>
        </w:rPr>
      </w:pPr>
    </w:p>
    <w:p>
      <w:pPr>
        <w:ind w:right="120" w:firstLine="432"/>
        <w:spacing w:after="0" w:line="283" w:lineRule="auto"/>
        <w:rPr>
          <w:sz w:val="20"/>
          <w:szCs w:val="20"/>
          <w:color w:val="auto"/>
        </w:rPr>
      </w:pPr>
      <w:r>
        <w:rPr>
          <w:rFonts w:ascii="Times New Roman" w:cs="Times New Roman" w:eastAsia="Times New Roman" w:hAnsi="Times New Roman"/>
          <w:sz w:val="22"/>
          <w:szCs w:val="22"/>
          <w:color w:val="auto"/>
        </w:rPr>
        <w:t>provided, however, that on the grant date, the Committee may establish, in its sole discretion, a maximum amount per share which will be payable upon exercise of a Stock Appreciation Right.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9. DEFERRED SHARE UNITS</w:t>
      </w:r>
    </w:p>
    <w:p>
      <w:pPr>
        <w:spacing w:after="0" w:line="165" w:lineRule="exact"/>
        <w:rPr>
          <w:sz w:val="20"/>
          <w:szCs w:val="20"/>
          <w:color w:val="auto"/>
        </w:rPr>
      </w:pPr>
    </w:p>
    <w:p>
      <w:pPr>
        <w:ind w:right="20" w:firstLine="439"/>
        <w:spacing w:after="0" w:line="257" w:lineRule="auto"/>
        <w:tabs>
          <w:tab w:leader="none" w:pos="72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Freestanding Deferred Share Units may be granted to Participants at such time or times as shall be determined by the Committee without regard to any election by the Participant to defer receipt of any compensation or bonus amount payable to him. The grant date of any freestanding Deferred Share Unit under the Plan will be the date on which such freestanding Deferred Share Unit is awarded by the Committee or on such other future date as the Committee shall determine in its sole discretion. In addition, on fixed dates established by the Committee and subject to such terms and conditions as the Committee shall determine, the Committee may permit a Participant to elect to defer receipt of all or a portion of his annual compensation and/or annual incentive bonus (“Deferred Annual Amount”) payable by the Company or a Subsidiary and any other Award (“Deferred Award”) and receive in lieu thereof an Award of elective</w:t>
      </w:r>
    </w:p>
    <w:p>
      <w:pPr>
        <w:spacing w:after="0" w:line="7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1" w:name="page62"/>
    <w:bookmarkEnd w:id="61"/>
    <w:p>
      <w:pPr>
        <w:ind w:right="60"/>
        <w:spacing w:after="0" w:line="285" w:lineRule="auto"/>
        <w:rPr>
          <w:sz w:val="20"/>
          <w:szCs w:val="20"/>
          <w:color w:val="auto"/>
        </w:rPr>
      </w:pPr>
      <w:r>
        <w:rPr>
          <w:rFonts w:ascii="Times New Roman" w:cs="Times New Roman" w:eastAsia="Times New Roman" w:hAnsi="Times New Roman"/>
          <w:sz w:val="20"/>
          <w:szCs w:val="20"/>
          <w:color w:val="auto"/>
        </w:rPr>
        <w:t>Deferred Share Units (“Elective Deferred Share Units”) equal to, in the case of a Deferred Annual Amount, the greatest whole number which may be obtained by dividing (i) the amount of the Deferred Annual Amount, by (ii) the Fair Market Value of one share of Stock on the date of payment of such compensation and/or annual bonus or, in the case of a Deferred Award under the Plan, the number of shares of Stock subject to the Deferred Award. Each Award of Deferred Share Units shall be evidenced by an Award Agreement that shall specify (x) the number of shares of Stock to which the Deferred Share Units pertain, (y) the time and form of payment of the Deferred Share Units and (z) such terms and conditions not inconsistent with the Plan as the Committee shall determine, including customary representations, warranties and covenants with respect to securities law matters and such provisions as may be required pursuant to Section 409A of the Code. Upon the grant of Deferred Share Units pursuant to the Plan, the Company shall establish a notional account for the Participant and will record in such account the number of Deferred Share Units awarded to the Participant. No shares of Stock will be issued to the Participant at the time an award of Deferred Share Units is granted. Deferred Share Units may become payable on a Change in Control, Termination of Service or on a specified date or dates set forth in the Award Agreement evidencing such Deferred Share Units.</w:t>
      </w:r>
    </w:p>
    <w:p>
      <w:pPr>
        <w:spacing w:after="0" w:line="353" w:lineRule="exact"/>
        <w:rPr>
          <w:sz w:val="20"/>
          <w:szCs w:val="20"/>
          <w:color w:val="auto"/>
        </w:rPr>
      </w:pPr>
    </w:p>
    <w:p>
      <w:pPr>
        <w:ind w:right="40" w:firstLine="439"/>
        <w:spacing w:after="0" w:line="256" w:lineRule="auto"/>
        <w:tabs>
          <w:tab w:leader="none" w:pos="73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The Committee shall determine whether and to what extent Dividend Equivalents will be credited to the account of, or paid currently to, a Participant receiving an Award of Deferred Share Units. Unless otherwise provided by the Committee at or after the grant date, (i) any cash dividends or distributions credited to the Participant’s account shall be deemed to have been invested in additional Deferred Share Units on the record date established for the related dividend or distribution in an amount equal to the greatest whole number which may be obtained by dividing (A) the value of such dividend or distribution on the record date by (B) the Fair Market Value of one share of Stock on such date, and such additional Deferred Share Unit shall be subject to the same terms and conditions as are applicable in respect of the Deferred Share Unit with respect to which such dividends or distributions were payable, and (ii) if any such dividends or distributions are paid in shares of Stock or other securities, such shares and other securities shall be subject to the same vesting, performance and other restrictions as apply to the Deferred Share Unit with respect to which they were paid. A Participant shall not have any rights as a stockholder in respect of Deferred Share Units awarded pursuant to the Plan (including, without limitation, the right to vote on any matter submitted to the Company’s stockholders) until such time as the shares of Stock attributable to such Deferred Share Units have been issued to such Participant or his beneficiary.</w:t>
      </w:r>
    </w:p>
    <w:p>
      <w:pPr>
        <w:spacing w:after="0" w:line="119" w:lineRule="exact"/>
        <w:rPr>
          <w:rFonts w:ascii="Times New Roman" w:cs="Times New Roman" w:eastAsia="Times New Roman" w:hAnsi="Times New Roman"/>
          <w:sz w:val="22"/>
          <w:szCs w:val="22"/>
          <w:color w:val="auto"/>
        </w:rPr>
      </w:pPr>
    </w:p>
    <w:p>
      <w:pPr>
        <w:ind w:firstLine="439"/>
        <w:spacing w:after="0" w:line="257" w:lineRule="auto"/>
        <w:tabs>
          <w:tab w:leader="none" w:pos="72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Unless the Committee provides otherwise at or after the grant date, the portion of each Award of Deferred Share Units that consists of freestanding Deferred Share Units, together with any Dividend Equivalents credited with respect thereto, will be subject to a Restriction Period. Except as otherwise determined by the Committee at the time of grant, and subject to the Participant’s continued Service with his or her Employer on such date, the Restriction Period with respect to Deferred Share Units shall lapse as provided in the Participant’s Award Agreement. In its discretion, the Committee may establish performance-based vesting conditions with respect to Awards of Deferred Share Units (in lieu of, or in addition to, time-based vesting) based on one more of the Performance Goals listed in Section 5(c) or other performance goal. The portion of each Award of Deferred Share Units that consists</w:t>
      </w:r>
    </w:p>
    <w:p>
      <w:pPr>
        <w:spacing w:after="0" w:line="7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ind w:right="340"/>
        <w:spacing w:after="0" w:line="283" w:lineRule="auto"/>
        <w:rPr>
          <w:sz w:val="20"/>
          <w:szCs w:val="20"/>
          <w:color w:val="auto"/>
        </w:rPr>
      </w:pPr>
      <w:r>
        <w:rPr>
          <w:rFonts w:ascii="Times New Roman" w:cs="Times New Roman" w:eastAsia="Times New Roman" w:hAnsi="Times New Roman"/>
          <w:sz w:val="22"/>
          <w:szCs w:val="22"/>
          <w:color w:val="auto"/>
        </w:rPr>
        <w:t>of Elective Deferred Share Units, together with any Dividend Equivalents credited with respect thereto, need not be subject to any Restriction Period and may be non-forfeitable.</w:t>
      </w:r>
    </w:p>
    <w:p>
      <w:pPr>
        <w:spacing w:after="0" w:line="91" w:lineRule="exact"/>
        <w:rPr>
          <w:sz w:val="20"/>
          <w:szCs w:val="20"/>
          <w:color w:val="auto"/>
        </w:rPr>
      </w:pPr>
    </w:p>
    <w:p>
      <w:pPr>
        <w:ind w:right="60" w:firstLine="439"/>
        <w:spacing w:after="0" w:line="257" w:lineRule="auto"/>
        <w:tabs>
          <w:tab w:leader="none" w:pos="73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Deferral Elections</w:t>
      </w:r>
      <w:r>
        <w:rPr>
          <w:rFonts w:ascii="Times New Roman" w:cs="Times New Roman" w:eastAsia="Times New Roman" w:hAnsi="Times New Roman"/>
          <w:sz w:val="22"/>
          <w:szCs w:val="22"/>
          <w:color w:val="auto"/>
        </w:rPr>
        <w:t>. A Participant may elect to further defer receipt of shares of Stock issuable in respect of Deferred Share Units or other Award (or an installment of an Award) for a specified period or until a specified event, subject in each case to the Committee’s approval and to such terms as are determined by the Committee, all in its sole discretion. Subject to any exceptions adopted by the Committee, such election must generally be made at least 12 months before the prior settlement date of such Deferred Share Units (or any such installment thereof) whether pursuant to this Section 9 or Section 13 and must defer settlement for at least five years. A further deferral opportunity is not required to be made available to all Participants, and different terms and conditions may apply with respect to the further deferral opportunities made available to different Participants.</w:t>
      </w:r>
    </w:p>
    <w:p>
      <w:pPr>
        <w:spacing w:after="0" w:line="111" w:lineRule="exact"/>
        <w:rPr>
          <w:rFonts w:ascii="Times New Roman" w:cs="Times New Roman" w:eastAsia="Times New Roman" w:hAnsi="Times New Roman"/>
          <w:sz w:val="22"/>
          <w:szCs w:val="22"/>
          <w:color w:val="auto"/>
        </w:rPr>
      </w:pPr>
    </w:p>
    <w:p>
      <w:pPr>
        <w:jc w:val="both"/>
        <w:ind w:right="380" w:firstLine="439"/>
        <w:spacing w:after="0" w:line="265" w:lineRule="auto"/>
        <w:tabs>
          <w:tab w:leader="none" w:pos="72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Subject to this Section 9 and Section 13, upon the date specified in the Award Agreement evidencing the Deferred Share Units for each such Deferred Share Unit the Participant shall receive, in the Committee’s discretion, (i) a cash payment equal to the Fair Market Value of one share of Stock as of such payment date, (ii) one share of Stock or (iii) any combination of cash and shares of Stock.</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SECTION 10. OTHER STOCK-BASED AWARDS</w:t>
      </w:r>
    </w:p>
    <w:p>
      <w:pPr>
        <w:spacing w:after="0" w:line="165" w:lineRule="exact"/>
        <w:rPr>
          <w:sz w:val="20"/>
          <w:szCs w:val="20"/>
          <w:color w:val="auto"/>
        </w:rPr>
      </w:pPr>
    </w:p>
    <w:p>
      <w:pPr>
        <w:ind w:firstLine="439"/>
        <w:spacing w:after="0" w:line="285" w:lineRule="auto"/>
        <w:tabs>
          <w:tab w:leader="none" w:pos="7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Committee is authorized to make Awards of other types of equity-based or equity-related awards (“</w:t>
      </w:r>
      <w:r>
        <w:rPr>
          <w:rFonts w:ascii="Times New Roman" w:cs="Times New Roman" w:eastAsia="Times New Roman" w:hAnsi="Times New Roman"/>
          <w:sz w:val="20"/>
          <w:szCs w:val="20"/>
          <w:u w:val="single" w:color="auto"/>
          <w:color w:val="auto"/>
        </w:rPr>
        <w:t>Stock-Based Awards</w:t>
      </w:r>
      <w:r>
        <w:rPr>
          <w:rFonts w:ascii="Times New Roman" w:cs="Times New Roman" w:eastAsia="Times New Roman" w:hAnsi="Times New Roman"/>
          <w:sz w:val="20"/>
          <w:szCs w:val="20"/>
          <w:color w:val="auto"/>
        </w:rPr>
        <w:t>”) not otherwise described by the terms of the Plan in such amounts and subject to such terms and conditions as the Committee shall determine. All Stock-Based Awards shall be evidenced by an Award Agreement. Such Stock-Based Awards may be granted as an inducement to enter the employ of the Company or any Subsidiary or in satisfaction of any obligation of the Company or any Subsidiary to an officer or other key employee, whether pursuant to this Plan or otherwise, that would otherwise have been payable in cash or in respect of any other obligation of the Company. Such Stock-Based Awards may entail the transfer of actual share of Stock, or payment in cash or otherwise of amounts based on the value of share of Stock and may include, without limitation, Awards designed to comply with or take advantage of the applicable local laws of jurisdictions other than the United States. The terms of any other Stock-Based Award need not be uniform in application to all (or any class of) Participants, and each other Stock-Based award granted to any Participant (whether or not at the same time) may have different terms.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SECTION 11. DIVIDEND EQUIVALENTS</w:t>
      </w:r>
    </w:p>
    <w:p>
      <w:pPr>
        <w:spacing w:after="0" w:line="165" w:lineRule="exact"/>
        <w:rPr>
          <w:sz w:val="20"/>
          <w:szCs w:val="20"/>
          <w:color w:val="auto"/>
        </w:rPr>
      </w:pPr>
    </w:p>
    <w:p>
      <w:pPr>
        <w:ind w:right="100" w:firstLine="439"/>
        <w:spacing w:after="0" w:line="289" w:lineRule="auto"/>
        <w:tabs>
          <w:tab w:leader="none" w:pos="72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Dividend Equivalents may be granted to Participants at such time or times as shall be determined by the Committee. Dividend Equivalents may be granted in tandem with other Awards, in addition to other Awards, or freestanding and unrelated to other Awards. The grant date of any Dividend Equivalents under the Plan will be the date on which the Dividend Equivalent is awarded by the Committee, or such other date as the Committee shall determine in its sole discretion. Dividend Equivalents shall be evidenced in writing, whether as part of the Award Agreement governing the terms of the Award, if any, to which such Dividend Equivalent relates, or pursuant to a separate Award Agreement with respect to freestanding Dividend</w:t>
      </w:r>
    </w:p>
    <w:p>
      <w:pPr>
        <w:spacing w:after="0" w:line="58"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3" w:name="page64"/>
    <w:bookmarkEnd w:id="63"/>
    <w:p>
      <w:pPr>
        <w:ind w:right="40"/>
        <w:spacing w:after="0" w:line="265" w:lineRule="auto"/>
        <w:rPr>
          <w:sz w:val="20"/>
          <w:szCs w:val="20"/>
          <w:color w:val="auto"/>
        </w:rPr>
      </w:pPr>
      <w:r>
        <w:rPr>
          <w:rFonts w:ascii="Times New Roman" w:cs="Times New Roman" w:eastAsia="Times New Roman" w:hAnsi="Times New Roman"/>
          <w:sz w:val="22"/>
          <w:szCs w:val="22"/>
          <w:color w:val="auto"/>
        </w:rPr>
        <w:t>Equivalents, in each case, containing such provisions not inconsistent with the Plan as the Committee shall determine, including customary representations, warranties and covenants with respect to securities law matters. Notwithstanding anything herein to the contrary, in no event will dividends or Dividend Equivalents be paid to a Participant with respect to an Award unless and until the date such Award becomes vested.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12. TERMINATION OF EMPLOYMENT OR SERVICE.</w:t>
      </w:r>
    </w:p>
    <w:p>
      <w:pPr>
        <w:spacing w:after="0" w:line="152" w:lineRule="exact"/>
        <w:rPr>
          <w:sz w:val="20"/>
          <w:szCs w:val="20"/>
          <w:color w:val="auto"/>
        </w:rPr>
      </w:pPr>
    </w:p>
    <w:p>
      <w:pPr>
        <w:jc w:val="both"/>
        <w:ind w:right="260" w:firstLine="439"/>
        <w:spacing w:after="0" w:line="269" w:lineRule="auto"/>
        <w:tabs>
          <w:tab w:leader="none" w:pos="72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requirements of the Code, all of the terms relating to the exercise, cancellation or other disposition of an Award upon a termination of employment with or service to the Company of the Participant, whether due to disability, death or under any other circumstances, shall be determined by the Committee.</w:t>
      </w:r>
    </w:p>
    <w:p>
      <w:pPr>
        <w:spacing w:after="0" w:line="93" w:lineRule="exact"/>
        <w:rPr>
          <w:rFonts w:ascii="Times New Roman" w:cs="Times New Roman" w:eastAsia="Times New Roman" w:hAnsi="Times New Roman"/>
          <w:sz w:val="22"/>
          <w:szCs w:val="22"/>
          <w:color w:val="auto"/>
        </w:rPr>
      </w:pPr>
    </w:p>
    <w:p>
      <w:pPr>
        <w:ind w:right="660" w:firstLine="439"/>
        <w:spacing w:after="0" w:line="283" w:lineRule="auto"/>
        <w:tabs>
          <w:tab w:leader="none" w:pos="7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Connection with a Change in Control</w:t>
      </w:r>
      <w:r>
        <w:rPr>
          <w:rFonts w:ascii="Times New Roman" w:cs="Times New Roman" w:eastAsia="Times New Roman" w:hAnsi="Times New Roman"/>
          <w:sz w:val="22"/>
          <w:szCs w:val="22"/>
          <w:color w:val="auto"/>
        </w:rPr>
        <w:t>. Notwithstanding anything to the contrary in this Section 12, Section 13 shall determine the treatment of Awards upon a Change in Control.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13. CHANGE IN CONTROL</w:t>
      </w:r>
    </w:p>
    <w:p>
      <w:pPr>
        <w:spacing w:after="0" w:line="165" w:lineRule="exact"/>
        <w:rPr>
          <w:sz w:val="20"/>
          <w:szCs w:val="20"/>
          <w:color w:val="auto"/>
        </w:rPr>
      </w:pPr>
    </w:p>
    <w:p>
      <w:pPr>
        <w:ind w:right="60" w:firstLine="439"/>
        <w:spacing w:after="0" w:line="270" w:lineRule="auto"/>
        <w:tabs>
          <w:tab w:leader="none" w:pos="72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Unless otherwise determined by the Committee, as otherwise provided in an Award Agreement, or as provided in Section 13(b) or 13(d), in the event of a Change in Control,</w:t>
      </w:r>
    </w:p>
    <w:p>
      <w:pPr>
        <w:spacing w:after="0" w:line="105" w:lineRule="exact"/>
        <w:rPr>
          <w:rFonts w:ascii="Times New Roman" w:cs="Times New Roman" w:eastAsia="Times New Roman" w:hAnsi="Times New Roman"/>
          <w:sz w:val="22"/>
          <w:szCs w:val="22"/>
          <w:color w:val="auto"/>
        </w:rPr>
      </w:pPr>
    </w:p>
    <w:p>
      <w:pPr>
        <w:ind w:left="760" w:firstLine="111"/>
        <w:spacing w:after="0" w:line="260" w:lineRule="auto"/>
        <w:tabs>
          <w:tab w:leader="none" w:pos="113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cancellation, termination, acceleration of exercisability or vesting, lapse of any Restriction Period or settlement or other payment shall occur with respect to any such outstanding Awards, provided that such outstanding Awards shall be honored or assumed, or new rights substituted therefore (such honored, assumed or substituted Award, an “</w:t>
      </w:r>
      <w:r>
        <w:rPr>
          <w:rFonts w:ascii="Times New Roman" w:cs="Times New Roman" w:eastAsia="Times New Roman" w:hAnsi="Times New Roman"/>
          <w:sz w:val="22"/>
          <w:szCs w:val="22"/>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by the New Employer, provided that any Alternative Award must:</w:t>
      </w:r>
    </w:p>
    <w:p>
      <w:pPr>
        <w:spacing w:after="0" w:line="117" w:lineRule="exact"/>
        <w:rPr>
          <w:rFonts w:ascii="Times New Roman" w:cs="Times New Roman" w:eastAsia="Times New Roman" w:hAnsi="Times New Roman"/>
          <w:sz w:val="22"/>
          <w:szCs w:val="22"/>
          <w:color w:val="auto"/>
        </w:rPr>
      </w:pPr>
    </w:p>
    <w:p>
      <w:pPr>
        <w:ind w:left="1500" w:right="420" w:firstLine="5"/>
        <w:spacing w:after="0" w:line="283" w:lineRule="auto"/>
        <w:tabs>
          <w:tab w:leader="none" w:pos="1853"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based on shares of Stock that are traded on an established U.S. securities market or such other equity securities as are received by the holders of Stock in the Change in Control transaction;</w:t>
      </w:r>
    </w:p>
    <w:p>
      <w:pPr>
        <w:spacing w:after="0" w:line="77" w:lineRule="exact"/>
        <w:rPr>
          <w:rFonts w:ascii="Times New Roman" w:cs="Times New Roman" w:eastAsia="Times New Roman" w:hAnsi="Times New Roman"/>
          <w:sz w:val="22"/>
          <w:szCs w:val="22"/>
          <w:color w:val="auto"/>
        </w:rPr>
      </w:pPr>
    </w:p>
    <w:p>
      <w:pPr>
        <w:ind w:left="1500" w:right="20" w:firstLine="5"/>
        <w:spacing w:after="0" w:line="265" w:lineRule="auto"/>
        <w:tabs>
          <w:tab w:leader="none" w:pos="1842"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96" w:lineRule="exact"/>
        <w:rPr>
          <w:rFonts w:ascii="Times New Roman" w:cs="Times New Roman" w:eastAsia="Times New Roman" w:hAnsi="Times New Roman"/>
          <w:sz w:val="22"/>
          <w:szCs w:val="22"/>
          <w:color w:val="auto"/>
        </w:rPr>
      </w:pPr>
    </w:p>
    <w:p>
      <w:pPr>
        <w:ind w:left="1500" w:right="380" w:firstLine="5"/>
        <w:spacing w:after="0" w:line="269" w:lineRule="auto"/>
        <w:tabs>
          <w:tab w:leader="none" w:pos="1842"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substantially equivalent economic value to such Award (determined at the time of the Change in Control), it being understood that the economic value of any Option or SAR need not reflect any value other than the spread value of the Award at such time;</w:t>
      </w:r>
    </w:p>
    <w:p>
      <w:pPr>
        <w:spacing w:after="0" w:line="106" w:lineRule="exact"/>
        <w:rPr>
          <w:rFonts w:ascii="Times New Roman" w:cs="Times New Roman" w:eastAsia="Times New Roman" w:hAnsi="Times New Roman"/>
          <w:sz w:val="22"/>
          <w:szCs w:val="22"/>
          <w:color w:val="auto"/>
        </w:rPr>
      </w:pPr>
    </w:p>
    <w:p>
      <w:pPr>
        <w:ind w:left="1500" w:right="460" w:firstLine="5"/>
        <w:spacing w:after="0" w:line="270" w:lineRule="auto"/>
        <w:tabs>
          <w:tab w:leader="none" w:pos="1853"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cause the Award to become subject to any additional taxes, interest or penalties imposed by Section 409A of the Code; and</w:t>
      </w:r>
    </w:p>
    <w:p>
      <w:pPr>
        <w:spacing w:after="0" w:line="7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ind w:left="629" w:right="100" w:firstLine="5"/>
        <w:spacing w:after="0" w:line="269" w:lineRule="auto"/>
        <w:tabs>
          <w:tab w:leader="none" w:pos="95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terms and conditions which provide that in the event that the Participant’s employment is terminated without Cause or the Participant resigns for Good Reason within 24 months after the occurrence of a Change in Control:</w:t>
      </w:r>
    </w:p>
    <w:p>
      <w:pPr>
        <w:spacing w:after="0" w:line="107" w:lineRule="exact"/>
        <w:rPr>
          <w:sz w:val="20"/>
          <w:szCs w:val="20"/>
          <w:color w:val="auto"/>
        </w:rPr>
      </w:pPr>
    </w:p>
    <w:p>
      <w:pPr>
        <w:ind w:left="1389" w:right="80" w:hanging="6"/>
        <w:spacing w:after="0" w:line="263" w:lineRule="auto"/>
        <w:tabs>
          <w:tab w:leader="none" w:pos="165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other than Performance Awards held by a terminated Participant shall become vested and exercisable and the Restriction Period on all such outstanding Service Awards shall lapse; and</w:t>
      </w:r>
    </w:p>
    <w:p>
      <w:pPr>
        <w:spacing w:after="0" w:line="112" w:lineRule="exact"/>
        <w:rPr>
          <w:sz w:val="20"/>
          <w:szCs w:val="20"/>
          <w:color w:val="auto"/>
        </w:rPr>
      </w:pPr>
    </w:p>
    <w:p>
      <w:pPr>
        <w:ind w:left="1389" w:hanging="6"/>
        <w:spacing w:after="0" w:line="256" w:lineRule="auto"/>
        <w:tabs>
          <w:tab w:leader="none" w:pos="173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outstanding Performance Award held by a terminated Participant with a Performance Cycle in progress at the time of both the Change in Control and the Termination of Service, shall be deemed to be earned and become vested and/or paid out in an amount equal to the product of (x) such Participant’s target award opportunity with respect to such Award for the Performance Cycle in question and (y) the greater of the percentage of Performance Goals (which Performance Goals shall be pro-rated, if necessary or appropriate, to reflect the portion of the Performance Cycle that has been completed) achieved as of the date of the Change in Control and as of the last day of the fiscal quarter ended on or immediately prior to the date of Termination of Service. The portion of any Performance Award that does not vest in accordance with the preceding sentence shall immediately be forfeited and canceled without any payment therefor.</w:t>
      </w:r>
    </w:p>
    <w:p>
      <w:pPr>
        <w:spacing w:after="0" w:line="120" w:lineRule="exact"/>
        <w:rPr>
          <w:sz w:val="20"/>
          <w:szCs w:val="20"/>
          <w:color w:val="auto"/>
        </w:rPr>
      </w:pPr>
    </w:p>
    <w:p>
      <w:pPr>
        <w:ind w:left="1389" w:right="40" w:hanging="6"/>
        <w:spacing w:after="0" w:line="263" w:lineRule="auto"/>
        <w:tabs>
          <w:tab w:leader="none" w:pos="180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the extent permitted under Section 15(l), all amounts payable hereunder shall be payable in full, as soon as reasonably practicable, but in no event later than 10 business days, following termination.</w:t>
      </w:r>
    </w:p>
    <w:p>
      <w:pPr>
        <w:spacing w:after="0" w:line="112" w:lineRule="exact"/>
        <w:rPr>
          <w:rFonts w:ascii="Times New Roman" w:cs="Times New Roman" w:eastAsia="Times New Roman" w:hAnsi="Times New Roman"/>
          <w:sz w:val="22"/>
          <w:szCs w:val="22"/>
          <w:color w:val="auto"/>
        </w:rPr>
      </w:pPr>
    </w:p>
    <w:p>
      <w:pPr>
        <w:ind w:left="-111" w:right="140" w:firstLine="111"/>
        <w:spacing w:after="0" w:line="256" w:lineRule="auto"/>
        <w:tabs>
          <w:tab w:leader="none" w:pos="32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13(b), if no Alternative Awards are available or in the event of a Change in Control in which all of the Stock is exchanged for or converted into cash or the right to receive cash, then immediately prior to the consummation of the transaction constituting the Change in Control, (A) all unvested Awards (other than Performance Awards) shall vest and the Restriction Period on all such outstanding Awards shall lapse; (B) each outstanding Performance Award with a Performance Cycle in progress at the time of the Change in Control shall be deemed to be earned and become vested and/or paid out in an amount equal to the product of (x) such Participant’s target award opportunity with respect to such Award for the Performance Cycle in question and (y) the percentage of Performance Goals achieved as of the date of the Change in Control (which Performance Goals shall be pro-rated or adjusted, if necessary or appropriate, to reflect the portion of the Performance Cycle that has been completed), and all other Performance Awards shall lapse and be canceled and forfeited upon consummation of the Change in Control; and (C) shares of Stock underlying all Restricted Stock, Restricted Stock Units, Performance Awards, Deferred Share Units and other Stock-Based Awards that are vested or for which the Restriction Period has lapsed (as provided in this Section 13(a) or otherwise) shall be issued or released to the Participant holding such Award.</w:t>
      </w:r>
    </w:p>
    <w:p>
      <w:pPr>
        <w:spacing w:after="0" w:line="119" w:lineRule="exact"/>
        <w:rPr>
          <w:rFonts w:ascii="Times New Roman" w:cs="Times New Roman" w:eastAsia="Times New Roman" w:hAnsi="Times New Roman"/>
          <w:sz w:val="22"/>
          <w:szCs w:val="22"/>
          <w:color w:val="auto"/>
        </w:rPr>
      </w:pPr>
    </w:p>
    <w:p>
      <w:pPr>
        <w:ind w:left="-111" w:right="40" w:firstLine="111"/>
        <w:spacing w:after="0" w:line="270" w:lineRule="auto"/>
        <w:tabs>
          <w:tab w:leader="none" w:pos="3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13(b), in the event of a Change in Control pursuant to which shares of Stock are exchanged for a combination of (i) the securities of another</w:t>
      </w:r>
    </w:p>
    <w:p>
      <w:pPr>
        <w:spacing w:after="0" w:line="71" w:lineRule="exact"/>
        <w:rPr>
          <w:sz w:val="20"/>
          <w:szCs w:val="20"/>
          <w:color w:val="auto"/>
        </w:rPr>
      </w:pPr>
    </w:p>
    <w:p>
      <w:pPr>
        <w:ind w:left="4649"/>
        <w:spacing w:after="0"/>
        <w:rPr>
          <w:sz w:val="20"/>
          <w:szCs w:val="20"/>
          <w:color w:val="auto"/>
        </w:rPr>
      </w:pPr>
      <w:r>
        <w:rPr>
          <w:rFonts w:ascii="Calibri" w:cs="Calibri" w:eastAsia="Calibri" w:hAnsi="Calibri"/>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205105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9"/>
          </w:cols>
          <w:pgMar w:left="1191" w:top="328" w:right="359" w:bottom="1440" w:gutter="0" w:footer="0" w:header="0"/>
        </w:sectPr>
      </w:pPr>
    </w:p>
    <w:bookmarkStart w:id="65" w:name="page66"/>
    <w:bookmarkEnd w:id="65"/>
    <w:p>
      <w:pPr>
        <w:ind w:left="760" w:right="80"/>
        <w:spacing w:after="0" w:line="265" w:lineRule="auto"/>
        <w:rPr>
          <w:sz w:val="20"/>
          <w:szCs w:val="20"/>
          <w:color w:val="auto"/>
        </w:rPr>
      </w:pPr>
      <w:r>
        <w:rPr>
          <w:rFonts w:ascii="Times New Roman" w:cs="Times New Roman" w:eastAsia="Times New Roman" w:hAnsi="Times New Roman"/>
          <w:sz w:val="22"/>
          <w:szCs w:val="22"/>
          <w:color w:val="auto"/>
        </w:rPr>
        <w:t>corporation or other entity and (ii) cash or property other than the securities of another corporation or other entity, then the Committee, as constituted prior to the Change in Control, may determine in its sole discretion that some or all of the Awards shall be assumed or substituted in accordance with Section 13(a)(i), and any remaining portion of the Award shall be surrendered and cancelled in exchange for a cash payment in accordance with Section 13(a)(ii).</w:t>
      </w:r>
    </w:p>
    <w:p>
      <w:pPr>
        <w:spacing w:after="0" w:line="96" w:lineRule="exact"/>
        <w:rPr>
          <w:sz w:val="20"/>
          <w:szCs w:val="20"/>
          <w:color w:val="auto"/>
        </w:rPr>
      </w:pPr>
    </w:p>
    <w:p>
      <w:pPr>
        <w:ind w:firstLine="439"/>
        <w:spacing w:after="0" w:line="265" w:lineRule="auto"/>
        <w:tabs>
          <w:tab w:leader="none" w:pos="73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Notwithstanding anything in Section 13(b), if with respect to any Specified Award an Alternative Award would be deemed a non-compliant material modification (as defined in Section 409A of the Code) of such Award or would otherwise violate Section 409A, then no Alternative Award shall be provided and such Award shall instead be treated as provided in Section 13(a)(ii) or as otherwise provided in the Award Agreement.</w:t>
      </w:r>
    </w:p>
    <w:p>
      <w:pPr>
        <w:spacing w:after="0" w:line="96" w:lineRule="exact"/>
        <w:rPr>
          <w:rFonts w:ascii="Times New Roman" w:cs="Times New Roman" w:eastAsia="Times New Roman" w:hAnsi="Times New Roman"/>
          <w:sz w:val="22"/>
          <w:szCs w:val="22"/>
          <w:color w:val="auto"/>
        </w:rPr>
      </w:pPr>
    </w:p>
    <w:p>
      <w:pPr>
        <w:ind w:firstLine="439"/>
        <w:spacing w:after="0" w:line="262" w:lineRule="auto"/>
        <w:tabs>
          <w:tab w:leader="none" w:pos="72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Prior to a Change in Control</w:t>
      </w:r>
      <w:r>
        <w:rPr>
          <w:rFonts w:ascii="Times New Roman" w:cs="Times New Roman" w:eastAsia="Times New Roman" w:hAnsi="Times New Roman"/>
          <w:sz w:val="22"/>
          <w:szCs w:val="22"/>
          <w:color w:val="auto"/>
        </w:rPr>
        <w:t>. Unless otherwise determined by the Committee at or after the time of grant, any Participant whose employment or service is terminated without Cause within 3 months prior to the occurrence of a Change in Control shall be treated, solely for the purposes of this Plan (including, without limitation, this Section 13) as continuing in the Company’s employment or service until the occurrence of such Change in Control, and to have been terminated immediately thereafter.</w:t>
      </w:r>
    </w:p>
    <w:p>
      <w:pPr>
        <w:spacing w:after="0" w:line="102" w:lineRule="exact"/>
        <w:rPr>
          <w:rFonts w:ascii="Times New Roman" w:cs="Times New Roman" w:eastAsia="Times New Roman" w:hAnsi="Times New Roman"/>
          <w:sz w:val="22"/>
          <w:szCs w:val="22"/>
          <w:color w:val="auto"/>
        </w:rPr>
      </w:pPr>
    </w:p>
    <w:p>
      <w:pPr>
        <w:ind w:right="80" w:firstLine="439"/>
        <w:spacing w:after="0" w:line="258" w:lineRule="auto"/>
        <w:tabs>
          <w:tab w:leader="none" w:pos="73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Notwithstanding anything in this Section 13 to the contrary, except as otherwise provided in an Award Agreement, if the Committee as constituted immediately prior to the Change in Control determines in its sole discretion, then all Awards shall be canceled in exchange for a cash payment equal to (x)(A) in the case of Option and SAR Awards that are vested (as provided in Section 13(a) or otherwise), the excess, if any, of the Change in Control Price over the exercise price for such Option or SAR and (B) in the case of all other Awards that are vested or for which the Restriction Period has lapsed (as provided in Section 13(a) or otherwise), the Change in Control Price, multiplied by (y) the aggregate number of shares of Stock covered by such Award, provided, however, that no</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Specified Award shall be cancelled in exchange for a cash payment unless such payment may be made without the imposition of any additional taxes or interest under Section 409A of the Code. The Committee may, in its sole discretion, accelerate the exercisability or vesting or lapse of any Restriction Period with respect to all or any portion of any outstanding Award immediately prior to the consummation of the transaction constituting the Change in Control, provided, however, that no such acceleration or vesting or lapse may be exercised with respect to any Specified Award to the extent that such exercise would result in the imposition of any additional tax, interest or penalty under Section 409A of the Code.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SECTION 14. EFFECTIVE DATE, AMENDMENT, MODIFICATION, AND TERMINATION OF THE PLAN</w:t>
      </w:r>
    </w:p>
    <w:p>
      <w:pPr>
        <w:spacing w:after="0" w:line="152" w:lineRule="exact"/>
        <w:rPr>
          <w:sz w:val="20"/>
          <w:szCs w:val="20"/>
          <w:color w:val="auto"/>
        </w:rPr>
      </w:pPr>
    </w:p>
    <w:p>
      <w:pPr>
        <w:ind w:right="280" w:firstLine="432"/>
        <w:spacing w:after="0" w:line="265" w:lineRule="auto"/>
        <w:rPr>
          <w:sz w:val="20"/>
          <w:szCs w:val="20"/>
          <w:color w:val="auto"/>
        </w:rPr>
      </w:pPr>
      <w:r>
        <w:rPr>
          <w:rFonts w:ascii="Times New Roman" w:cs="Times New Roman" w:eastAsia="Times New Roman" w:hAnsi="Times New Roman"/>
          <w:sz w:val="22"/>
          <w:szCs w:val="22"/>
          <w:color w:val="auto"/>
        </w:rPr>
        <w:t>The Plan shall be effective on the Adoption Date, subject to the occurrence of the Effective Date, and shall continue in effect, unless sooner terminated pursuant to this Section 14, until the tenth anniversary of the Effective Date. The Board or the Committee may at any time in its sole discretion, for any reason whatsoever, terminate or suspend the Plan, and from time to time, subject to obtaining any regulatory approval, including that of a stock exchange on which the</w:t>
      </w:r>
    </w:p>
    <w:p>
      <w:pPr>
        <w:spacing w:after="0" w:line="62"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6" w:name="page67"/>
    <w:bookmarkEnd w:id="66"/>
    <w:p>
      <w:pPr>
        <w:ind w:right="60"/>
        <w:spacing w:after="0" w:line="285" w:lineRule="auto"/>
        <w:rPr>
          <w:sz w:val="20"/>
          <w:szCs w:val="20"/>
          <w:color w:val="auto"/>
        </w:rPr>
      </w:pPr>
      <w:r>
        <w:rPr>
          <w:rFonts w:ascii="Times New Roman" w:cs="Times New Roman" w:eastAsia="Times New Roman" w:hAnsi="Times New Roman"/>
          <w:sz w:val="20"/>
          <w:szCs w:val="20"/>
          <w:color w:val="auto"/>
        </w:rPr>
        <w:t>Stock is then listed, if applicable, may amend or modify the Plan; provided that without the approval by a majority of the votes cast at a duly constituted meeting of shareholders of the Company, no amendment or modification to the Plan may (i) materially increase the benefits accruing to Participants under the Plan, (ii) except as otherwise expressly provided in Section 4(f), increase the number of shares of Stock subject to the Plan, (iii) modify the class of persons eligible for participation in the Plan, (iv) allow Options or Stock Appreciation Rights to be issued with an exercise price or reference price below Fair Market Value on the date of grant (v) extend the term of any Award granted under the Plan beyond its original expiry date or (vi) materially modify the Plan in any other way that would require shareholder approval under any regulatory requirement that the Committee determines to be applicable, including, without limitation, the rules of any exchange on which the Stock is then listed. Notwithstanding any provisions of the Plan to the contrary, neither the Board nor the Committee may, without the consent of the affected Participant, amend, modify or terminate the Plan in any manner that would adversely affect any Award theretofore granted under the Plan or result in the imposition of an additional tax, interest or penalty under Section 409A of the Code.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15. GENERAL PROVISIONS</w:t>
      </w:r>
    </w:p>
    <w:p>
      <w:pPr>
        <w:spacing w:after="0" w:line="152" w:lineRule="exact"/>
        <w:rPr>
          <w:sz w:val="20"/>
          <w:szCs w:val="20"/>
          <w:color w:val="auto"/>
        </w:rPr>
      </w:pPr>
    </w:p>
    <w:p>
      <w:pPr>
        <w:ind w:firstLine="439"/>
        <w:spacing w:after="0" w:line="255" w:lineRule="auto"/>
        <w:tabs>
          <w:tab w:leader="none" w:pos="72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Employer shall have the right to deduct from all amounts paid to a Participant in cash (whether under this Plan or otherwise) any amount of taxes required by law to be withheld in respect of Awards under this Plan as may be necessary in the opinion of the Employer to satisfy tax withholding required under the laws of any country, state, province, city or other jurisdiction, including but not limited to income taxes, capital gains taxes, transfer taxes, and social security contributions that are required by law to be withheld. In the case of payments of Awards in the form of Stock, at the Committee’s discretion, the Participant shall be required to either pay to the Employer the amount of any taxes required to be withheld with respect to such Stock or, in lieu thereof, the Employer shall have the right to retain (or the Participant may be offered the opportunity to elect to tender) the number of shares of Stock whose Fair Market Value equals such amount required to be withheld, provided, however, that in the event that the Company withholds shares of Stock issued or issuable to the Participant to satisfy the withholding taxes, the Company shall withhold a number of whole shares of Stock having a Fair Market Value, determined as of the date of withholding, not in excess of such amount as may be necessary to avoid liability award accounting; and provided, further, that with respect to any Specified Award, in no event shall shares of Stock or other amounts receivable under a Specified Award be withheld pursuant to this Section 15(a) (other than upon or immediately prior to settlement in accordance with the Plan and the applicable Award Agreement) other than to pay taxes imposed under the U.S. Federal Insurance Contributions Act (FICA) and any associated U.S. federal withholding tax imposed under Section 3401 of the Code and in no event shall the value of such shares of Stock or other amounts receivable under a Specified Award (other than upon or immediately prior to settlement) exceed the amount of the tax imposed under FICA and any associated U.S. federal withholding tax imposed under Section 3401 of the Code. The Participant shall be responsible for all withholding taxes and other tax consequences of any Award granted under this Plan.</w:t>
      </w:r>
    </w:p>
    <w:p>
      <w:pPr>
        <w:spacing w:after="0" w:line="124" w:lineRule="exact"/>
        <w:rPr>
          <w:rFonts w:ascii="Times New Roman" w:cs="Times New Roman" w:eastAsia="Times New Roman" w:hAnsi="Times New Roman"/>
          <w:sz w:val="22"/>
          <w:szCs w:val="22"/>
          <w:color w:val="auto"/>
        </w:rPr>
      </w:pPr>
    </w:p>
    <w:p>
      <w:pPr>
        <w:ind w:right="300" w:firstLine="439"/>
        <w:spacing w:after="0" w:line="283" w:lineRule="auto"/>
        <w:tabs>
          <w:tab w:leader="none" w:pos="73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Awards</w:t>
      </w:r>
      <w:r>
        <w:rPr>
          <w:rFonts w:ascii="Times New Roman" w:cs="Times New Roman" w:eastAsia="Times New Roman" w:hAnsi="Times New Roman"/>
          <w:sz w:val="22"/>
          <w:szCs w:val="22"/>
          <w:color w:val="auto"/>
        </w:rPr>
        <w:t>. Except as provided herein or in an Award Agreement, no Award may be sold, assigned, transferred, pledged, hedged or otherwise encumbered except by</w:t>
      </w:r>
    </w:p>
    <w:p>
      <w:pPr>
        <w:spacing w:after="0" w:line="4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7" w:name="page68"/>
    <w:bookmarkEnd w:id="67"/>
    <w:p>
      <w:pPr>
        <w:ind w:right="20"/>
        <w:spacing w:after="0" w:line="256" w:lineRule="auto"/>
        <w:rPr>
          <w:sz w:val="20"/>
          <w:szCs w:val="20"/>
          <w:color w:val="auto"/>
        </w:rPr>
      </w:pPr>
      <w:r>
        <w:rPr>
          <w:rFonts w:ascii="Times New Roman" w:cs="Times New Roman" w:eastAsia="Times New Roman" w:hAnsi="Times New Roman"/>
          <w:sz w:val="22"/>
          <w:szCs w:val="22"/>
          <w:color w:val="auto"/>
        </w:rPr>
        <w:t>will or the laws of descent and distribution; provided that the Committee may permit (on such terms and conditions as it shall establish) a Participant to transfer an Award for no consideration to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or employee), a trust in which these persons have more than fifty percent of the beneficial interest and any other entity in which these persons (or the Participant) own more than fifty percent of the voting interests (“Permitted Transferees”). A Participant may not enter into any transaction which hedges or otherwise transfers the risk of price movements with regard to the Stock subject to any unvested or unearned Award. No amendment to the Plan or to any Award shall permit transfers other than in accordance with the preceding sentence. Any attempt by a Participant to sell, assign, transfer, pledge, hedge or encumber an Award without complying with the provisions of the Plan shall be void and of no effect.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his or her Permitted Transferee(s). The rights of a Permitted Transferee shall be limited to the rights conveyed to such Permitted Transferee, who shall be subject to and bound by the terms of the agreement or agreements between the Participant and the Company.</w:t>
      </w:r>
    </w:p>
    <w:p>
      <w:pPr>
        <w:spacing w:after="0" w:line="119" w:lineRule="exact"/>
        <w:rPr>
          <w:sz w:val="20"/>
          <w:szCs w:val="20"/>
          <w:color w:val="auto"/>
        </w:rPr>
      </w:pPr>
    </w:p>
    <w:p>
      <w:pPr>
        <w:ind w:right="40" w:firstLine="439"/>
        <w:spacing w:after="0" w:line="263" w:lineRule="auto"/>
        <w:tabs>
          <w:tab w:leader="none" w:pos="72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Compensation</w:t>
      </w:r>
      <w:r>
        <w:rPr>
          <w:rFonts w:ascii="Times New Roman" w:cs="Times New Roman" w:eastAsia="Times New Roman" w:hAnsi="Times New Roman"/>
          <w:sz w:val="22"/>
          <w:szCs w:val="22"/>
          <w:color w:val="auto"/>
        </w:rPr>
        <w:t>. Nothing in the Plan shall be construed to limit the right of the Company to establish other plans or to pay compensation to its Employees, in cash or property, in a manner which is not expressly authorized under the Plan.</w:t>
      </w:r>
    </w:p>
    <w:p>
      <w:pPr>
        <w:spacing w:after="0" w:line="112" w:lineRule="exact"/>
        <w:rPr>
          <w:rFonts w:ascii="Times New Roman" w:cs="Times New Roman" w:eastAsia="Times New Roman" w:hAnsi="Times New Roman"/>
          <w:sz w:val="22"/>
          <w:szCs w:val="22"/>
          <w:color w:val="auto"/>
        </w:rPr>
      </w:pPr>
    </w:p>
    <w:p>
      <w:pPr>
        <w:ind w:firstLine="439"/>
        <w:spacing w:after="0" w:line="256" w:lineRule="auto"/>
        <w:tabs>
          <w:tab w:leader="none" w:pos="73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Employment</w:t>
      </w:r>
      <w:r>
        <w:rPr>
          <w:rFonts w:ascii="Times New Roman" w:cs="Times New Roman" w:eastAsia="Times New Roman" w:hAnsi="Times New Roman"/>
          <w:sz w:val="22"/>
          <w:szCs w:val="22"/>
          <w:color w:val="auto"/>
        </w:rPr>
        <w:t>. No person shall have any claim or right to be granted an Award, and the grant of an Award shall not be construed as giving a Participant the right to be retained in the employ of the Employer. The grant of an Award hereunder, and any future grant of Awards under the Plan is entirely voluntary, and at the complete discretion of the Company. Neither the grant of an Award nor any future grant of Awards by the Company shall be deemed to create any obligation to grant any further Awards, whether or not such a reservation is explicitly stated at the time of such a grant. The Plan shall not be deemed to constitute, and shall not be construed by the Participant to constitute, part of the terms and conditions of employment and participation in the Plan shall not be deemed to constitute, and shall not be deemed by the Participant to constitute, an employment or labor relationship of any kind with the Company. The Employer expressly reserves the right at any time to dismiss a Participant free from any liability, or any claim under the Plan, except as provided herein and in any agreement entered into with respect to an Award. The Company expressly reserves the right to require, as a condition of participation in the Plan, that Award recipients agree and acknowledge the above in writing. Further, the Company expressly reserves the right to require Award recipients, as a condition of participation, to consent in writing to the collection, transfer from the Employer to the Company and third parties, storage and use of personal data for purposes of administering the Plan.</w:t>
      </w:r>
    </w:p>
    <w:p>
      <w:pPr>
        <w:spacing w:after="0" w:line="105" w:lineRule="exact"/>
        <w:rPr>
          <w:rFonts w:ascii="Times New Roman" w:cs="Times New Roman" w:eastAsia="Times New Roman" w:hAnsi="Times New Roman"/>
          <w:sz w:val="22"/>
          <w:szCs w:val="22"/>
          <w:color w:val="auto"/>
        </w:rPr>
      </w:pPr>
    </w:p>
    <w:p>
      <w:pPr>
        <w:ind w:right="520" w:firstLine="439"/>
        <w:spacing w:after="0" w:line="283" w:lineRule="auto"/>
        <w:tabs>
          <w:tab w:leader="none" w:pos="72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Shareholder</w:t>
      </w:r>
      <w:r>
        <w:rPr>
          <w:rFonts w:ascii="Times New Roman" w:cs="Times New Roman" w:eastAsia="Times New Roman" w:hAnsi="Times New Roman"/>
          <w:sz w:val="22"/>
          <w:szCs w:val="22"/>
          <w:color w:val="auto"/>
        </w:rPr>
        <w:t>. Subject to the provisions of the applicable Award contained in the Plan and in the Award Agreement, no Participant, Permitted Transferee or Designated</w:t>
      </w:r>
    </w:p>
    <w:p>
      <w:pPr>
        <w:spacing w:after="0" w:line="5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8" w:name="page69"/>
    <w:bookmarkEnd w:id="68"/>
    <w:p>
      <w:pPr>
        <w:ind w:right="120"/>
        <w:spacing w:after="0" w:line="283" w:lineRule="auto"/>
        <w:rPr>
          <w:sz w:val="20"/>
          <w:szCs w:val="20"/>
          <w:color w:val="auto"/>
        </w:rPr>
      </w:pPr>
      <w:r>
        <w:rPr>
          <w:rFonts w:ascii="Times New Roman" w:cs="Times New Roman" w:eastAsia="Times New Roman" w:hAnsi="Times New Roman"/>
          <w:sz w:val="22"/>
          <w:szCs w:val="22"/>
          <w:color w:val="auto"/>
        </w:rPr>
        <w:t>Beneficiary shall have any rights as a shareholder with respect to any shares of Stock to be distributed under the Plan until he or she has become the holder thereof.</w:t>
      </w:r>
    </w:p>
    <w:p>
      <w:pPr>
        <w:spacing w:after="0" w:line="91" w:lineRule="exact"/>
        <w:rPr>
          <w:sz w:val="20"/>
          <w:szCs w:val="20"/>
          <w:color w:val="auto"/>
        </w:rPr>
      </w:pPr>
    </w:p>
    <w:p>
      <w:pPr>
        <w:ind w:firstLine="439"/>
        <w:spacing w:after="0" w:line="284" w:lineRule="auto"/>
        <w:tabs>
          <w:tab w:leader="none" w:pos="70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Cancellation or “Clawback” of Awards under Applicable Laws, Regulations or Company Policy</w:t>
      </w:r>
      <w:r>
        <w:rPr>
          <w:rFonts w:ascii="Times New Roman" w:cs="Times New Roman" w:eastAsia="Times New Roman" w:hAnsi="Times New Roman"/>
          <w:sz w:val="20"/>
          <w:szCs w:val="20"/>
          <w:color w:val="auto"/>
        </w:rPr>
        <w:t>. The Company may cancel or reduce, or require a Participant to forfeit and disgorge to the Company or reimburse the Company for, any Awards granted or vested and any gains earned or accrued, due to the exercise, vesting or settlement of Awards or sale of any Stock issued pursuant to an Award under the Plan, to the extent permitted or required by, or pursuant to any Company policy implemented as required by, applicable law, regulation or stock exchange rule in effect on or after the Effective Date. Awards granted under the Plan (and gains earned or accrued in connection with Awards or the sale of any Stock issued pursuant to Awards under the Plan) shall also be subject to such generally applicable policies as to forfeiture and recoupment as may be adopted by the Committee from time to time and communicated to Participants. Any such policies may (in the discretion of the Committee) be applied to outstanding Awards at the time of adoption of such policies, or on a prospective basis only.</w:t>
      </w:r>
    </w:p>
    <w:p>
      <w:pPr>
        <w:spacing w:after="0" w:line="99" w:lineRule="exact"/>
        <w:rPr>
          <w:rFonts w:ascii="Times New Roman" w:cs="Times New Roman" w:eastAsia="Times New Roman" w:hAnsi="Times New Roman"/>
          <w:sz w:val="20"/>
          <w:szCs w:val="20"/>
          <w:color w:val="auto"/>
        </w:rPr>
      </w:pPr>
    </w:p>
    <w:p>
      <w:pPr>
        <w:jc w:val="both"/>
        <w:ind w:right="160" w:firstLine="439"/>
        <w:spacing w:after="0" w:line="260" w:lineRule="auto"/>
        <w:tabs>
          <w:tab w:leader="none" w:pos="7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of the Plan</w:t>
      </w:r>
      <w:r>
        <w:rPr>
          <w:rFonts w:ascii="Times New Roman" w:cs="Times New Roman" w:eastAsia="Times New Roman" w:hAnsi="Times New Roman"/>
          <w:sz w:val="22"/>
          <w:szCs w:val="22"/>
          <w:color w:val="auto"/>
        </w:rPr>
        <w:t>. The validity, construction, interpretation, administration and effect of the Plan and of its rules and regulations, and rights relating to the Plan, shall be determined solely in accordance with the laws of the State of Delaware (without reference to the principles of conflicts of law or choice of law that might otherwise refer the construction or interpretation of this Plan to the substantive laws of another jurisdiction).</w:t>
      </w:r>
    </w:p>
    <w:p>
      <w:pPr>
        <w:spacing w:after="0" w:line="117" w:lineRule="exact"/>
        <w:rPr>
          <w:rFonts w:ascii="Times New Roman" w:cs="Times New Roman" w:eastAsia="Times New Roman" w:hAnsi="Times New Roman"/>
          <w:sz w:val="22"/>
          <w:szCs w:val="22"/>
          <w:color w:val="auto"/>
        </w:rPr>
      </w:pPr>
    </w:p>
    <w:p>
      <w:pPr>
        <w:ind w:right="40" w:firstLine="439"/>
        <w:spacing w:after="0" w:line="269" w:lineRule="auto"/>
        <w:tabs>
          <w:tab w:leader="none" w:pos="7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Whenever the context so requires, the use of the masculine gender shall be deemed to include the feminine and vice versa, and the use of the singular shall be deemed to include the plural and vice versa. That this plan was drafted by the Company shall not be taken into account in interpreting or construing any provision of this Plan.</w:t>
      </w:r>
    </w:p>
    <w:p>
      <w:pPr>
        <w:spacing w:after="0" w:line="93" w:lineRule="exact"/>
        <w:rPr>
          <w:rFonts w:ascii="Times New Roman" w:cs="Times New Roman" w:eastAsia="Times New Roman" w:hAnsi="Times New Roman"/>
          <w:sz w:val="22"/>
          <w:szCs w:val="22"/>
          <w:color w:val="auto"/>
        </w:rPr>
      </w:pPr>
    </w:p>
    <w:p>
      <w:pPr>
        <w:ind w:right="60" w:firstLine="439"/>
        <w:spacing w:after="0" w:line="283" w:lineRule="auto"/>
        <w:tabs>
          <w:tab w:leader="none" w:pos="68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Legal and Exchange Requirements</w:t>
      </w:r>
      <w:r>
        <w:rPr>
          <w:rFonts w:ascii="Times New Roman" w:cs="Times New Roman" w:eastAsia="Times New Roman" w:hAnsi="Times New Roman"/>
          <w:sz w:val="20"/>
          <w:szCs w:val="20"/>
          <w:color w:val="auto"/>
        </w:rPr>
        <w:t>. The Plan, the granting and exercising of Awards thereunder, and any obligations of the Company under the Plan, shall be subject to all applicable federal, state, and foreign country laws, rules, and regulations, and to such approvals by any regulatory or governmental agency as may be required, and to any rules or regulations of any exchange on which the Stock is listed. The Company, in its discretion, may postpone the granting and exercising of Awards, the issuance or delivery of Stock under any Award or any other action permitted under the Plan to permit the Company, with reasonable diligence, to complete such stock exchange listing or registration or qualification of such Stock or other required action under any federal, state or foreign country law, rule, or regulation and may require any Participant to make such representations and furnish such information as it may consider appropriate in connection with the issuance or delivery of Stock in compliance with applicable laws, rules, and regulations. The Company shall not be obligated by virtue of any provision of the Plan to recognize the exercise of any Award or to otherwise sell or issue Stock in violation of any such laws, rules, or regulations, and any postponement of the exercise or settlement of any Award under this provision shall not extend the term of such Awards. Neither the Company nor its directors or officers shall have any obligation or liability to a Participant with respect to any Award (or Stock issuable thereunder) that shall lapse because of such postponement.</w:t>
      </w:r>
    </w:p>
    <w:p>
      <w:pPr>
        <w:spacing w:after="0" w:line="33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9" w:name="page70"/>
    <w:bookmarkEnd w:id="69"/>
    <w:p>
      <w:pPr>
        <w:ind w:left="-20" w:firstLine="439"/>
        <w:spacing w:after="0" w:line="261" w:lineRule="auto"/>
        <w:tabs>
          <w:tab w:leader="none" w:pos="66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Deferrals</w:t>
      </w:r>
      <w:r>
        <w:rPr>
          <w:rFonts w:ascii="Times New Roman" w:cs="Times New Roman" w:eastAsia="Times New Roman" w:hAnsi="Times New Roman"/>
          <w:sz w:val="22"/>
          <w:szCs w:val="22"/>
          <w:color w:val="auto"/>
        </w:rPr>
        <w:t>. Subject to the requirements of Section 409A of the Code, the Committee may postpone the exercising of Awards, the issuance or delivery of Stock under, or the payment of cash in respect of, any Award or any action permitted under the Plan, upon such terms and conditions as the Committee may establish from time to time. Subject to the requirements of Section 409A of the Code, a Participant may electively defer receipt of the shares of Stock or cash otherwise payable in respect of any Award (including, without limitation, any shares of Stock issuable upon the exercise of an Option other than an Incentive Stock Option) upon such terms and conditions as the Committee may establish from time to time.</w:t>
      </w:r>
    </w:p>
    <w:p>
      <w:pPr>
        <w:spacing w:after="0" w:line="102" w:lineRule="exact"/>
        <w:rPr>
          <w:rFonts w:ascii="Times New Roman" w:cs="Times New Roman" w:eastAsia="Times New Roman" w:hAnsi="Times New Roman"/>
          <w:sz w:val="22"/>
          <w:szCs w:val="22"/>
          <w:color w:val="auto"/>
        </w:rPr>
      </w:pPr>
    </w:p>
    <w:p>
      <w:pPr>
        <w:ind w:left="-20" w:right="60" w:firstLine="439"/>
        <w:spacing w:after="0" w:line="284" w:lineRule="auto"/>
        <w:tabs>
          <w:tab w:leader="none" w:pos="71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Liability; Indemnification</w:t>
      </w:r>
      <w:r>
        <w:rPr>
          <w:rFonts w:ascii="Times New Roman" w:cs="Times New Roman" w:eastAsia="Times New Roman" w:hAnsi="Times New Roman"/>
          <w:sz w:val="20"/>
          <w:szCs w:val="20"/>
          <w:color w:val="auto"/>
        </w:rPr>
        <w:t>. No member of the Board or Committee, and none of the chief executive officer or any other delegate or agent of the Committee shall be liable for any act, omission, interpretation, construction or determination made in connection with the Plan in good faith, and each person who is or shall have been a member of the Board or Committee, the chief executive officer and each delegate or agent of the Committee shall be indemnified and held harmless by the Company against and from any loss, cost, liability, or expense (including attorneys’ fees) that may be imposed upon or reasonably incurred by him or her in connection with or resulting from any claim, action, suit, or proceeding to which he or she may be made a party or in which he or she may be involved in by reason of any action taken or failure to act under the Plan to the full extent permitted by law, except as otherwise provided in the Company’s Certificate of Incorporation and/or Bylaws, and under any directors’ and officers’ liability insurance that may be in effect from time to time.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spacing w:after="0" w:line="94" w:lineRule="exact"/>
        <w:rPr>
          <w:rFonts w:ascii="Times New Roman" w:cs="Times New Roman" w:eastAsia="Times New Roman" w:hAnsi="Times New Roman"/>
          <w:sz w:val="20"/>
          <w:szCs w:val="20"/>
          <w:color w:val="auto"/>
        </w:rPr>
      </w:pPr>
    </w:p>
    <w:p>
      <w:pPr>
        <w:ind w:left="-20" w:right="20" w:firstLine="439"/>
        <w:spacing w:after="0" w:line="283" w:lineRule="auto"/>
        <w:tabs>
          <w:tab w:leader="none" w:pos="66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w:t>
      </w:r>
      <w:r>
        <w:rPr>
          <w:rFonts w:ascii="Times New Roman" w:cs="Times New Roman" w:eastAsia="Times New Roman" w:hAnsi="Times New Roman"/>
          <w:sz w:val="20"/>
          <w:szCs w:val="20"/>
          <w:color w:val="auto"/>
        </w:rPr>
        <w:t>. In the event that the Committee shall determine that such action would, taking into account such factors as it deems relevant, be beneficial to the Company, the Committee may affirmatively act to amend, modify or terminate any outstanding Award at any time prior to payment or exercise in any manner not inconsistent with the terms of the Plan, including without limitation, change the date or dates as of which (A) an Option or Stock Appreciation Right becomes exercisable, (B) a Performance Share or Performance Unit is deemed earned, or (C) Restricted Stock, Restricted Stock Units, Deferred Share Units and other Stock-Based Awards becomes nonforfeitable, except that no outstanding Option may be amended or otherwise modified or exchanged (other than in connection with a transaction described in Section 4(f)) in a manner that would have the effect of reducing its original exercise price or otherwise constitute repricing. Any such action by the Committee shall be subject to the Participant’s consent if the Committee determines that such action would adversely affect the Participant’s rights under such Award, whether in whole or in part. Notwithstanding anything to the contrary contained herein, the Committee may, in its sole discretion, accelerate the exercisability or vesting or lapse of any Restriction Period with respect to all or any portion of any outstanding Award at any time. Notwithstanding any provisions of the Plan to the contrary, the Committee may not, without the consent of the affected Participant, amend, modify or terminate an outstanding Award or exercise any discretion in any manner that would result in the imposition of an additional tax, interest or penalty under Section 409A of the Code.</w:t>
      </w: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213995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8" w:right="339" w:bottom="1440" w:gutter="0" w:footer="0" w:header="0"/>
        </w:sectPr>
      </w:pPr>
    </w:p>
    <w:bookmarkStart w:id="70" w:name="page71"/>
    <w:bookmarkEnd w:id="70"/>
    <w:p>
      <w:pPr>
        <w:ind w:left="-20" w:right="80" w:firstLine="439"/>
        <w:spacing w:after="0" w:line="256" w:lineRule="auto"/>
        <w:tabs>
          <w:tab w:leader="none" w:pos="77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409A Compliance</w:t>
      </w:r>
      <w:r>
        <w:rPr>
          <w:rFonts w:ascii="Times New Roman" w:cs="Times New Roman" w:eastAsia="Times New Roman" w:hAnsi="Times New Roman"/>
          <w:sz w:val="22"/>
          <w:szCs w:val="22"/>
          <w:color w:val="auto"/>
        </w:rPr>
        <w:t>. The Plan is intended to be administered in a manner consistent with the requirements, where applicable, of Section 409A of the Code. Where reasonably possible and practicable, the Plan shall be administered in a manner to avoid the imposition on Participants of immediate tax recognition and additional taxes pursuant to Section 409A of the Code. In the case of any Specified Award that may be treated as payable in the form of “a series of installment payments,” as defined in Treasury Regulation Section 1.409A-2(b)(2)(iii), a Participant’s or Designated Beneficiary’s right to receive such payments shall be treated as a right to receive a series of separate payments for purposes of such Treasury Regulation. Notwithstanding the foregoing, neither the Company nor the Committee, nor any of the Company’s directors, officers or employees shall have any liability to any person in the event Section 409A of the Code applies to any such Award in a manner that results in adverse tax consequences for the Participant or any of his beneficiaries or transferees. Notwithstanding any provision of this Plan or any Award Agreement to the contrary, the Board or the Committee may unilaterally amend, modify or terminate the Plan or any outstanding Award, including but not limited to changing the form of Award or the exercise price of any Option or SAR, if the Board or Committee determines, in its sole discretion, that such amendment, modification or termination is necessary or advisable to comply with applicable U.S. law, as a result of changes in law or regulation or to avoid the imposition of an additional tax, interest or penalty under Section 409A of the Code.</w:t>
      </w:r>
    </w:p>
    <w:p>
      <w:pPr>
        <w:spacing w:after="0" w:line="119" w:lineRule="exact"/>
        <w:rPr>
          <w:rFonts w:ascii="Times New Roman" w:cs="Times New Roman" w:eastAsia="Times New Roman" w:hAnsi="Times New Roman"/>
          <w:sz w:val="22"/>
          <w:szCs w:val="22"/>
          <w:color w:val="auto"/>
        </w:rPr>
      </w:pPr>
    </w:p>
    <w:p>
      <w:pPr>
        <w:ind w:left="-20" w:firstLine="439"/>
        <w:spacing w:after="0" w:line="256" w:lineRule="auto"/>
        <w:tabs>
          <w:tab w:leader="none" w:pos="71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Provisions Applicable to Specified Employees</w:t>
      </w:r>
      <w:r>
        <w:rPr>
          <w:rFonts w:ascii="Times New Roman" w:cs="Times New Roman" w:eastAsia="Times New Roman" w:hAnsi="Times New Roman"/>
          <w:sz w:val="22"/>
          <w:szCs w:val="22"/>
          <w:color w:val="auto"/>
        </w:rPr>
        <w:t>. Notwithstanding the terms of this Plan or any Award Agreement to the contrary, if at the time of Participant’s Termination of Service he or she is a “specified employee” within the meaning of Section 409A of the Code, any payment of any “nonqualified deferred compensation” amounts (within the meaning of Section 409A of the Code and after taking into account all exclusions applicable to such payments under Section 409A of the Code) required to be made to the Participant upon or as a result of the Termination of Service (as defined in Section 409A) shall be delayed until after the six-month anniversary of the Termination of Service to the extent necessary to comply with and avoid the imposition of taxes, interest and penalties under Section 409A of the Code. Any such payments to which he or she would otherwise be entitled during the first six months following his or her Termination of Service will be accumulated and paid without interest on the first payroll date after the six-month anniversary of the Termination of Service (unless another Section 409A-compliant payment date applies) or within thirty days thereafter. These provisions will only apply if and to the extent required to avoid the imposition of taxes, interest and penalties under Section 409A of the Code.</w:t>
      </w:r>
    </w:p>
    <w:p>
      <w:pPr>
        <w:spacing w:after="0" w:line="119" w:lineRule="exact"/>
        <w:rPr>
          <w:rFonts w:ascii="Times New Roman" w:cs="Times New Roman" w:eastAsia="Times New Roman" w:hAnsi="Times New Roman"/>
          <w:sz w:val="22"/>
          <w:szCs w:val="22"/>
          <w:color w:val="auto"/>
        </w:rPr>
      </w:pPr>
    </w:p>
    <w:p>
      <w:pPr>
        <w:ind w:left="-20" w:right="160" w:firstLine="439"/>
        <w:spacing w:after="0" w:line="263" w:lineRule="auto"/>
        <w:tabs>
          <w:tab w:leader="none" w:pos="71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Benefits</w:t>
      </w:r>
      <w:r>
        <w:rPr>
          <w:rFonts w:ascii="Times New Roman" w:cs="Times New Roman" w:eastAsia="Times New Roman" w:hAnsi="Times New Roman"/>
          <w:sz w:val="22"/>
          <w:szCs w:val="22"/>
          <w:color w:val="auto"/>
        </w:rPr>
        <w:t>. Except as may otherwise be specifically stated under any employee benefit plan, policy or program, no amount payable in respect of any Award shall be treated as compensation for purposes of calculating a Participant’s right under any such plan, policy or program.</w:t>
      </w:r>
    </w:p>
    <w:p>
      <w:pPr>
        <w:spacing w:after="0" w:line="112" w:lineRule="exact"/>
        <w:rPr>
          <w:rFonts w:ascii="Times New Roman" w:cs="Times New Roman" w:eastAsia="Times New Roman" w:hAnsi="Times New Roman"/>
          <w:sz w:val="22"/>
          <w:szCs w:val="22"/>
          <w:color w:val="auto"/>
        </w:rPr>
      </w:pPr>
    </w:p>
    <w:p>
      <w:pPr>
        <w:ind w:left="-20" w:right="100" w:firstLine="439"/>
        <w:spacing w:after="0" w:line="294" w:lineRule="auto"/>
        <w:tabs>
          <w:tab w:leader="none" w:pos="71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Constraint on Corporate Action</w:t>
      </w:r>
      <w:r>
        <w:rPr>
          <w:rFonts w:ascii="Times New Roman" w:cs="Times New Roman" w:eastAsia="Times New Roman" w:hAnsi="Times New Roman"/>
          <w:sz w:val="20"/>
          <w:szCs w:val="20"/>
          <w:color w:val="auto"/>
        </w:rPr>
        <w:t>. Nothing in this Plan shall be construed (a) to limit, impair or otherwise affect the Company’s right or power to make adjustments, reclassifications, reorganizations or changes of its capital or business structure, or to merge or consolidate, or dissolve, liquidate, sell, or transfer all or any part of its business or assets or (b) to limit the right or power of the Company, or any Subsidiary, to take any action which such entity deems to be necessary or appropriate.</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205105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8" w:right="339" w:bottom="1440" w:gutter="0" w:footer="0" w:header="0"/>
        </w:sectPr>
      </w:pPr>
    </w:p>
    <w:bookmarkStart w:id="71" w:name="page72"/>
    <w:bookmarkEnd w:id="71"/>
    <w:p>
      <w:pPr>
        <w:ind w:left="-180" w:firstLine="439"/>
        <w:spacing w:after="0" w:line="283" w:lineRule="auto"/>
        <w:tabs>
          <w:tab w:leader="none" w:pos="55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shall not be considered part of this Plan, and shall not be employed in the construction of this Plan.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205105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28" w:right="5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ind w:left="340" w:right="2540"/>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OF THE EXCHANGE ACT, AS AMENDED,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Oakleigh Thorne, certify that:</w:t>
      </w:r>
    </w:p>
    <w:p>
      <w:pPr>
        <w:spacing w:after="0" w:line="215"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49" w:lineRule="exact"/>
        <w:rPr>
          <w:rFonts w:ascii="Times New Roman" w:cs="Times New Roman" w:eastAsia="Times New Roman" w:hAnsi="Times New Roman"/>
          <w:sz w:val="18"/>
          <w:szCs w:val="18"/>
          <w:color w:val="auto"/>
        </w:rPr>
      </w:pPr>
    </w:p>
    <w:p>
      <w:pPr>
        <w:ind w:left="520" w:right="300" w:hanging="512"/>
        <w:spacing w:after="0" w:line="258" w:lineRule="auto"/>
        <w:tabs>
          <w:tab w:leader="none" w:pos="37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37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37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20" w:right="100" w:hanging="479"/>
        <w:spacing w:after="0" w:line="250" w:lineRule="auto"/>
        <w:tabs>
          <w:tab w:leader="none" w:pos="8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20" w:right="340" w:hanging="479"/>
        <w:spacing w:after="0" w:line="250" w:lineRule="auto"/>
        <w:tabs>
          <w:tab w:leader="none" w:pos="8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500" w:hanging="479"/>
        <w:spacing w:after="0" w:line="289" w:lineRule="auto"/>
        <w:tabs>
          <w:tab w:leader="none" w:pos="89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58" w:lineRule="auto"/>
        <w:tabs>
          <w:tab w:leader="none" w:pos="8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20" w:right="40" w:hanging="479"/>
        <w:spacing w:after="0" w:line="265" w:lineRule="auto"/>
        <w:tabs>
          <w:tab w:leader="none" w:pos="8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320" w:right="339" w:bottom="1440" w:gutter="0" w:footer="0" w:header="0"/>
        </w:sectPr>
      </w:pP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2022</w:t>
      </w:r>
    </w:p>
    <w:p>
      <w:pPr>
        <w:spacing w:after="0" w:line="211" w:lineRule="exact"/>
        <w:rPr>
          <w:sz w:val="20"/>
          <w:szCs w:val="20"/>
          <w:color w:val="auto"/>
        </w:rPr>
      </w:pPr>
    </w:p>
    <w:p>
      <w:pPr>
        <w:sectPr>
          <w:pgSz w:w="11900" w:h="16838" w:orient="portrait"/>
          <w:cols w:equalWidth="0" w:num="2">
            <w:col w:w="420" w:space="380"/>
            <w:col w:w="10440"/>
          </w:cols>
          <w:pgMar w:left="320" w:top="320" w:right="33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24765</wp:posOffset>
            </wp:positionV>
            <wp:extent cx="28511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200" w:space="260"/>
            <w:col w:w="10780"/>
          </w:cols>
          <w:pgMar w:left="320" w:top="32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ind w:left="340" w:right="2540"/>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OF THE EXCHANGE ACT, AS AMENDED,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Barry Rowan, certify that:</w:t>
      </w:r>
    </w:p>
    <w:p>
      <w:pPr>
        <w:spacing w:after="0" w:line="215"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49" w:lineRule="exact"/>
        <w:rPr>
          <w:rFonts w:ascii="Times New Roman" w:cs="Times New Roman" w:eastAsia="Times New Roman" w:hAnsi="Times New Roman"/>
          <w:sz w:val="18"/>
          <w:szCs w:val="18"/>
          <w:color w:val="auto"/>
        </w:rPr>
      </w:pPr>
    </w:p>
    <w:p>
      <w:pPr>
        <w:ind w:left="520" w:right="300" w:hanging="512"/>
        <w:spacing w:after="0" w:line="258" w:lineRule="auto"/>
        <w:tabs>
          <w:tab w:leader="none" w:pos="3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3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3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20" w:right="100" w:hanging="479"/>
        <w:spacing w:after="0" w:line="250" w:lineRule="auto"/>
        <w:tabs>
          <w:tab w:leader="none" w:pos="8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20" w:right="340" w:hanging="479"/>
        <w:spacing w:after="0" w:line="250" w:lineRule="auto"/>
        <w:tabs>
          <w:tab w:leader="none" w:pos="8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500" w:hanging="479"/>
        <w:spacing w:after="0" w:line="289" w:lineRule="auto"/>
        <w:tabs>
          <w:tab w:leader="none" w:pos="894"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58" w:lineRule="auto"/>
        <w:tabs>
          <w:tab w:leader="none" w:pos="8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20" w:right="40" w:hanging="479"/>
        <w:spacing w:after="0" w:line="265" w:lineRule="auto"/>
        <w:tabs>
          <w:tab w:leader="none" w:pos="8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320" w:right="339" w:bottom="1440" w:gutter="0" w:footer="0" w:header="0"/>
        </w:sectPr>
      </w:pP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2022</w:t>
      </w:r>
    </w:p>
    <w:p>
      <w:pPr>
        <w:spacing w:after="0" w:line="211" w:lineRule="exact"/>
        <w:rPr>
          <w:sz w:val="20"/>
          <w:szCs w:val="20"/>
          <w:color w:val="auto"/>
        </w:rPr>
      </w:pPr>
    </w:p>
    <w:p>
      <w:pPr>
        <w:sectPr>
          <w:pgSz w:w="11900" w:h="16838" w:orient="portrait"/>
          <w:cols w:equalWidth="0" w:num="2">
            <w:col w:w="420" w:space="380"/>
            <w:col w:w="10440"/>
          </w:cols>
          <w:pgMar w:left="320" w:top="320" w:right="33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24765</wp:posOffset>
            </wp:positionV>
            <wp:extent cx="28511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200" w:space="260"/>
            <w:col w:w="10780"/>
          </w:cols>
          <w:pgMar w:left="320" w:top="32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Barry Rowan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Oakleigh Thorne, Chief Executive Officer of Gogo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79" w:lineRule="exact"/>
        <w:rPr>
          <w:sz w:val="20"/>
          <w:szCs w:val="20"/>
          <w:color w:val="auto"/>
        </w:rPr>
      </w:pPr>
    </w:p>
    <w:p>
      <w:pPr>
        <w:ind w:left="760" w:right="160" w:hanging="378"/>
        <w:spacing w:after="0" w:line="281"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or 15(d) of the Securities Exchange Act of 1934; and</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333" w:right="339" w:bottom="1440"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2022</w:t>
      </w:r>
    </w:p>
    <w:p>
      <w:pPr>
        <w:spacing w:after="0" w:line="211" w:lineRule="exact"/>
        <w:rPr>
          <w:sz w:val="20"/>
          <w:szCs w:val="20"/>
          <w:color w:val="auto"/>
        </w:rPr>
      </w:pPr>
    </w:p>
    <w:p>
      <w:pPr>
        <w:sectPr>
          <w:pgSz w:w="11900" w:h="16838" w:orient="portrait"/>
          <w:cols w:equalWidth="0" w:num="2">
            <w:col w:w="420" w:space="380"/>
            <w:col w:w="10440"/>
          </w:cols>
          <w:pgMar w:left="320" w:top="333" w:right="339" w:bottom="1440" w:gutter="0" w:footer="0" w:header="0"/>
          <w:type w:val="continuous"/>
        </w:sectPr>
      </w:pPr>
    </w:p>
    <w:p>
      <w:pPr>
        <w:spacing w:after="0" w:line="25"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7"/>
          <w:szCs w:val="17"/>
          <w:color w:val="auto"/>
        </w:rPr>
        <w:t>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8511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36" w:lineRule="exact"/>
        <w:rPr>
          <w:sz w:val="20"/>
          <w:szCs w:val="20"/>
          <w:color w:val="auto"/>
        </w:rPr>
      </w:pPr>
    </w:p>
    <w:p>
      <w:pPr>
        <w:ind w:left="760" w:right="160" w:hanging="378"/>
        <w:spacing w:after="0" w:line="281"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or 15(d) of the Securities Exchange Act of 1934; and</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333" w:right="339" w:bottom="1440"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2022</w:t>
      </w:r>
    </w:p>
    <w:p>
      <w:pPr>
        <w:spacing w:after="0" w:line="211" w:lineRule="exact"/>
        <w:rPr>
          <w:sz w:val="20"/>
          <w:szCs w:val="20"/>
          <w:color w:val="auto"/>
        </w:rPr>
      </w:pPr>
    </w:p>
    <w:p>
      <w:pPr>
        <w:sectPr>
          <w:pgSz w:w="11900" w:h="16838" w:orient="portrait"/>
          <w:cols w:equalWidth="0" w:num="2">
            <w:col w:w="420" w:space="380"/>
            <w:col w:w="10440"/>
          </w:cols>
          <w:pgMar w:left="320" w:top="333" w:right="339" w:bottom="1440" w:gutter="0" w:footer="0" w:header="0"/>
          <w:type w:val="continuous"/>
        </w:sectPr>
      </w:pPr>
    </w:p>
    <w:p>
      <w:pPr>
        <w:spacing w:after="0" w:line="25"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7"/>
          <w:szCs w:val="17"/>
          <w:color w:val="auto"/>
        </w:rPr>
        <w:t>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85115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Barry Rowan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1."/>
      <w:numFmt w:val="decimal"/>
      <w:start w:val="3"/>
    </w:lvl>
  </w:abstractNum>
  <w:abstractNum w:abstractNumId="5">
    <w:nsid w:val="2CD89A32"/>
    <w:multiLevelType w:val="hybridMultilevel"/>
    <w:lvl w:ilvl="0">
      <w:lvlJc w:val="left"/>
      <w:lvlText w:val="%1."/>
      <w:numFmt w:val="decimal"/>
      <w:start w:val="4"/>
    </w:lvl>
  </w:abstractNum>
  <w:abstractNum w:abstractNumId="6">
    <w:nsid w:val="57E4CCAF"/>
    <w:multiLevelType w:val="hybridMultilevel"/>
    <w:lvl w:ilvl="0">
      <w:lvlJc w:val="left"/>
      <w:lvlText w:val="%1."/>
      <w:numFmt w:val="decimal"/>
      <w:start w:val="5"/>
    </w:lvl>
  </w:abstractNum>
  <w:abstractNum w:abstractNumId="7">
    <w:nsid w:val="7A6D8D3C"/>
    <w:multiLevelType w:val="hybridMultilevel"/>
    <w:lvl w:ilvl="0">
      <w:lvlJc w:val="left"/>
      <w:lvlText w:val="%1."/>
      <w:numFmt w:val="decimal"/>
      <w:start w:val="6"/>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7"/>
    </w:lvl>
  </w:abstractNum>
  <w:abstractNum w:abstractNumId="11">
    <w:nsid w:val="38437FDB"/>
    <w:multiLevelType w:val="hybridMultilevel"/>
    <w:lvl w:ilvl="0">
      <w:lvlJc w:val="left"/>
      <w:lvlText w:val="%1."/>
      <w:numFmt w:val="decimal"/>
      <w:start w:val="8"/>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lowerRoman"/>
      <w:start w:val="2"/>
    </w:lvl>
  </w:abstractNum>
  <w:abstractNum w:abstractNumId="14">
    <w:nsid w:val="684A481A"/>
    <w:multiLevelType w:val="hybridMultilevel"/>
    <w:lvl w:ilvl="0">
      <w:lvlJc w:val="left"/>
      <w:lvlText w:val="%1."/>
      <w:numFmt w:val="decimal"/>
      <w:start w:val="9"/>
    </w:lvl>
  </w:abstractNum>
  <w:abstractNum w:abstractNumId="15">
    <w:nsid w:val="579478FE"/>
    <w:multiLevelType w:val="hybridMultilevel"/>
    <w:lvl w:ilvl="0">
      <w:lvlJc w:val="left"/>
      <w:lvlText w:val="%1."/>
      <w:numFmt w:val="decimal"/>
      <w:start w:val="10"/>
    </w:lvl>
  </w:abstractNum>
  <w:abstractNum w:abstractNumId="16">
    <w:nsid w:val="749ABB43"/>
    <w:multiLevelType w:val="hybridMultilevel"/>
    <w:lvl w:ilvl="0">
      <w:lvlJc w:val="left"/>
      <w:lvlText w:val="%1."/>
      <w:numFmt w:val="decimal"/>
      <w:start w:val="11"/>
    </w:lvl>
  </w:abstractNum>
  <w:abstractNum w:abstractNumId="17">
    <w:nsid w:val="3DC240FB"/>
    <w:multiLevelType w:val="hybridMultilevel"/>
    <w:lvl w:ilvl="0">
      <w:lvlJc w:val="left"/>
      <w:lvlText w:val="%1."/>
      <w:numFmt w:val="decimal"/>
      <w:start w:val="12"/>
    </w:lvl>
  </w:abstractNum>
  <w:abstractNum w:abstractNumId="18">
    <w:nsid w:val="1BA026FA"/>
    <w:multiLevelType w:val="hybridMultilevel"/>
    <w:lvl w:ilvl="0">
      <w:lvlJc w:val="left"/>
      <w:lvlText w:val="%1."/>
      <w:numFmt w:val="decimal"/>
      <w:start w:val="13"/>
    </w:lvl>
    <w:lvl w:ilvl="1">
      <w:lvlJc w:val="left"/>
      <w:lvlText w:val="•"/>
      <w:numFmt w:val="bullet"/>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4"/>
    </w:lvl>
  </w:abstractNum>
  <w:abstractNum w:abstractNumId="21">
    <w:nsid w:val="12E685FB"/>
    <w:multiLevelType w:val="hybridMultilevel"/>
    <w:lvl w:ilvl="0">
      <w:lvlJc w:val="left"/>
      <w:lvlText w:val="%1."/>
      <w:numFmt w:val="decimal"/>
      <w:start w:val="15"/>
    </w:lvl>
  </w:abstractNum>
  <w:abstractNum w:abstractNumId="22">
    <w:nsid w:val="70C6A529"/>
    <w:multiLevelType w:val="hybridMultilevel"/>
    <w:lvl w:ilvl="0">
      <w:lvlJc w:val="left"/>
      <w:lvlText w:val="%1."/>
      <w:numFmt w:val="decimal"/>
      <w:start w:val="16"/>
    </w:lvl>
  </w:abstractNum>
  <w:abstractNum w:abstractNumId="23">
    <w:nsid w:val="520EEDD1"/>
    <w:multiLevelType w:val="hybridMultilevel"/>
    <w:lvl w:ilvl="0">
      <w:lvlJc w:val="left"/>
      <w:lvlText w:val="%1."/>
      <w:numFmt w:val="decimal"/>
      <w:start w:val="17"/>
    </w:lvl>
  </w:abstractNum>
  <w:abstractNum w:abstractNumId="24">
    <w:nsid w:val="374A3FE6"/>
    <w:multiLevelType w:val="hybridMultilevel"/>
    <w:lvl w:ilvl="0">
      <w:lvlJc w:val="left"/>
      <w:lvlText w:val="%1."/>
      <w:numFmt w:val="decimal"/>
      <w:start w:val="18"/>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1)"/>
      <w:numFmt w:val="lowerRoman"/>
      <w:start w:val="2"/>
    </w:lvl>
  </w:abstractNum>
  <w:abstractNum w:abstractNumId="31">
    <w:nsid w:val="180115BE"/>
    <w:multiLevelType w:val="hybridMultilevel"/>
    <w:lvl w:ilvl="0">
      <w:lvlJc w:val="left"/>
      <w:lvlText w:val="(%1)"/>
      <w:numFmt w:val="lowerRoman"/>
      <w:start w:val="4"/>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lvl w:ilvl="1">
      <w:lvlJc w:val="left"/>
      <w:lvlText w:val="▪"/>
      <w:numFmt w:val="bullet"/>
      <w:start w:val="1"/>
    </w:lvl>
  </w:abstractNum>
  <w:abstractNum w:abstractNumId="35">
    <w:nsid w:val="15B5AF5C"/>
    <w:multiLevelType w:val="hybridMultilevel"/>
    <w:lvl w:ilvl="0">
      <w:lvlJc w:val="left"/>
      <w:lvlText w:val="o"/>
      <w:numFmt w:val="bullet"/>
      <w:start w:val="1"/>
    </w:lvl>
    <w:lvl w:ilvl="1">
      <w:lvlJc w:val="left"/>
      <w:lvlText w:val="▪"/>
      <w:numFmt w:val="bullet"/>
      <w:start w:val="1"/>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lowerLetter"/>
      <w:start w:val="2"/>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
      <w:numFmt w:val="bullet"/>
      <w:start w:val="1"/>
    </w:lvl>
    <w:lvl w:ilvl="1">
      <w:lvlJc w:val="left"/>
      <w:lvlText w:val="%2"/>
      <w:numFmt w:val="decimal"/>
      <w:start w:val="104"/>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lowerRoman"/>
      <w:start w:val="1"/>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lowerRoman"/>
      <w:start w:val="1"/>
    </w:lvl>
  </w:abstractNum>
  <w:abstractNum w:abstractNumId="44">
    <w:nsid w:val="310C50B3"/>
    <w:multiLevelType w:val="hybridMultilevel"/>
    <w:lvl w:ilvl="0">
      <w:lvlJc w:val="left"/>
      <w:lvlText w:val="(%1)"/>
      <w:numFmt w:val="lowerLetter"/>
      <w:start w:val="2"/>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6"/>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2"/>
    </w:lvl>
    <w:lvl w:ilvl="1">
      <w:lvlJc w:val="left"/>
      <w:lvlText w:val="(%2)"/>
      <w:numFmt w:val="lowerRoman"/>
      <w:start w:val="1"/>
    </w:lvl>
  </w:abstractNum>
  <w:abstractNum w:abstractNumId="49">
    <w:nsid w:val="4AD084E9"/>
    <w:multiLevelType w:val="hybridMultilevel"/>
    <w:lvl w:ilvl="0">
      <w:lvlJc w:val="left"/>
      <w:lvlText w:val="(%1)"/>
      <w:numFmt w:val="lowerLetter"/>
      <w:start w:val="5"/>
    </w:lvl>
  </w:abstractNum>
  <w:abstractNum w:abstractNumId="50">
    <w:nsid w:val="1F48EAA1"/>
    <w:multiLevelType w:val="hybridMultilevel"/>
    <w:lvl w:ilvl="0">
      <w:lvlJc w:val="left"/>
      <w:lvlText w:val="(%1)"/>
      <w:numFmt w:val="lowerLetter"/>
      <w:start w:val="7"/>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4"/>
    </w:lvl>
  </w:abstractNum>
  <w:abstractNum w:abstractNumId="53">
    <w:nsid w:val="100F8FCA"/>
    <w:multiLevelType w:val="hybridMultilevel"/>
    <w:lvl w:ilvl="0">
      <w:lvlJc w:val="left"/>
      <w:lvlText w:val="(%1)"/>
      <w:numFmt w:val="lowerRoman"/>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4"/>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3"/>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2"/>
    </w:lvl>
    <w:lvl w:ilvl="1">
      <w:lvlJc w:val="left"/>
      <w:lvlText w:val="(%2)"/>
      <w:numFmt w:val="lowerRoman"/>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2"/>
    </w:lvl>
  </w:abstractNum>
  <w:abstractNum w:abstractNumId="62">
    <w:nsid w:val="1EBA5D23"/>
    <w:multiLevelType w:val="hybridMultilevel"/>
    <w:lvl w:ilvl="0">
      <w:lvlJc w:val="left"/>
      <w:lvlText w:val="(%1)"/>
      <w:numFmt w:val="lowerLetter"/>
      <w:start w:val="4"/>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51D9C564"/>
    <w:multiLevelType w:val="hybridMultilevel"/>
    <w:lvl w:ilvl="0">
      <w:lvlJc w:val="left"/>
      <w:lvlText w:val="(%1)"/>
      <w:numFmt w:val="upperLetter"/>
      <w:start w:val="5"/>
    </w:lvl>
  </w:abstractNum>
  <w:abstractNum w:abstractNumId="68">
    <w:nsid w:val="613EFDC5"/>
    <w:multiLevelType w:val="hybridMultilevel"/>
    <w:lvl w:ilvl="0">
      <w:lvlJc w:val="left"/>
      <w:lvlText w:val="(%1)"/>
      <w:numFmt w:val="upperLetter"/>
      <w:start w:val="9"/>
    </w:lvl>
  </w:abstractNum>
  <w:abstractNum w:abstractNumId="69">
    <w:nsid w:val="BF72B14"/>
    <w:multiLevelType w:val="hybridMultilevel"/>
    <w:lvl w:ilvl="0">
      <w:lvlJc w:val="left"/>
      <w:lvlText w:val="(%1)"/>
      <w:numFmt w:val="upperLetter"/>
      <w:start w:val="35"/>
    </w:lvl>
  </w:abstractNum>
  <w:abstractNum w:abstractNumId="70">
    <w:nsid w:val="11447B73"/>
    <w:multiLevelType w:val="hybridMultilevel"/>
    <w:lvl w:ilvl="0">
      <w:lvlJc w:val="left"/>
      <w:lvlText w:val="%1"/>
      <w:numFmt w:val="lowerRoman"/>
      <w:start w:val="1"/>
    </w:lvl>
    <w:lvl w:ilvl="1">
      <w:lvlJc w:val="left"/>
      <w:lvlText w:val="(%2)"/>
      <w:numFmt w:val="upperLetter"/>
      <w:start w:val="61"/>
    </w:lvl>
  </w:abstractNum>
  <w:abstractNum w:abstractNumId="71">
    <w:nsid w:val="42963E5A"/>
    <w:multiLevelType w:val="hybridMultilevel"/>
    <w:lvl w:ilvl="0">
      <w:lvlJc w:val="left"/>
      <w:lvlText w:val="(%1)"/>
      <w:numFmt w:val="lowerRoman"/>
      <w:start w:val="2"/>
    </w:lvl>
    <w:lvl w:ilvl="1">
      <w:lvlJc w:val="left"/>
      <w:lvlText w:val="%2"/>
      <w:numFmt w:val="upperLetter"/>
      <w:start w:val="1"/>
    </w:lvl>
  </w:abstractNum>
  <w:abstractNum w:abstractNumId="72">
    <w:nsid w:val="A0382C5"/>
    <w:multiLevelType w:val="hybridMultilevel"/>
    <w:lvl w:ilvl="0">
      <w:lvlJc w:val="left"/>
      <w:lvlText w:val="(%1)"/>
      <w:numFmt w:val="lowerLetter"/>
      <w:start w:val="2"/>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3"/>
    </w:lvl>
  </w:abstractNum>
  <w:abstractNum w:abstractNumId="75">
    <w:nsid w:val="3B0FD379"/>
    <w:multiLevelType w:val="hybridMultilevel"/>
    <w:lvl w:ilvl="0">
      <w:lvlJc w:val="left"/>
      <w:lvlText w:val="(%1)"/>
      <w:numFmt w:val="lowerLetter"/>
      <w:start w:val="6"/>
    </w:lvl>
  </w:abstractNum>
  <w:abstractNum w:abstractNumId="76">
    <w:nsid w:val="68EB2F63"/>
    <w:multiLevelType w:val="hybridMultilevel"/>
    <w:lvl w:ilvl="0">
      <w:lvlJc w:val="left"/>
      <w:lvlText w:val="(%1)"/>
      <w:numFmt w:val="lowerLetter"/>
      <w:start w:val="10"/>
    </w:lvl>
  </w:abstractNum>
  <w:abstractNum w:abstractNumId="77">
    <w:nsid w:val="4962813B"/>
    <w:multiLevelType w:val="hybridMultilevel"/>
    <w:lvl w:ilvl="0">
      <w:lvlJc w:val="left"/>
      <w:lvlText w:val="(%1)"/>
      <w:numFmt w:val="lowerLetter"/>
      <w:start w:val="13"/>
    </w:lvl>
  </w:abstractNum>
  <w:abstractNum w:abstractNumId="78">
    <w:nsid w:val="60B6DF70"/>
    <w:multiLevelType w:val="hybridMultilevel"/>
    <w:lvl w:ilvl="0">
      <w:lvlJc w:val="left"/>
      <w:lvlText w:val="(%1)"/>
      <w:numFmt w:val="lowerLetter"/>
      <w:start w:val="17"/>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398" Type="http://schemas.openxmlformats.org/officeDocument/2006/relationships/hyperlink" Target="https://www.sec.gov/Archives/edgar/data/1537054/000095017022010727/gogo-ex10_1.htm" TargetMode="External"/><Relationship Id="rId399" Type="http://schemas.openxmlformats.org/officeDocument/2006/relationships/hyperlink" Target="https://www.sec.gov/Archives/edgar/data/1537054/000095017022011631/gog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2022-08-05T12:09:28Z</dcterms:created>
  <dcterms:modified xsi:type="dcterms:W3CDTF">2022-08-05T12:09:28Z</dcterms:modified>
</cp:coreProperties>
</file>