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7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2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Registration No. 333-</w:t>
            </w:r>
          </w:p>
        </w:tc>
      </w:tr>
      <w:tr>
        <w:trPr>
          <w:trHeight w:val="395"/>
        </w:trPr>
        <w:tc>
          <w:tcPr>
            <w:tcW w:w="8720" w:type="dxa"/>
            <w:vAlign w:val="bottom"/>
            <w:gridSpan w:val="3"/>
          </w:tcPr>
          <w:p>
            <w:pPr>
              <w:jc w:val="center"/>
              <w:ind w:left="2451"/>
              <w:spacing w:after="0"/>
              <w:rPr>
                <w:sz w:val="20"/>
                <w:szCs w:val="20"/>
                <w:color w:val="auto"/>
              </w:rPr>
            </w:pPr>
            <w:r>
              <w:rPr>
                <w:rFonts w:ascii="Times New Roman" w:cs="Times New Roman" w:eastAsia="Times New Roman" w:hAnsi="Times New Roman"/>
                <w:sz w:val="18"/>
                <w:szCs w:val="18"/>
                <w:b w:val="1"/>
                <w:bCs w:val="1"/>
                <w:color w:val="auto"/>
                <w:w w:val="98"/>
              </w:rPr>
              <w:t>UNITED STATES</w:t>
            </w:r>
          </w:p>
        </w:tc>
        <w:tc>
          <w:tcPr>
            <w:tcW w:w="2520" w:type="dxa"/>
            <w:vAlign w:val="bottom"/>
          </w:tcPr>
          <w:p>
            <w:pPr>
              <w:spacing w:after="0"/>
              <w:rPr>
                <w:sz w:val="24"/>
                <w:szCs w:val="24"/>
                <w:color w:val="auto"/>
              </w:rPr>
            </w:pPr>
          </w:p>
        </w:tc>
      </w:tr>
      <w:tr>
        <w:trPr>
          <w:trHeight w:val="214"/>
        </w:trPr>
        <w:tc>
          <w:tcPr>
            <w:tcW w:w="8720" w:type="dxa"/>
            <w:vAlign w:val="bottom"/>
            <w:gridSpan w:val="3"/>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9"/>
              </w:rPr>
              <w:t>SECURITIES AND EXCHANGE COMMISSION</w:t>
            </w:r>
          </w:p>
        </w:tc>
        <w:tc>
          <w:tcPr>
            <w:tcW w:w="2520" w:type="dxa"/>
            <w:vAlign w:val="bottom"/>
          </w:tcPr>
          <w:p>
            <w:pPr>
              <w:spacing w:after="0"/>
              <w:rPr>
                <w:sz w:val="18"/>
                <w:szCs w:val="18"/>
                <w:color w:val="auto"/>
              </w:rPr>
            </w:pPr>
          </w:p>
        </w:tc>
      </w:tr>
      <w:tr>
        <w:trPr>
          <w:trHeight w:val="237"/>
        </w:trPr>
        <w:tc>
          <w:tcPr>
            <w:tcW w:w="8720" w:type="dxa"/>
            <w:vAlign w:val="bottom"/>
            <w:gridSpan w:val="3"/>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8"/>
              </w:rPr>
              <w:t>Washington, D.C. 20549</w:t>
            </w:r>
          </w:p>
        </w:tc>
        <w:tc>
          <w:tcPr>
            <w:tcW w:w="2520" w:type="dxa"/>
            <w:vAlign w:val="bottom"/>
          </w:tcPr>
          <w:p>
            <w:pPr>
              <w:spacing w:after="0"/>
              <w:rPr>
                <w:sz w:val="20"/>
                <w:szCs w:val="20"/>
                <w:color w:val="auto"/>
              </w:rPr>
            </w:pPr>
          </w:p>
        </w:tc>
      </w:tr>
      <w:tr>
        <w:trPr>
          <w:trHeight w:val="427"/>
        </w:trPr>
        <w:tc>
          <w:tcPr>
            <w:tcW w:w="8720" w:type="dxa"/>
            <w:vAlign w:val="bottom"/>
            <w:gridSpan w:val="3"/>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9"/>
              </w:rPr>
              <w:t>FORM S-8</w:t>
            </w:r>
          </w:p>
        </w:tc>
        <w:tc>
          <w:tcPr>
            <w:tcW w:w="2520" w:type="dxa"/>
            <w:vAlign w:val="bottom"/>
          </w:tcPr>
          <w:p>
            <w:pPr>
              <w:spacing w:after="0"/>
              <w:rPr>
                <w:sz w:val="24"/>
                <w:szCs w:val="24"/>
                <w:color w:val="auto"/>
              </w:rPr>
            </w:pPr>
          </w:p>
        </w:tc>
      </w:tr>
      <w:tr>
        <w:trPr>
          <w:trHeight w:val="405"/>
        </w:trPr>
        <w:tc>
          <w:tcPr>
            <w:tcW w:w="8720" w:type="dxa"/>
            <w:vAlign w:val="bottom"/>
            <w:gridSpan w:val="3"/>
          </w:tcPr>
          <w:p>
            <w:pPr>
              <w:jc w:val="center"/>
              <w:ind w:left="2451"/>
              <w:spacing w:after="0"/>
              <w:rPr>
                <w:sz w:val="20"/>
                <w:szCs w:val="20"/>
                <w:color w:val="auto"/>
              </w:rPr>
            </w:pPr>
            <w:r>
              <w:rPr>
                <w:rFonts w:ascii="Times New Roman" w:cs="Times New Roman" w:eastAsia="Times New Roman" w:hAnsi="Times New Roman"/>
                <w:sz w:val="18"/>
                <w:szCs w:val="18"/>
                <w:b w:val="1"/>
                <w:bCs w:val="1"/>
                <w:color w:val="auto"/>
                <w:w w:val="98"/>
              </w:rPr>
              <w:t>REGISTRATION STATEMENT</w:t>
            </w:r>
          </w:p>
        </w:tc>
        <w:tc>
          <w:tcPr>
            <w:tcW w:w="2520" w:type="dxa"/>
            <w:vAlign w:val="bottom"/>
          </w:tcPr>
          <w:p>
            <w:pPr>
              <w:spacing w:after="0"/>
              <w:rPr>
                <w:sz w:val="24"/>
                <w:szCs w:val="24"/>
                <w:color w:val="auto"/>
              </w:rPr>
            </w:pPr>
          </w:p>
        </w:tc>
      </w:tr>
      <w:tr>
        <w:trPr>
          <w:trHeight w:val="214"/>
        </w:trPr>
        <w:tc>
          <w:tcPr>
            <w:tcW w:w="8720" w:type="dxa"/>
            <w:vAlign w:val="bottom"/>
            <w:gridSpan w:val="3"/>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9"/>
              </w:rPr>
              <w:t>UNDER</w:t>
            </w:r>
          </w:p>
        </w:tc>
        <w:tc>
          <w:tcPr>
            <w:tcW w:w="2520" w:type="dxa"/>
            <w:vAlign w:val="bottom"/>
          </w:tcPr>
          <w:p>
            <w:pPr>
              <w:spacing w:after="0"/>
              <w:rPr>
                <w:sz w:val="18"/>
                <w:szCs w:val="18"/>
                <w:color w:val="auto"/>
              </w:rPr>
            </w:pPr>
          </w:p>
        </w:tc>
      </w:tr>
      <w:tr>
        <w:trPr>
          <w:trHeight w:val="237"/>
        </w:trPr>
        <w:tc>
          <w:tcPr>
            <w:tcW w:w="8720" w:type="dxa"/>
            <w:vAlign w:val="bottom"/>
            <w:gridSpan w:val="3"/>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8"/>
              </w:rPr>
              <w:t>THE SECURITIES ACT OF 1933</w:t>
            </w:r>
          </w:p>
        </w:tc>
        <w:tc>
          <w:tcPr>
            <w:tcW w:w="2520" w:type="dxa"/>
            <w:vAlign w:val="bottom"/>
          </w:tcPr>
          <w:p>
            <w:pPr>
              <w:spacing w:after="0"/>
              <w:rPr>
                <w:sz w:val="20"/>
                <w:szCs w:val="20"/>
                <w:color w:val="auto"/>
              </w:rPr>
            </w:pPr>
          </w:p>
        </w:tc>
      </w:tr>
      <w:tr>
        <w:trPr>
          <w:trHeight w:val="409"/>
        </w:trPr>
        <w:tc>
          <w:tcPr>
            <w:tcW w:w="8720" w:type="dxa"/>
            <w:vAlign w:val="bottom"/>
            <w:gridSpan w:val="3"/>
          </w:tcPr>
          <w:p>
            <w:pPr>
              <w:jc w:val="center"/>
              <w:ind w:left="2451"/>
              <w:spacing w:after="0"/>
              <w:rPr>
                <w:sz w:val="20"/>
                <w:szCs w:val="20"/>
                <w:color w:val="auto"/>
              </w:rPr>
            </w:pPr>
            <w:r>
              <w:rPr>
                <w:rFonts w:ascii="Times New Roman" w:cs="Times New Roman" w:eastAsia="Times New Roman" w:hAnsi="Times New Roman"/>
                <w:sz w:val="18"/>
                <w:szCs w:val="18"/>
                <w:b w:val="1"/>
                <w:bCs w:val="1"/>
                <w:color w:val="auto"/>
                <w:w w:val="98"/>
              </w:rPr>
              <w:t>Gogo Inc.</w:t>
            </w:r>
          </w:p>
        </w:tc>
        <w:tc>
          <w:tcPr>
            <w:tcW w:w="2520" w:type="dxa"/>
            <w:vAlign w:val="bottom"/>
          </w:tcPr>
          <w:p>
            <w:pPr>
              <w:spacing w:after="0"/>
              <w:rPr>
                <w:sz w:val="24"/>
                <w:szCs w:val="24"/>
                <w:color w:val="auto"/>
              </w:rPr>
            </w:pPr>
          </w:p>
        </w:tc>
      </w:tr>
      <w:tr>
        <w:trPr>
          <w:trHeight w:val="233"/>
        </w:trPr>
        <w:tc>
          <w:tcPr>
            <w:tcW w:w="8720" w:type="dxa"/>
            <w:vAlign w:val="bottom"/>
            <w:gridSpan w:val="3"/>
          </w:tcPr>
          <w:p>
            <w:pPr>
              <w:jc w:val="center"/>
              <w:ind w:left="243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c>
          <w:tcPr>
            <w:tcW w:w="2520" w:type="dxa"/>
            <w:vAlign w:val="bottom"/>
          </w:tcPr>
          <w:p>
            <w:pPr>
              <w:spacing w:after="0"/>
              <w:rPr>
                <w:sz w:val="20"/>
                <w:szCs w:val="20"/>
                <w:color w:val="auto"/>
              </w:rPr>
            </w:pPr>
          </w:p>
        </w:tc>
      </w:tr>
      <w:tr>
        <w:trPr>
          <w:trHeight w:val="434"/>
        </w:trPr>
        <w:tc>
          <w:tcPr>
            <w:tcW w:w="872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jc w:val="right"/>
              <w:ind w:right="1111"/>
              <w:spacing w:after="0"/>
              <w:rPr>
                <w:sz w:val="20"/>
                <w:szCs w:val="20"/>
                <w:color w:val="auto"/>
              </w:rPr>
            </w:pPr>
            <w:r>
              <w:rPr>
                <w:rFonts w:ascii="Times New Roman" w:cs="Times New Roman" w:eastAsia="Times New Roman" w:hAnsi="Times New Roman"/>
                <w:sz w:val="18"/>
                <w:szCs w:val="18"/>
                <w:b w:val="1"/>
                <w:bCs w:val="1"/>
                <w:color w:val="auto"/>
              </w:rPr>
              <w:t>98-1567584</w:t>
            </w:r>
          </w:p>
        </w:tc>
      </w:tr>
      <w:tr>
        <w:trPr>
          <w:trHeight w:val="195"/>
        </w:trPr>
        <w:tc>
          <w:tcPr>
            <w:tcW w:w="7960" w:type="dxa"/>
            <w:vAlign w:val="bottom"/>
            <w:tcBorders>
              <w:top w:val="single" w:sz="8" w:color="auto"/>
            </w:tcBorders>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4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tcPr>
          <w:p>
            <w:pPr>
              <w:jc w:val="center"/>
              <w:ind w:right="651"/>
              <w:spacing w:after="0" w:line="195"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3"/>
        </w:trPr>
        <w:tc>
          <w:tcPr>
            <w:tcW w:w="872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color w:val="auto"/>
                <w:w w:val="99"/>
              </w:rPr>
              <w:t>organization)</w:t>
            </w:r>
          </w:p>
        </w:tc>
        <w:tc>
          <w:tcPr>
            <w:tcW w:w="2520" w:type="dxa"/>
            <w:vAlign w:val="bottom"/>
          </w:tcPr>
          <w:p>
            <w:pPr>
              <w:jc w:val="center"/>
              <w:ind w:right="63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05"/>
        </w:trPr>
        <w:tc>
          <w:tcPr>
            <w:tcW w:w="8720" w:type="dxa"/>
            <w:vAlign w:val="bottom"/>
            <w:gridSpan w:val="3"/>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w w:val="98"/>
              </w:rPr>
              <w:t>105 Edgeview Dr., Suite 300</w:t>
            </w:r>
          </w:p>
        </w:tc>
        <w:tc>
          <w:tcPr>
            <w:tcW w:w="2520" w:type="dxa"/>
            <w:vAlign w:val="bottom"/>
          </w:tcPr>
          <w:p>
            <w:pPr>
              <w:spacing w:after="0"/>
              <w:rPr>
                <w:sz w:val="24"/>
                <w:szCs w:val="24"/>
                <w:color w:val="auto"/>
              </w:rPr>
            </w:pPr>
          </w:p>
        </w:tc>
      </w:tr>
      <w:tr>
        <w:trPr>
          <w:trHeight w:val="243"/>
        </w:trPr>
        <w:tc>
          <w:tcPr>
            <w:tcW w:w="87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8"/>
              </w:rPr>
              <w:t>Broomfield, Colorado</w:t>
            </w:r>
          </w:p>
        </w:tc>
        <w:tc>
          <w:tcPr>
            <w:tcW w:w="2520" w:type="dxa"/>
            <w:vAlign w:val="bottom"/>
          </w:tcPr>
          <w:p>
            <w:pPr>
              <w:jc w:val="right"/>
              <w:ind w:right="1311"/>
              <w:spacing w:after="0"/>
              <w:rPr>
                <w:sz w:val="20"/>
                <w:szCs w:val="20"/>
                <w:color w:val="auto"/>
              </w:rPr>
            </w:pPr>
            <w:r>
              <w:rPr>
                <w:rFonts w:ascii="Times New Roman" w:cs="Times New Roman" w:eastAsia="Times New Roman" w:hAnsi="Times New Roman"/>
                <w:sz w:val="18"/>
                <w:szCs w:val="18"/>
                <w:b w:val="1"/>
                <w:bCs w:val="1"/>
                <w:color w:val="auto"/>
              </w:rPr>
              <w:t>80021</w:t>
            </w:r>
          </w:p>
        </w:tc>
      </w:tr>
      <w:tr>
        <w:trPr>
          <w:trHeight w:val="233"/>
        </w:trPr>
        <w:tc>
          <w:tcPr>
            <w:tcW w:w="7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520" w:type="dxa"/>
            <w:vAlign w:val="bottom"/>
            <w:tcBorders>
              <w:top w:val="single" w:sz="8" w:color="auto"/>
            </w:tcBorders>
          </w:tcPr>
          <w:p>
            <w:pPr>
              <w:jc w:val="center"/>
              <w:ind w:right="631"/>
              <w:spacing w:after="0"/>
              <w:rPr>
                <w:sz w:val="20"/>
                <w:szCs w:val="20"/>
                <w:color w:val="auto"/>
              </w:rPr>
            </w:pPr>
            <w:r>
              <w:rPr>
                <w:rFonts w:ascii="Times New Roman" w:cs="Times New Roman" w:eastAsia="Times New Roman" w:hAnsi="Times New Roman"/>
                <w:sz w:val="18"/>
                <w:szCs w:val="18"/>
                <w:color w:val="auto"/>
              </w:rPr>
              <w:t>(Zip Code)</w:t>
            </w:r>
          </w:p>
        </w:tc>
      </w:tr>
      <w:tr>
        <w:trPr>
          <w:trHeight w:val="390"/>
        </w:trPr>
        <w:tc>
          <w:tcPr>
            <w:tcW w:w="8720" w:type="dxa"/>
            <w:vAlign w:val="bottom"/>
            <w:gridSpan w:val="3"/>
          </w:tcPr>
          <w:p>
            <w:pPr>
              <w:jc w:val="center"/>
              <w:ind w:left="2451"/>
              <w:spacing w:after="0"/>
              <w:rPr>
                <w:sz w:val="20"/>
                <w:szCs w:val="20"/>
                <w:color w:val="auto"/>
              </w:rPr>
            </w:pPr>
            <w:r>
              <w:rPr>
                <w:rFonts w:ascii="Times New Roman" w:cs="Times New Roman" w:eastAsia="Times New Roman" w:hAnsi="Times New Roman"/>
                <w:sz w:val="18"/>
                <w:szCs w:val="18"/>
                <w:b w:val="1"/>
                <w:bCs w:val="1"/>
                <w:color w:val="auto"/>
                <w:w w:val="99"/>
              </w:rPr>
              <w:t>Amended and Restated 2024 Omnibus Equity Incentive Plan</w:t>
            </w:r>
          </w:p>
        </w:tc>
        <w:tc>
          <w:tcPr>
            <w:tcW w:w="2520" w:type="dxa"/>
            <w:vAlign w:val="bottom"/>
          </w:tcPr>
          <w:p>
            <w:pPr>
              <w:spacing w:after="0"/>
              <w:rPr>
                <w:sz w:val="24"/>
                <w:szCs w:val="24"/>
                <w:color w:val="auto"/>
              </w:rPr>
            </w:pPr>
          </w:p>
        </w:tc>
      </w:tr>
      <w:tr>
        <w:trPr>
          <w:trHeight w:val="233"/>
        </w:trPr>
        <w:tc>
          <w:tcPr>
            <w:tcW w:w="8720" w:type="dxa"/>
            <w:vAlign w:val="bottom"/>
            <w:gridSpan w:val="3"/>
          </w:tcPr>
          <w:p>
            <w:pPr>
              <w:jc w:val="center"/>
              <w:ind w:left="2451"/>
              <w:spacing w:after="0"/>
              <w:rPr>
                <w:sz w:val="20"/>
                <w:szCs w:val="20"/>
                <w:color w:val="auto"/>
              </w:rPr>
            </w:pPr>
            <w:r>
              <w:rPr>
                <w:rFonts w:ascii="Times New Roman" w:cs="Times New Roman" w:eastAsia="Times New Roman" w:hAnsi="Times New Roman"/>
                <w:sz w:val="18"/>
                <w:szCs w:val="18"/>
                <w:color w:val="auto"/>
                <w:w w:val="99"/>
              </w:rPr>
              <w:t>(Full title of the plan)</w:t>
            </w:r>
          </w:p>
        </w:tc>
        <w:tc>
          <w:tcPr>
            <w:tcW w:w="2520" w:type="dxa"/>
            <w:vAlign w:val="bottom"/>
          </w:tcPr>
          <w:p>
            <w:pPr>
              <w:spacing w:after="0"/>
              <w:rPr>
                <w:sz w:val="20"/>
                <w:szCs w:val="20"/>
                <w:color w:val="auto"/>
              </w:rPr>
            </w:pPr>
          </w:p>
        </w:tc>
      </w:tr>
      <w:tr>
        <w:trPr>
          <w:trHeight w:val="405"/>
        </w:trPr>
        <w:tc>
          <w:tcPr>
            <w:tcW w:w="8720" w:type="dxa"/>
            <w:vAlign w:val="bottom"/>
            <w:gridSpan w:val="3"/>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8"/>
              </w:rPr>
              <w:t>Crystal L. Gordon</w:t>
            </w:r>
          </w:p>
        </w:tc>
        <w:tc>
          <w:tcPr>
            <w:tcW w:w="2520" w:type="dxa"/>
            <w:vAlign w:val="bottom"/>
          </w:tcPr>
          <w:p>
            <w:pPr>
              <w:spacing w:after="0"/>
              <w:rPr>
                <w:sz w:val="24"/>
                <w:szCs w:val="24"/>
                <w:color w:val="auto"/>
              </w:rPr>
            </w:pPr>
          </w:p>
        </w:tc>
      </w:tr>
      <w:tr>
        <w:trPr>
          <w:trHeight w:val="214"/>
        </w:trPr>
        <w:tc>
          <w:tcPr>
            <w:tcW w:w="8720" w:type="dxa"/>
            <w:vAlign w:val="bottom"/>
            <w:gridSpan w:val="3"/>
          </w:tcPr>
          <w:p>
            <w:pPr>
              <w:jc w:val="center"/>
              <w:ind w:left="2391"/>
              <w:spacing w:after="0"/>
              <w:rPr>
                <w:sz w:val="20"/>
                <w:szCs w:val="20"/>
                <w:color w:val="auto"/>
              </w:rPr>
            </w:pPr>
            <w:r>
              <w:rPr>
                <w:rFonts w:ascii="Times New Roman" w:cs="Times New Roman" w:eastAsia="Times New Roman" w:hAnsi="Times New Roman"/>
                <w:sz w:val="18"/>
                <w:szCs w:val="18"/>
                <w:b w:val="1"/>
                <w:bCs w:val="1"/>
                <w:color w:val="auto"/>
                <w:w w:val="98"/>
              </w:rPr>
              <w:t>Executive Vice President, General Counsel,</w:t>
            </w:r>
          </w:p>
        </w:tc>
        <w:tc>
          <w:tcPr>
            <w:tcW w:w="2520" w:type="dxa"/>
            <w:vAlign w:val="bottom"/>
          </w:tcPr>
          <w:p>
            <w:pPr>
              <w:spacing w:after="0"/>
              <w:rPr>
                <w:sz w:val="18"/>
                <w:szCs w:val="18"/>
                <w:color w:val="auto"/>
              </w:rPr>
            </w:pPr>
          </w:p>
        </w:tc>
      </w:tr>
      <w:tr>
        <w:trPr>
          <w:trHeight w:val="214"/>
        </w:trPr>
        <w:tc>
          <w:tcPr>
            <w:tcW w:w="8720" w:type="dxa"/>
            <w:vAlign w:val="bottom"/>
            <w:gridSpan w:val="3"/>
          </w:tcPr>
          <w:p>
            <w:pPr>
              <w:jc w:val="center"/>
              <w:ind w:left="2451"/>
              <w:spacing w:after="0"/>
              <w:rPr>
                <w:sz w:val="20"/>
                <w:szCs w:val="20"/>
                <w:color w:val="auto"/>
              </w:rPr>
            </w:pPr>
            <w:r>
              <w:rPr>
                <w:rFonts w:ascii="Times New Roman" w:cs="Times New Roman" w:eastAsia="Times New Roman" w:hAnsi="Times New Roman"/>
                <w:sz w:val="18"/>
                <w:szCs w:val="18"/>
                <w:b w:val="1"/>
                <w:bCs w:val="1"/>
                <w:color w:val="auto"/>
                <w:w w:val="98"/>
              </w:rPr>
              <w:t>Chief Administrative Officer and Secretary</w:t>
            </w:r>
          </w:p>
        </w:tc>
        <w:tc>
          <w:tcPr>
            <w:tcW w:w="2520" w:type="dxa"/>
            <w:vAlign w:val="bottom"/>
          </w:tcPr>
          <w:p>
            <w:pPr>
              <w:spacing w:after="0"/>
              <w:rPr>
                <w:sz w:val="18"/>
                <w:szCs w:val="18"/>
                <w:color w:val="auto"/>
              </w:rPr>
            </w:pPr>
          </w:p>
        </w:tc>
      </w:tr>
      <w:tr>
        <w:trPr>
          <w:trHeight w:val="214"/>
        </w:trPr>
        <w:tc>
          <w:tcPr>
            <w:tcW w:w="8720" w:type="dxa"/>
            <w:vAlign w:val="bottom"/>
            <w:gridSpan w:val="3"/>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8"/>
              </w:rPr>
              <w:t>105 Edgeview Dr., Suite 300</w:t>
            </w:r>
          </w:p>
        </w:tc>
        <w:tc>
          <w:tcPr>
            <w:tcW w:w="2520" w:type="dxa"/>
            <w:vAlign w:val="bottom"/>
          </w:tcPr>
          <w:p>
            <w:pPr>
              <w:spacing w:after="0"/>
              <w:rPr>
                <w:sz w:val="18"/>
                <w:szCs w:val="18"/>
                <w:color w:val="auto"/>
              </w:rPr>
            </w:pPr>
          </w:p>
        </w:tc>
      </w:tr>
      <w:tr>
        <w:trPr>
          <w:trHeight w:val="214"/>
        </w:trPr>
        <w:tc>
          <w:tcPr>
            <w:tcW w:w="8720" w:type="dxa"/>
            <w:vAlign w:val="bottom"/>
            <w:gridSpan w:val="3"/>
          </w:tcPr>
          <w:p>
            <w:pPr>
              <w:jc w:val="center"/>
              <w:ind w:left="2451"/>
              <w:spacing w:after="0"/>
              <w:rPr>
                <w:sz w:val="20"/>
                <w:szCs w:val="20"/>
                <w:color w:val="auto"/>
              </w:rPr>
            </w:pPr>
            <w:r>
              <w:rPr>
                <w:rFonts w:ascii="Times New Roman" w:cs="Times New Roman" w:eastAsia="Times New Roman" w:hAnsi="Times New Roman"/>
                <w:sz w:val="18"/>
                <w:szCs w:val="18"/>
                <w:b w:val="1"/>
                <w:bCs w:val="1"/>
                <w:color w:val="auto"/>
                <w:w w:val="98"/>
              </w:rPr>
              <w:t>Broomfield, CO 80021</w:t>
            </w:r>
          </w:p>
        </w:tc>
        <w:tc>
          <w:tcPr>
            <w:tcW w:w="2520" w:type="dxa"/>
            <w:vAlign w:val="bottom"/>
          </w:tcPr>
          <w:p>
            <w:pPr>
              <w:spacing w:after="0"/>
              <w:rPr>
                <w:sz w:val="18"/>
                <w:szCs w:val="18"/>
                <w:color w:val="auto"/>
              </w:rPr>
            </w:pPr>
          </w:p>
        </w:tc>
      </w:tr>
      <w:tr>
        <w:trPr>
          <w:trHeight w:val="237"/>
        </w:trPr>
        <w:tc>
          <w:tcPr>
            <w:tcW w:w="7960" w:type="dxa"/>
            <w:vAlign w:val="bottom"/>
          </w:tcPr>
          <w:p>
            <w:pPr>
              <w:jc w:val="center"/>
              <w:ind w:left="3151"/>
              <w:spacing w:after="0"/>
              <w:rPr>
                <w:sz w:val="20"/>
                <w:szCs w:val="20"/>
                <w:color w:val="auto"/>
              </w:rPr>
            </w:pPr>
            <w:r>
              <w:rPr>
                <w:rFonts w:ascii="Times New Roman" w:cs="Times New Roman" w:eastAsia="Times New Roman" w:hAnsi="Times New Roman"/>
                <w:sz w:val="18"/>
                <w:szCs w:val="18"/>
                <w:b w:val="1"/>
                <w:bCs w:val="1"/>
                <w:color w:val="auto"/>
                <w:w w:val="99"/>
              </w:rPr>
              <w:t>(303) 301-3271</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05"/>
        </w:trPr>
        <w:tc>
          <w:tcPr>
            <w:tcW w:w="8720" w:type="dxa"/>
            <w:vAlign w:val="bottom"/>
            <w:gridSpan w:val="3"/>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8"/>
              </w:rPr>
              <w:t>Copies to:</w:t>
            </w:r>
          </w:p>
        </w:tc>
        <w:tc>
          <w:tcPr>
            <w:tcW w:w="2520" w:type="dxa"/>
            <w:vAlign w:val="bottom"/>
          </w:tcPr>
          <w:p>
            <w:pPr>
              <w:spacing w:after="0"/>
              <w:rPr>
                <w:sz w:val="24"/>
                <w:szCs w:val="24"/>
                <w:color w:val="auto"/>
              </w:rPr>
            </w:pPr>
          </w:p>
        </w:tc>
      </w:tr>
      <w:tr>
        <w:trPr>
          <w:trHeight w:val="214"/>
        </w:trPr>
        <w:tc>
          <w:tcPr>
            <w:tcW w:w="8720" w:type="dxa"/>
            <w:vAlign w:val="bottom"/>
            <w:gridSpan w:val="3"/>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8"/>
              </w:rPr>
              <w:t>Scott Levi</w:t>
            </w:r>
          </w:p>
        </w:tc>
        <w:tc>
          <w:tcPr>
            <w:tcW w:w="2520" w:type="dxa"/>
            <w:vAlign w:val="bottom"/>
          </w:tcPr>
          <w:p>
            <w:pPr>
              <w:spacing w:after="0"/>
              <w:rPr>
                <w:sz w:val="18"/>
                <w:szCs w:val="18"/>
                <w:color w:val="auto"/>
              </w:rPr>
            </w:pPr>
          </w:p>
        </w:tc>
      </w:tr>
      <w:tr>
        <w:trPr>
          <w:trHeight w:val="214"/>
        </w:trPr>
        <w:tc>
          <w:tcPr>
            <w:tcW w:w="8720" w:type="dxa"/>
            <w:vAlign w:val="bottom"/>
            <w:gridSpan w:val="3"/>
          </w:tcPr>
          <w:p>
            <w:pPr>
              <w:jc w:val="center"/>
              <w:ind w:left="2451"/>
              <w:spacing w:after="0"/>
              <w:rPr>
                <w:sz w:val="20"/>
                <w:szCs w:val="20"/>
                <w:color w:val="auto"/>
              </w:rPr>
            </w:pPr>
            <w:r>
              <w:rPr>
                <w:rFonts w:ascii="Times New Roman" w:cs="Times New Roman" w:eastAsia="Times New Roman" w:hAnsi="Times New Roman"/>
                <w:sz w:val="18"/>
                <w:szCs w:val="18"/>
                <w:b w:val="1"/>
                <w:bCs w:val="1"/>
                <w:color w:val="auto"/>
                <w:w w:val="98"/>
              </w:rPr>
              <w:t>White &amp; Case LLP</w:t>
            </w:r>
          </w:p>
        </w:tc>
        <w:tc>
          <w:tcPr>
            <w:tcW w:w="2520" w:type="dxa"/>
            <w:vAlign w:val="bottom"/>
          </w:tcPr>
          <w:p>
            <w:pPr>
              <w:spacing w:after="0"/>
              <w:rPr>
                <w:sz w:val="18"/>
                <w:szCs w:val="18"/>
                <w:color w:val="auto"/>
              </w:rPr>
            </w:pPr>
          </w:p>
        </w:tc>
      </w:tr>
      <w:tr>
        <w:trPr>
          <w:trHeight w:val="214"/>
        </w:trPr>
        <w:tc>
          <w:tcPr>
            <w:tcW w:w="8720" w:type="dxa"/>
            <w:vAlign w:val="bottom"/>
            <w:gridSpan w:val="3"/>
          </w:tcPr>
          <w:p>
            <w:pPr>
              <w:jc w:val="center"/>
              <w:ind w:left="2451"/>
              <w:spacing w:after="0"/>
              <w:rPr>
                <w:sz w:val="20"/>
                <w:szCs w:val="20"/>
                <w:color w:val="auto"/>
              </w:rPr>
            </w:pPr>
            <w:r>
              <w:rPr>
                <w:rFonts w:ascii="Times New Roman" w:cs="Times New Roman" w:eastAsia="Times New Roman" w:hAnsi="Times New Roman"/>
                <w:sz w:val="18"/>
                <w:szCs w:val="18"/>
                <w:b w:val="1"/>
                <w:bCs w:val="1"/>
                <w:color w:val="auto"/>
                <w:w w:val="99"/>
              </w:rPr>
              <w:t>1221 Avenue of the Americas</w:t>
            </w:r>
          </w:p>
        </w:tc>
        <w:tc>
          <w:tcPr>
            <w:tcW w:w="2520" w:type="dxa"/>
            <w:vAlign w:val="bottom"/>
          </w:tcPr>
          <w:p>
            <w:pPr>
              <w:spacing w:after="0"/>
              <w:rPr>
                <w:sz w:val="18"/>
                <w:szCs w:val="18"/>
                <w:color w:val="auto"/>
              </w:rPr>
            </w:pPr>
          </w:p>
        </w:tc>
      </w:tr>
      <w:tr>
        <w:trPr>
          <w:trHeight w:val="214"/>
        </w:trPr>
        <w:tc>
          <w:tcPr>
            <w:tcW w:w="8720" w:type="dxa"/>
            <w:vAlign w:val="bottom"/>
            <w:gridSpan w:val="3"/>
          </w:tcPr>
          <w:p>
            <w:pPr>
              <w:jc w:val="center"/>
              <w:ind w:left="2431"/>
              <w:spacing w:after="0"/>
              <w:rPr>
                <w:sz w:val="20"/>
                <w:szCs w:val="20"/>
                <w:color w:val="auto"/>
              </w:rPr>
            </w:pPr>
            <w:r>
              <w:rPr>
                <w:rFonts w:ascii="Times New Roman" w:cs="Times New Roman" w:eastAsia="Times New Roman" w:hAnsi="Times New Roman"/>
                <w:sz w:val="18"/>
                <w:szCs w:val="18"/>
                <w:b w:val="1"/>
                <w:bCs w:val="1"/>
                <w:color w:val="auto"/>
                <w:w w:val="98"/>
              </w:rPr>
              <w:t>New York, New York 10022</w:t>
            </w:r>
          </w:p>
        </w:tc>
        <w:tc>
          <w:tcPr>
            <w:tcW w:w="2520" w:type="dxa"/>
            <w:vAlign w:val="bottom"/>
          </w:tcPr>
          <w:p>
            <w:pPr>
              <w:spacing w:after="0"/>
              <w:rPr>
                <w:sz w:val="18"/>
                <w:szCs w:val="18"/>
                <w:color w:val="auto"/>
              </w:rPr>
            </w:pPr>
          </w:p>
        </w:tc>
      </w:tr>
      <w:tr>
        <w:trPr>
          <w:trHeight w:val="218"/>
        </w:trPr>
        <w:tc>
          <w:tcPr>
            <w:tcW w:w="7960" w:type="dxa"/>
            <w:vAlign w:val="bottom"/>
          </w:tcPr>
          <w:p>
            <w:pPr>
              <w:jc w:val="center"/>
              <w:ind w:left="3191"/>
              <w:spacing w:after="0"/>
              <w:rPr>
                <w:sz w:val="20"/>
                <w:szCs w:val="20"/>
                <w:color w:val="auto"/>
              </w:rPr>
            </w:pPr>
            <w:r>
              <w:rPr>
                <w:rFonts w:ascii="Times New Roman" w:cs="Times New Roman" w:eastAsia="Times New Roman" w:hAnsi="Times New Roman"/>
                <w:sz w:val="18"/>
                <w:szCs w:val="18"/>
                <w:b w:val="1"/>
                <w:bCs w:val="1"/>
                <w:color w:val="auto"/>
                <w:w w:val="99"/>
              </w:rPr>
              <w:t>(212) 819-8200</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3"/>
        </w:trPr>
        <w:tc>
          <w:tcPr>
            <w:tcW w:w="8720" w:type="dxa"/>
            <w:vAlign w:val="bottom"/>
            <w:gridSpan w:val="3"/>
          </w:tcPr>
          <w:p>
            <w:pPr>
              <w:jc w:val="center"/>
              <w:ind w:left="2451"/>
              <w:spacing w:after="0"/>
              <w:rPr>
                <w:sz w:val="20"/>
                <w:szCs w:val="20"/>
                <w:color w:val="auto"/>
              </w:rPr>
            </w:pPr>
            <w:r>
              <w:rPr>
                <w:rFonts w:ascii="Times New Roman" w:cs="Times New Roman" w:eastAsia="Times New Roman" w:hAnsi="Times New Roman"/>
                <w:sz w:val="18"/>
                <w:szCs w:val="18"/>
                <w:color w:val="auto"/>
                <w:w w:val="98"/>
              </w:rPr>
              <w:t>(Name, address and telephone number, including area code, of agent for service)</w:t>
            </w:r>
          </w:p>
        </w:tc>
        <w:tc>
          <w:tcPr>
            <w:tcW w:w="2520" w:type="dxa"/>
            <w:vAlign w:val="bottom"/>
          </w:tcPr>
          <w:p>
            <w:pPr>
              <w:spacing w:after="0"/>
              <w:rPr>
                <w:sz w:val="20"/>
                <w:szCs w:val="20"/>
                <w:color w:val="auto"/>
              </w:rPr>
            </w:pPr>
          </w:p>
        </w:tc>
      </w:tr>
    </w:tbl>
    <w:p>
      <w:pPr>
        <w:spacing w:after="0" w:line="195" w:lineRule="exact"/>
        <w:rPr>
          <w:sz w:val="24"/>
          <w:szCs w:val="24"/>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1"/>
        </w:trPr>
        <w:tc>
          <w:tcPr>
            <w:tcW w:w="31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000" w:type="dxa"/>
            <w:vAlign w:val="bottom"/>
          </w:tcPr>
          <w:p>
            <w:pPr>
              <w:ind w:left="18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1" w:lineRule="exact"/>
        <w:rPr>
          <w:sz w:val="24"/>
          <w:szCs w:val="24"/>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848995</wp:posOffset>
            </wp:positionV>
            <wp:extent cx="71589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0" w:lineRule="exact"/>
        <w:rPr>
          <w:sz w:val="20"/>
          <w:szCs w:val="20"/>
          <w:color w:val="auto"/>
        </w:rPr>
      </w:pPr>
    </w:p>
    <w:p>
      <w:pPr>
        <w:jc w:val="both"/>
        <w:ind w:firstLine="374"/>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 2024, Gogo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 xml:space="preserve">”) filed a registration statement on </w:t>
      </w:r>
      <w:hyperlink r:id="rId9">
        <w:r>
          <w:rPr>
            <w:rFonts w:ascii="Times New Roman" w:cs="Times New Roman" w:eastAsia="Times New Roman" w:hAnsi="Times New Roman"/>
            <w:sz w:val="18"/>
            <w:szCs w:val="18"/>
            <w:u w:val="single" w:color="auto"/>
            <w:color w:val="0000FF"/>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333-281173)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to register 5,200,000 shares of the Company’s common stock, par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for issuance or sale pursuant to the 2024 Omnibus Equity Incentive Plan (the “</w:t>
      </w:r>
      <w:r>
        <w:rPr>
          <w:rFonts w:ascii="Times New Roman" w:cs="Times New Roman" w:eastAsia="Times New Roman" w:hAnsi="Times New Roman"/>
          <w:sz w:val="18"/>
          <w:szCs w:val="18"/>
          <w:b w:val="1"/>
          <w:bCs w:val="1"/>
          <w:color w:val="auto"/>
        </w:rPr>
        <w:t>2024 Plan</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On April 13, 2026, the Company’s Board of Directors adopted, subject to approval by stockholders, the Amended and Restated 2024 Omnibus Equity Incentive Plan (the “</w:t>
      </w:r>
      <w:r>
        <w:rPr>
          <w:rFonts w:ascii="Times New Roman" w:cs="Times New Roman" w:eastAsia="Times New Roman" w:hAnsi="Times New Roman"/>
          <w:sz w:val="18"/>
          <w:szCs w:val="18"/>
          <w:b w:val="1"/>
          <w:bCs w:val="1"/>
          <w:color w:val="auto"/>
        </w:rPr>
        <w:t>A&amp;R Plan</w:t>
      </w:r>
      <w:r>
        <w:rPr>
          <w:rFonts w:ascii="Times New Roman" w:cs="Times New Roman" w:eastAsia="Times New Roman" w:hAnsi="Times New Roman"/>
          <w:sz w:val="18"/>
          <w:szCs w:val="18"/>
          <w:color w:val="auto"/>
        </w:rPr>
        <w:t>”), which the Company’s stockholders approved at the Company’s 2026 Annual Meeting of Stockholders held on May 28, 2026. The A&amp;R Plan increased the number of shares of Common Stock authorized for issuance by 8,555,000 shares to a new total of 9,438,055 shares of Common Stock.</w:t>
      </w:r>
    </w:p>
    <w:p>
      <w:pPr>
        <w:spacing w:after="0" w:line="178"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color w:val="auto"/>
        </w:rPr>
        <w:t>The Company is filing this registration statement on Form S-8 (this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solely for the purpose of registering the 8,555,000 additional shares of Common Stock authorized for issuance under the A&amp;R Plan. Pursuant to Rule 416(a)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this Registration Statement also includes an indeterminate number of additional shares of Common Stock that may become issuable under the A&amp;R Plan by reason of anti-dilution and other adjustments.</w:t>
      </w:r>
    </w:p>
    <w:p>
      <w:pPr>
        <w:spacing w:after="0" w:line="179" w:lineRule="exact"/>
        <w:rPr>
          <w:sz w:val="20"/>
          <w:szCs w:val="20"/>
          <w:color w:val="auto"/>
        </w:rPr>
      </w:pPr>
    </w:p>
    <w:p>
      <w:pPr>
        <w:jc w:val="both"/>
        <w:ind w:firstLine="374"/>
        <w:spacing w:after="0" w:line="277" w:lineRule="auto"/>
        <w:rPr>
          <w:sz w:val="20"/>
          <w:szCs w:val="20"/>
          <w:color w:val="auto"/>
        </w:rPr>
      </w:pPr>
      <w:r>
        <w:rPr>
          <w:rFonts w:ascii="Times New Roman" w:cs="Times New Roman" w:eastAsia="Times New Roman" w:hAnsi="Times New Roman"/>
          <w:sz w:val="18"/>
          <w:szCs w:val="18"/>
          <w:color w:val="auto"/>
        </w:rPr>
        <w:t>Pursuant to General Instruction E of Form S-8, this Registration Statement hereby incorporates by reference the contents of the Initial Registration Statement, and the information required by Part II is omitted, except as supplemented by the information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1120775</wp:posOffset>
            </wp:positionV>
            <wp:extent cx="71589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Plan Information *</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 *</w:t>
      </w:r>
    </w:p>
    <w:p>
      <w:pPr>
        <w:spacing w:after="0" w:line="224" w:lineRule="exact"/>
        <w:rPr>
          <w:sz w:val="20"/>
          <w:szCs w:val="20"/>
          <w:color w:val="auto"/>
        </w:rPr>
      </w:pPr>
    </w:p>
    <w:p>
      <w:pPr>
        <w:jc w:val="both"/>
        <w:ind w:firstLine="7"/>
        <w:spacing w:after="0" w:line="253" w:lineRule="auto"/>
        <w:tabs>
          <w:tab w:leader="none" w:pos="13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specified in Items 1 and 2 of Part I of Form S-8 is omitted from this Registration Statement in accordance with the provisions of Rule 428 under the Securities Act and the introductory note to Part I of Form S-8. The documents containing the information specified in Part I of this Registration Statement will be sent or given to each plan participant, as applicable, as required by Rule 428(b) under the Securities Act. Such documents are not required to be and are not being filed with the SEC, either as part of this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1135380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Company hereby incorporates by reference in this Registration Statement the following:</w:t>
      </w:r>
    </w:p>
    <w:p>
      <w:pPr>
        <w:spacing w:after="0" w:line="220" w:lineRule="exact"/>
        <w:rPr>
          <w:sz w:val="20"/>
          <w:szCs w:val="20"/>
          <w:color w:val="auto"/>
        </w:rPr>
      </w:pPr>
    </w:p>
    <w:p>
      <w:pPr>
        <w:jc w:val="both"/>
        <w:ind w:left="760" w:hanging="379"/>
        <w:spacing w:after="0" w:line="262"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2">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period ended December 31, 2025, filed by the Company with the SEC on February 27, 2026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 xml:space="preserve">”), including the portions of the Company’s </w:t>
      </w:r>
      <w:hyperlink r:id="rId13">
        <w:r>
          <w:rPr>
            <w:rFonts w:ascii="Times New Roman" w:cs="Times New Roman" w:eastAsia="Times New Roman" w:hAnsi="Times New Roman"/>
            <w:sz w:val="18"/>
            <w:szCs w:val="18"/>
            <w:u w:val="single" w:color="auto"/>
            <w:color w:val="0000FF"/>
          </w:rPr>
          <w:t>Definitive Proxy Statement on 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16, 2026 that are incorporated by reference in the Annual Report;</w:t>
      </w:r>
    </w:p>
    <w:p>
      <w:pPr>
        <w:spacing w:after="0" w:line="177"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w:t>
      </w:r>
      <w:hyperlink r:id="rId14">
        <w:r>
          <w:rPr>
            <w:rFonts w:ascii="Times New Roman" w:cs="Times New Roman" w:eastAsia="Times New Roman" w:hAnsi="Times New Roman"/>
            <w:sz w:val="18"/>
            <w:szCs w:val="18"/>
            <w:u w:val="single" w:color="auto"/>
            <w:color w:val="0000FF"/>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period ended March 31, 2026, filed by the Company with the SEC on May 7, 2026;</w:t>
      </w:r>
    </w:p>
    <w:p>
      <w:pPr>
        <w:spacing w:after="0" w:line="220" w:lineRule="exact"/>
        <w:rPr>
          <w:rFonts w:ascii="Times New Roman" w:cs="Times New Roman" w:eastAsia="Times New Roman" w:hAnsi="Times New Roman"/>
          <w:sz w:val="18"/>
          <w:szCs w:val="18"/>
          <w:color w:val="auto"/>
        </w:rPr>
      </w:pPr>
    </w:p>
    <w:p>
      <w:pPr>
        <w:ind w:left="760" w:hanging="379"/>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 on </w:t>
      </w:r>
      <w:hyperlink r:id="rId15">
        <w:r>
          <w:rPr>
            <w:rFonts w:ascii="Times New Roman" w:cs="Times New Roman" w:eastAsia="Times New Roman" w:hAnsi="Times New Roman"/>
            <w:sz w:val="18"/>
            <w:szCs w:val="18"/>
            <w:u w:val="single" w:color="auto"/>
            <w:color w:val="0000FF"/>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by the Company with the SEC on June 2, 2026; and</w:t>
      </w:r>
    </w:p>
    <w:p>
      <w:pPr>
        <w:spacing w:after="0" w:line="220" w:lineRule="exact"/>
        <w:rPr>
          <w:rFonts w:ascii="Times New Roman" w:cs="Times New Roman" w:eastAsia="Times New Roman" w:hAnsi="Times New Roman"/>
          <w:sz w:val="18"/>
          <w:szCs w:val="18"/>
          <w:color w:val="auto"/>
        </w:rPr>
      </w:pPr>
    </w:p>
    <w:p>
      <w:pPr>
        <w:ind w:left="760" w:hanging="379"/>
        <w:spacing w:after="0" w:line="277" w:lineRule="auto"/>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w:t>
      </w:r>
      <w:hyperlink r:id="rId16">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Annual Report, including any amendment or report filed for the purpose of updating this information.</w:t>
      </w:r>
    </w:p>
    <w:p>
      <w:pPr>
        <w:spacing w:after="0" w:line="163" w:lineRule="exact"/>
        <w:rPr>
          <w:rFonts w:ascii="Times New Roman" w:cs="Times New Roman" w:eastAsia="Times New Roman" w:hAnsi="Times New Roman"/>
          <w:sz w:val="18"/>
          <w:szCs w:val="18"/>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prior to the filing of a post-effective amendment to which this Registration Statement relates, which indicates that all securities offered hereby have been sold or which deregisters all securities then remaining unsold, shall be deemed to be incorporated by reference in this Registration Statement and to be a part hereof from the date of filing or furnishing of such documents.</w:t>
      </w:r>
    </w:p>
    <w:p>
      <w:pPr>
        <w:spacing w:after="0" w:line="182" w:lineRule="exact"/>
        <w:rPr>
          <w:rFonts w:ascii="Times New Roman" w:cs="Times New Roman" w:eastAsia="Times New Roman" w:hAnsi="Times New Roman"/>
          <w:sz w:val="18"/>
          <w:szCs w:val="18"/>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2" w:lineRule="exact"/>
        <w:rPr>
          <w:rFonts w:ascii="Times New Roman" w:cs="Times New Roman" w:eastAsia="Times New Roman" w:hAnsi="Times New Roman"/>
          <w:sz w:val="18"/>
          <w:szCs w:val="18"/>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color w:val="auto"/>
        </w:rPr>
        <w:t>Notwithstanding the foregoing, no information is incorporated by reference in this Registration Statement where such information under applicable forms and regulations of the SEC is not deemed to be “filed” under Section 18 of the Exchange Act or otherwise subject to the liabilities of that section, unless the report or filing containing such information indicates that the information therein is to be considered “filed” under the Exchange Act or is to be incorporated by reference in this Registration Statement.</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-7620</wp:posOffset>
            </wp:positionH>
            <wp:positionV relativeFrom="paragraph">
              <wp:posOffset>996950</wp:posOffset>
            </wp:positionV>
            <wp:extent cx="71589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86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60" w:type="dxa"/>
            <w:vAlign w:val="bottom"/>
            <w:tcBorders>
              <w:top w:val="single" w:sz="8" w:color="auto"/>
              <w:bottom w:val="single" w:sz="8" w:color="CCEEFF"/>
              <w:right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4.1</w:t>
            </w:r>
          </w:p>
        </w:tc>
        <w:tc>
          <w:tcPr>
            <w:tcW w:w="9860" w:type="dxa"/>
            <w:vAlign w:val="bottom"/>
            <w:tcBorders>
              <w:top w:val="single" w:sz="8" w:color="auto"/>
              <w:bottom w:val="single" w:sz="8" w:color="0000FF"/>
            </w:tcBorders>
            <w:gridSpan w:val="12"/>
            <w:shd w:val="clear" w:color="auto" w:fill="CCEEFF"/>
          </w:tcPr>
          <w:p>
            <w:pPr>
              <w:spacing w:after="0" w:line="174"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Third Amended and Restated Certificate of Incorporation (incorporated by reference to Exhibit 3.1 to Form 10-Q filed on August 7, 2013</w:t>
              </w:r>
            </w:hyperlink>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9860" w:type="dxa"/>
            <w:vAlign w:val="bottom"/>
            <w:gridSpan w:val="12"/>
            <w:shd w:val="clear" w:color="auto" w:fill="CCEEFF"/>
          </w:tcPr>
          <w:p>
            <w:pPr>
              <w:spacing w:after="0" w:line="194"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(File No. 001-35975))</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360" w:type="dxa"/>
            <w:vAlign w:val="bottom"/>
            <w:tcBorders>
              <w:right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4.2</w:t>
            </w:r>
          </w:p>
        </w:tc>
        <w:tc>
          <w:tcPr>
            <w:tcW w:w="9860" w:type="dxa"/>
            <w:vAlign w:val="bottom"/>
            <w:gridSpan w:val="12"/>
            <w:shd w:val="clear" w:color="auto" w:fill="CCEEFF"/>
          </w:tcPr>
          <w:p>
            <w:pPr>
              <w:spacing w:after="0" w:line="174"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Amended and Restated Bylaws (incorporated by reference to Exhibit 3.1 to Form 8-K filed on August 2, 2023 (File No. 001-35975))</w:t>
              </w:r>
            </w:hyperlink>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000" w:type="dxa"/>
            <w:vAlign w:val="bottom"/>
            <w:tcBorders>
              <w:top w:val="single" w:sz="8" w:color="0000FF"/>
            </w:tcBorders>
          </w:tcPr>
          <w:p>
            <w:pPr>
              <w:spacing w:after="0"/>
              <w:rPr>
                <w:sz w:val="18"/>
                <w:szCs w:val="18"/>
                <w:color w:val="auto"/>
              </w:rPr>
            </w:pPr>
          </w:p>
        </w:tc>
        <w:tc>
          <w:tcPr>
            <w:tcW w:w="1540" w:type="dxa"/>
            <w:vAlign w:val="bottom"/>
            <w:tcBorders>
              <w:top w:val="single" w:sz="8" w:color="0000FF"/>
            </w:tcBorders>
          </w:tcPr>
          <w:p>
            <w:pPr>
              <w:spacing w:after="0"/>
              <w:rPr>
                <w:sz w:val="18"/>
                <w:szCs w:val="18"/>
                <w:color w:val="auto"/>
              </w:rPr>
            </w:pPr>
          </w:p>
        </w:tc>
        <w:tc>
          <w:tcPr>
            <w:tcW w:w="208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1780" w:type="dxa"/>
            <w:vAlign w:val="bottom"/>
            <w:tcBorders>
              <w:top w:val="single" w:sz="8" w:color="0000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360" w:type="dxa"/>
            <w:vAlign w:val="bottom"/>
            <w:tcBorders>
              <w:right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4.3</w:t>
            </w:r>
          </w:p>
        </w:tc>
        <w:tc>
          <w:tcPr>
            <w:tcW w:w="9860" w:type="dxa"/>
            <w:vAlign w:val="bottom"/>
            <w:gridSpan w:val="12"/>
            <w:shd w:val="clear" w:color="auto" w:fill="CCEEFF"/>
          </w:tcPr>
          <w:p>
            <w:pPr>
              <w:spacing w:after="0" w:line="174"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Form of Common Stock Certificate (incorporated by reference to Exhibit 4.1 to Gogo Inc. Registration Statement on Form S-1 (File No.</w:t>
              </w:r>
            </w:hyperlink>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tcBorders>
              <w:top w:val="single" w:sz="8" w:color="CCEEFF"/>
              <w:right w:val="single" w:sz="8" w:color="CCEEFF"/>
            </w:tcBorders>
            <w:shd w:val="clear" w:color="auto" w:fill="CCEEFF"/>
          </w:tcPr>
          <w:p>
            <w:pPr>
              <w:spacing w:after="0"/>
              <w:rPr>
                <w:sz w:val="18"/>
                <w:szCs w:val="18"/>
                <w:color w:val="auto"/>
              </w:rPr>
            </w:pPr>
          </w:p>
        </w:tc>
        <w:tc>
          <w:tcPr>
            <w:tcW w:w="1220" w:type="dxa"/>
            <w:vAlign w:val="bottom"/>
            <w:tcBorders>
              <w:top w:val="single" w:sz="8" w:color="0000FF"/>
            </w:tcBorders>
            <w:gridSpan w:val="3"/>
            <w:shd w:val="clear" w:color="auto" w:fill="CCEEFF"/>
          </w:tcPr>
          <w:p>
            <w:pPr>
              <w:spacing w:after="0" w:line="194" w:lineRule="exact"/>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333-178727))</w:t>
              </w:r>
              <w:r>
                <w:rPr>
                  <w:rFonts w:ascii="Times New Roman" w:cs="Times New Roman" w:eastAsia="Times New Roman" w:hAnsi="Times New Roman"/>
                  <w:sz w:val="18"/>
                  <w:szCs w:val="18"/>
                  <w:color w:val="000000"/>
                </w:rPr>
                <w:t>.</w:t>
              </w:r>
            </w:hyperlink>
          </w:p>
        </w:tc>
        <w:tc>
          <w:tcPr>
            <w:tcW w:w="360" w:type="dxa"/>
            <w:vAlign w:val="bottom"/>
            <w:tcBorders>
              <w:top w:val="single" w:sz="8" w:color="0000FF"/>
            </w:tcBorders>
            <w:shd w:val="clear" w:color="auto" w:fill="CCEEFF"/>
          </w:tcPr>
          <w:p>
            <w:pPr>
              <w:spacing w:after="0"/>
              <w:rPr>
                <w:sz w:val="18"/>
                <w:szCs w:val="18"/>
                <w:color w:val="auto"/>
              </w:rPr>
            </w:pPr>
          </w:p>
        </w:tc>
        <w:tc>
          <w:tcPr>
            <w:tcW w:w="1000" w:type="dxa"/>
            <w:vAlign w:val="bottom"/>
            <w:tcBorders>
              <w:top w:val="single" w:sz="8" w:color="0000FF"/>
            </w:tcBorders>
            <w:shd w:val="clear" w:color="auto" w:fill="CCEEFF"/>
          </w:tcPr>
          <w:p>
            <w:pPr>
              <w:spacing w:after="0"/>
              <w:rPr>
                <w:sz w:val="18"/>
                <w:szCs w:val="18"/>
                <w:color w:val="auto"/>
              </w:rPr>
            </w:pPr>
          </w:p>
        </w:tc>
        <w:tc>
          <w:tcPr>
            <w:tcW w:w="1540" w:type="dxa"/>
            <w:vAlign w:val="bottom"/>
            <w:tcBorders>
              <w:top w:val="single" w:sz="8" w:color="0000FF"/>
            </w:tcBorders>
            <w:shd w:val="clear" w:color="auto" w:fill="CCEEFF"/>
          </w:tcPr>
          <w:p>
            <w:pPr>
              <w:spacing w:after="0"/>
              <w:rPr>
                <w:sz w:val="18"/>
                <w:szCs w:val="18"/>
                <w:color w:val="auto"/>
              </w:rPr>
            </w:pPr>
          </w:p>
        </w:tc>
        <w:tc>
          <w:tcPr>
            <w:tcW w:w="2080" w:type="dxa"/>
            <w:vAlign w:val="bottom"/>
            <w:tcBorders>
              <w:top w:val="single" w:sz="8" w:color="0000FF"/>
            </w:tcBorders>
            <w:shd w:val="clear" w:color="auto" w:fill="CCEEFF"/>
          </w:tcPr>
          <w:p>
            <w:pPr>
              <w:spacing w:after="0"/>
              <w:rPr>
                <w:sz w:val="18"/>
                <w:szCs w:val="18"/>
                <w:color w:val="auto"/>
              </w:rPr>
            </w:pPr>
          </w:p>
        </w:tc>
        <w:tc>
          <w:tcPr>
            <w:tcW w:w="980" w:type="dxa"/>
            <w:vAlign w:val="bottom"/>
            <w:tcBorders>
              <w:top w:val="single" w:sz="8" w:color="0000FF"/>
            </w:tcBorders>
            <w:shd w:val="clear" w:color="auto" w:fill="CCEEFF"/>
          </w:tcPr>
          <w:p>
            <w:pPr>
              <w:spacing w:after="0"/>
              <w:rPr>
                <w:sz w:val="18"/>
                <w:szCs w:val="18"/>
                <w:color w:val="auto"/>
              </w:rPr>
            </w:pPr>
          </w:p>
        </w:tc>
        <w:tc>
          <w:tcPr>
            <w:tcW w:w="1780" w:type="dxa"/>
            <w:vAlign w:val="bottom"/>
            <w:tcBorders>
              <w:top w:val="single" w:sz="8" w:color="0000FF"/>
            </w:tcBorders>
            <w:shd w:val="clear" w:color="auto" w:fill="CCEEFF"/>
          </w:tcPr>
          <w:p>
            <w:pPr>
              <w:spacing w:after="0"/>
              <w:rPr>
                <w:sz w:val="18"/>
                <w:szCs w:val="18"/>
                <w:color w:val="auto"/>
              </w:rPr>
            </w:pPr>
          </w:p>
        </w:tc>
        <w:tc>
          <w:tcPr>
            <w:tcW w:w="520" w:type="dxa"/>
            <w:vAlign w:val="bottom"/>
            <w:tcBorders>
              <w:top w:val="single" w:sz="8" w:color="0000FF"/>
            </w:tcBorders>
            <w:shd w:val="clear" w:color="auto" w:fill="CCEEFF"/>
          </w:tcPr>
          <w:p>
            <w:pPr>
              <w:spacing w:after="0"/>
              <w:rPr>
                <w:sz w:val="18"/>
                <w:szCs w:val="18"/>
                <w:color w:val="auto"/>
              </w:rPr>
            </w:pPr>
          </w:p>
        </w:tc>
        <w:tc>
          <w:tcPr>
            <w:tcW w:w="360" w:type="dxa"/>
            <w:vAlign w:val="bottom"/>
            <w:tcBorders>
              <w:top w:val="single" w:sz="8" w:color="0000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360" w:type="dxa"/>
            <w:vAlign w:val="bottom"/>
            <w:tcBorders>
              <w:right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4.4</w:t>
            </w:r>
          </w:p>
        </w:tc>
        <w:tc>
          <w:tcPr>
            <w:tcW w:w="9860" w:type="dxa"/>
            <w:vAlign w:val="bottom"/>
            <w:gridSpan w:val="12"/>
            <w:shd w:val="clear" w:color="auto" w:fill="CCEEFF"/>
          </w:tcPr>
          <w:p>
            <w:pPr>
              <w:spacing w:after="0" w:line="174"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Gogo Inc. Amended and Restated 2024 Omnibus Equity Incentive Plan (incorporated by reference to Exhibit 10.1 to Form 8-K filed 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360" w:type="dxa"/>
            <w:vAlign w:val="bottom"/>
            <w:tcBorders>
              <w:right w:val="single" w:sz="8" w:color="CCEEFF"/>
            </w:tcBorders>
            <w:shd w:val="clear" w:color="auto" w:fill="CCEEFF"/>
          </w:tcPr>
          <w:p>
            <w:pPr>
              <w:spacing w:after="0"/>
              <w:rPr>
                <w:sz w:val="18"/>
                <w:szCs w:val="18"/>
                <w:color w:val="auto"/>
              </w:rPr>
            </w:pPr>
          </w:p>
        </w:tc>
        <w:tc>
          <w:tcPr>
            <w:tcW w:w="9860" w:type="dxa"/>
            <w:vAlign w:val="bottom"/>
            <w:gridSpan w:val="12"/>
            <w:shd w:val="clear" w:color="auto" w:fill="CCEEFF"/>
          </w:tcPr>
          <w:p>
            <w:pPr>
              <w:spacing w:after="0" w:line="194"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June 2, 2026 (File No. 001-35975)).</w:t>
              </w:r>
            </w:hyperlink>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000" w:type="dxa"/>
            <w:vAlign w:val="bottom"/>
            <w:tcBorders>
              <w:top w:val="single" w:sz="8" w:color="0000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360" w:type="dxa"/>
            <w:vAlign w:val="bottom"/>
            <w:tcBorders>
              <w:right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5.1*</w:t>
            </w:r>
          </w:p>
        </w:tc>
        <w:tc>
          <w:tcPr>
            <w:tcW w:w="986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FF"/>
              </w:rPr>
              <w:t>Opinion of White &amp; Case LLP with Respect to the Legality of the Common Stock Being Registered.</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360" w:type="dxa"/>
            <w:vAlign w:val="bottom"/>
            <w:tcBorders>
              <w:right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23.1*</w:t>
            </w:r>
          </w:p>
        </w:tc>
        <w:tc>
          <w:tcPr>
            <w:tcW w:w="986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FF"/>
              </w:rPr>
              <w:t>Consent of Independent Registered Public Accounting Firm – Deloitte &amp; Touche LLP.</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360" w:type="dxa"/>
            <w:vAlign w:val="bottom"/>
            <w:tcBorders>
              <w:right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23.2*</w:t>
            </w:r>
          </w:p>
        </w:tc>
        <w:tc>
          <w:tcPr>
            <w:tcW w:w="986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FF"/>
              </w:rPr>
              <w:t>Consent of White &amp; Case LLP (contained in Exhibit 5.1).</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1360" w:type="dxa"/>
            <w:vAlign w:val="bottom"/>
            <w:tcBorders>
              <w:right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24.1*</w:t>
            </w:r>
          </w:p>
        </w:tc>
        <w:tc>
          <w:tcPr>
            <w:tcW w:w="986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FF"/>
              </w:rPr>
              <w:t>Power of Attorney of Certain Executive Officers and Directors (included on the signature page to this Registration Statement.</w:t>
            </w:r>
          </w:p>
        </w:tc>
        <w:tc>
          <w:tcPr>
            <w:tcW w:w="0" w:type="dxa"/>
            <w:vAlign w:val="bottom"/>
          </w:tcPr>
          <w:p>
            <w:pPr>
              <w:spacing w:after="0"/>
              <w:rPr>
                <w:sz w:val="1"/>
                <w:szCs w:val="1"/>
                <w:color w:val="auto"/>
              </w:rPr>
            </w:pPr>
          </w:p>
        </w:tc>
      </w:tr>
      <w:tr>
        <w:trPr>
          <w:trHeight w:val="214"/>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58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000" w:type="dxa"/>
            <w:vAlign w:val="bottom"/>
            <w:tcBorders>
              <w:top w:val="single" w:sz="8" w:color="0000FF"/>
            </w:tcBorders>
          </w:tcPr>
          <w:p>
            <w:pPr>
              <w:spacing w:after="0"/>
              <w:rPr>
                <w:sz w:val="18"/>
                <w:szCs w:val="18"/>
                <w:color w:val="auto"/>
              </w:rPr>
            </w:pPr>
          </w:p>
        </w:tc>
        <w:tc>
          <w:tcPr>
            <w:tcW w:w="1540" w:type="dxa"/>
            <w:vAlign w:val="bottom"/>
            <w:tcBorders>
              <w:top w:val="single" w:sz="8" w:color="0000FF"/>
            </w:tcBorders>
          </w:tcPr>
          <w:p>
            <w:pPr>
              <w:spacing w:after="0"/>
              <w:rPr>
                <w:sz w:val="18"/>
                <w:szCs w:val="18"/>
                <w:color w:val="auto"/>
              </w:rPr>
            </w:pPr>
          </w:p>
        </w:tc>
        <w:tc>
          <w:tcPr>
            <w:tcW w:w="2080" w:type="dxa"/>
            <w:vAlign w:val="bottom"/>
            <w:tcBorders>
              <w:top w:val="single" w:sz="8" w:color="0000FF"/>
            </w:tcBorders>
          </w:tcPr>
          <w:p>
            <w:pPr>
              <w:spacing w:after="0"/>
              <w:rPr>
                <w:sz w:val="18"/>
                <w:szCs w:val="18"/>
                <w:color w:val="auto"/>
              </w:rPr>
            </w:pPr>
          </w:p>
        </w:tc>
        <w:tc>
          <w:tcPr>
            <w:tcW w:w="980" w:type="dxa"/>
            <w:vAlign w:val="bottom"/>
            <w:tcBorders>
              <w:top w:val="single" w:sz="8" w:color="0000FF"/>
            </w:tcBorders>
          </w:tcPr>
          <w:p>
            <w:pPr>
              <w:spacing w:after="0"/>
              <w:rPr>
                <w:sz w:val="18"/>
                <w:szCs w:val="18"/>
                <w:color w:val="auto"/>
              </w:rPr>
            </w:pPr>
          </w:p>
        </w:tc>
        <w:tc>
          <w:tcPr>
            <w:tcW w:w="1780" w:type="dxa"/>
            <w:vAlign w:val="bottom"/>
            <w:tcBorders>
              <w:top w:val="single" w:sz="8" w:color="0000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1360" w:type="dxa"/>
            <w:vAlign w:val="bottom"/>
            <w:tcBorders>
              <w:right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107*</w:t>
            </w:r>
          </w:p>
        </w:tc>
        <w:tc>
          <w:tcPr>
            <w:tcW w:w="9860" w:type="dxa"/>
            <w:vAlign w:val="bottom"/>
            <w:gridSpan w:val="12"/>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0000FF"/>
              </w:rPr>
              <w:t>Filing Fee Table.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1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5"/>
        </w:trPr>
        <w:tc>
          <w:tcPr>
            <w:tcW w:w="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jc w:val="both"/>
        <w:ind w:firstLine="37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Broomfield, State of Colorado, on the 16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June, 2026.</w:t>
      </w:r>
    </w:p>
    <w:p>
      <w:pPr>
        <w:spacing w:after="0" w:line="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GOGO INC.</w:t>
      </w:r>
    </w:p>
    <w:p>
      <w:pPr>
        <w:spacing w:after="0" w:line="220" w:lineRule="exact"/>
        <w:rPr>
          <w:sz w:val="20"/>
          <w:szCs w:val="20"/>
          <w:color w:val="auto"/>
        </w:rPr>
      </w:pPr>
    </w:p>
    <w:p>
      <w:pPr>
        <w:ind w:left="160"/>
        <w:spacing w:after="0"/>
        <w:tabs>
          <w:tab w:leader="none" w:pos="55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Christopher Moore</w:t>
      </w:r>
    </w:p>
    <w:p>
      <w:pPr>
        <w:spacing w:after="0" w:line="4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Name: Christopher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-127635</wp:posOffset>
            </wp:positionV>
            <wp:extent cx="35623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jc w:val="both"/>
        <w:ind w:firstLine="640"/>
        <w:spacing w:after="0" w:line="270" w:lineRule="auto"/>
        <w:rPr>
          <w:sz w:val="20"/>
          <w:szCs w:val="20"/>
          <w:color w:val="auto"/>
        </w:rPr>
      </w:pPr>
      <w:r>
        <w:rPr>
          <w:rFonts w:ascii="Times New Roman" w:cs="Times New Roman" w:eastAsia="Times New Roman" w:hAnsi="Times New Roman"/>
          <w:sz w:val="17"/>
          <w:szCs w:val="17"/>
          <w:color w:val="auto"/>
        </w:rPr>
        <w:t>KNOW ALL PERSONS BY THESE PRESENTS, that each of the undersigned constitutes and appoints each of Zachary Cotner and Crystal L. Gordon, each acting alone, as his or her true and lawful attorneys-in-fact and agents, with full power of substitution and resubstitution, for such person and in his or her name, place and stead, in any and all capacities, to sign this Registration Statement on Form S-8 and all post-effective amendments thereto, of Gogo Inc., and to file the same, with all exhibits thereto, and other document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that any such attorney-in-fact and agent, or such attorney-in-fact and agent’s substitute or substitutes, may lawfully do or cause to be done by virtue hereof.</w:t>
      </w:r>
    </w:p>
    <w:p>
      <w:pPr>
        <w:spacing w:after="0" w:line="170" w:lineRule="exact"/>
        <w:rPr>
          <w:sz w:val="20"/>
          <w:szCs w:val="20"/>
          <w:color w:val="auto"/>
        </w:rPr>
      </w:pPr>
    </w:p>
    <w:p>
      <w:pPr>
        <w:jc w:val="both"/>
        <w:ind w:firstLine="374"/>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984885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20275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2027555" cy="1714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Christopher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275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202755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Christopher Moore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Zachary Cotner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275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202755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Zachary Cotner</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Leigh Goldfine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275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2027555" cy="171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Leigh Goldfine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275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2027555" cy="171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Oakleigh Thorne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Hugh W.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275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2027555" cy="171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Hugh W. Jones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Mark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275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202755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Anderson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Monte J.M. Koch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2755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2027555" cy="1714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Monte J.M. Koch</w:t>
      </w:r>
    </w:p>
    <w:p>
      <w:pPr>
        <w:spacing w:after="0" w:line="247" w:lineRule="exact"/>
        <w:rPr>
          <w:sz w:val="20"/>
          <w:szCs w:val="20"/>
          <w:color w:val="auto"/>
        </w:rPr>
      </w:pPr>
    </w:p>
    <w:p>
      <w:pPr>
        <w:ind w:right="520"/>
        <w:spacing w:after="0" w:line="357" w:lineRule="auto"/>
        <w:rPr>
          <w:sz w:val="20"/>
          <w:szCs w:val="20"/>
          <w:color w:val="auto"/>
        </w:rPr>
      </w:pPr>
      <w:r>
        <w:rPr>
          <w:rFonts w:ascii="Times New Roman" w:cs="Times New Roman" w:eastAsia="Times New Roman" w:hAnsi="Times New Roman"/>
          <w:sz w:val="17"/>
          <w:szCs w:val="17"/>
          <w:color w:val="auto"/>
        </w:rPr>
        <w:t>/s/ Michele Coleman Mayes Michele Coleman Mayes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20275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2027555" cy="1714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Minihan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275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2027555" cy="171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Minihan</w:t>
      </w:r>
    </w:p>
    <w:p>
      <w:pPr>
        <w:spacing w:after="0" w:line="247" w:lineRule="exact"/>
        <w:rPr>
          <w:sz w:val="20"/>
          <w:szCs w:val="20"/>
          <w:color w:val="auto"/>
        </w:rPr>
      </w:pPr>
    </w:p>
    <w:p>
      <w:pPr>
        <w:ind w:right="760"/>
        <w:spacing w:after="0" w:line="357" w:lineRule="auto"/>
        <w:rPr>
          <w:sz w:val="20"/>
          <w:szCs w:val="20"/>
          <w:color w:val="auto"/>
        </w:rPr>
      </w:pPr>
      <w:r>
        <w:rPr>
          <w:rFonts w:ascii="Times New Roman" w:cs="Times New Roman" w:eastAsia="Times New Roman" w:hAnsi="Times New Roman"/>
          <w:sz w:val="17"/>
          <w:szCs w:val="17"/>
          <w:color w:val="auto"/>
        </w:rPr>
        <w:t>/s/ Charles C. Townsend Charles C. Townsend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-220980</wp:posOffset>
            </wp:positionV>
            <wp:extent cx="20275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2027555" cy="1714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Harris N.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20275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2027555" cy="171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Harris N. Williams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40" w:type="dxa"/>
            <w:vAlign w:val="bottom"/>
          </w:tcPr>
          <w:p>
            <w:pPr>
              <w:spacing w:after="0"/>
              <w:rPr>
                <w:sz w:val="21"/>
                <w:szCs w:val="21"/>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28"/>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 and Chief Executive Officer</w:t>
            </w:r>
          </w:p>
        </w:tc>
        <w:tc>
          <w:tcPr>
            <w:tcW w:w="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81"/>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27"/>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c>
          <w:tcPr>
            <w:tcW w:w="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81"/>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27"/>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Vice President, Controller and Chief Accounting Officer</w:t>
            </w:r>
          </w:p>
        </w:tc>
        <w:tc>
          <w:tcPr>
            <w:tcW w:w="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281"/>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27"/>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Chair of the Board of Directors</w:t>
            </w:r>
          </w:p>
        </w:tc>
        <w:tc>
          <w:tcPr>
            <w:tcW w:w="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721"/>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Lead Independent Director</w:t>
            </w:r>
          </w:p>
        </w:tc>
        <w:tc>
          <w:tcPr>
            <w:tcW w:w="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708"/>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668"/>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668"/>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708"/>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708"/>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r>
        <w:trPr>
          <w:trHeight w:val="708"/>
        </w:trPr>
        <w:tc>
          <w:tcPr>
            <w:tcW w:w="6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c>
          <w:tcPr>
            <w:tcW w:w="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16, 2026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1310005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2">
            <w:col w:w="2520" w:space="720"/>
            <w:col w:w="8000"/>
          </w:cols>
          <w:pgMar w:left="320" w:top="1426" w:right="339" w:bottom="1440" w:gutter="0" w:footer="0" w:header="0"/>
        </w:sectPr>
      </w:pPr>
    </w:p>
    <w:bookmarkStart w:id="7" w:name="page8"/>
    <w:bookmarkEnd w:id="7"/>
    <w:p>
      <w:pPr>
        <w:jc w:val="right"/>
        <w:ind w:right="339"/>
        <w:spacing w:after="0"/>
        <w:rPr>
          <w:sz w:val="20"/>
          <w:szCs w:val="20"/>
          <w:color w:val="auto"/>
        </w:rPr>
      </w:pPr>
      <w:r>
        <w:rPr>
          <w:rFonts w:ascii="Times New Roman" w:cs="Times New Roman" w:eastAsia="Times New Roman" w:hAnsi="Times New Roman"/>
          <w:sz w:val="18"/>
          <w:szCs w:val="18"/>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75565</wp:posOffset>
            </wp:positionV>
            <wp:extent cx="1671320" cy="6896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671320" cy="689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June 16, 2026</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Gogo Inc.</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Executive Vice President and General Counsel</w:t>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105 Edgeview Dr., Suite 300</w:t>
      </w:r>
    </w:p>
    <w:p>
      <w:pPr>
        <w:spacing w:after="0" w:line="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Broomfield, CO 80021</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 Gogo Inc. - Registration Statement on Form S-8</w:t>
      </w:r>
    </w:p>
    <w:p>
      <w:pPr>
        <w:spacing w:after="0" w:line="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98" w:lineRule="exact"/>
        <w:rPr>
          <w:sz w:val="20"/>
          <w:szCs w:val="20"/>
          <w:color w:val="auto"/>
        </w:rPr>
      </w:pPr>
    </w:p>
    <w:p>
      <w:pPr>
        <w:jc w:val="both"/>
        <w:ind w:left="340" w:right="339"/>
        <w:spacing w:after="0" w:line="254" w:lineRule="auto"/>
        <w:rPr>
          <w:sz w:val="20"/>
          <w:szCs w:val="20"/>
          <w:color w:val="auto"/>
        </w:rPr>
      </w:pPr>
      <w:r>
        <w:rPr>
          <w:rFonts w:ascii="Times New Roman" w:cs="Times New Roman" w:eastAsia="Times New Roman" w:hAnsi="Times New Roman"/>
          <w:sz w:val="18"/>
          <w:szCs w:val="18"/>
          <w:color w:val="auto"/>
        </w:rPr>
        <w:t>We have acted as counsel to Gogo Inc., a corporation organized under the laws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preparation and filing by the Company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of a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on the date hereof, relating to the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8,555,000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Company’s common stock, par value $0.0001 per share (the “Common Stock”), reserved for issuance under the Amended and Restated 2024 Omnibus Equity Incentive Plan (the “</w:t>
      </w:r>
      <w:r>
        <w:rPr>
          <w:rFonts w:ascii="Times New Roman" w:cs="Times New Roman" w:eastAsia="Times New Roman" w:hAnsi="Times New Roman"/>
          <w:sz w:val="18"/>
          <w:szCs w:val="18"/>
          <w:b w:val="1"/>
          <w:bCs w:val="1"/>
          <w:color w:val="auto"/>
        </w:rPr>
        <w:t>2024 Plan</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340" w:right="359"/>
        <w:spacing w:after="0" w:line="262" w:lineRule="auto"/>
        <w:rPr>
          <w:sz w:val="20"/>
          <w:szCs w:val="20"/>
          <w:color w:val="auto"/>
        </w:rPr>
      </w:pPr>
      <w:r>
        <w:rPr>
          <w:rFonts w:ascii="Times New Roman" w:cs="Times New Roman" w:eastAsia="Times New Roman" w:hAnsi="Times New Roman"/>
          <w:sz w:val="18"/>
          <w:szCs w:val="18"/>
          <w:color w:val="auto"/>
        </w:rPr>
        <w:t>This opinion letter is rendered in accordance with the requirements of Item 601(b)(5) of Regulation S–K under the Securities Act, and no opinion is expressed herein as to any matter pertaining to the contents of the Registration Statement or any related prospectus, other than as expressly stated herein with respect to the issue of the Shares.</w:t>
      </w:r>
    </w:p>
    <w:p>
      <w:pPr>
        <w:spacing w:after="0" w:line="177" w:lineRule="exact"/>
        <w:rPr>
          <w:sz w:val="20"/>
          <w:szCs w:val="20"/>
          <w:color w:val="auto"/>
        </w:rPr>
      </w:pPr>
    </w:p>
    <w:p>
      <w:pPr>
        <w:jc w:val="both"/>
        <w:ind w:left="340" w:right="339"/>
        <w:spacing w:after="0" w:line="257" w:lineRule="auto"/>
        <w:rPr>
          <w:sz w:val="20"/>
          <w:szCs w:val="20"/>
          <w:color w:val="auto"/>
        </w:rPr>
      </w:pPr>
      <w:r>
        <w:rPr>
          <w:rFonts w:ascii="Times New Roman" w:cs="Times New Roman" w:eastAsia="Times New Roman" w:hAnsi="Times New Roman"/>
          <w:sz w:val="18"/>
          <w:szCs w:val="18"/>
          <w:color w:val="auto"/>
        </w:rPr>
        <w:t>In connection with our opinion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 set forth in this opinion letter:</w:t>
      </w:r>
    </w:p>
    <w:p>
      <w:pPr>
        <w:spacing w:after="0" w:line="182" w:lineRule="exact"/>
        <w:rPr>
          <w:sz w:val="20"/>
          <w:szCs w:val="20"/>
          <w:color w:val="auto"/>
        </w:rPr>
      </w:pPr>
    </w:p>
    <w:p>
      <w:pPr>
        <w:ind w:left="580" w:hanging="24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0" w:lineRule="exact"/>
        <w:rPr>
          <w:rFonts w:ascii="Times New Roman" w:cs="Times New Roman" w:eastAsia="Times New Roman" w:hAnsi="Times New Roman"/>
          <w:sz w:val="18"/>
          <w:szCs w:val="18"/>
          <w:color w:val="auto"/>
        </w:rPr>
      </w:pPr>
    </w:p>
    <w:p>
      <w:pPr>
        <w:jc w:val="both"/>
        <w:ind w:left="340" w:right="359" w:hanging="4"/>
        <w:spacing w:after="0" w:line="262" w:lineRule="auto"/>
        <w:tabs>
          <w:tab w:leader="none" w:pos="60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Third Amended and Restated Certificate of Incorporation, adopted on June 26, 2013, certified by the Executive Vice President, General Counsel, Chief Administrative Officer and Secretary of the Company (the “Secretary”);</w:t>
      </w:r>
    </w:p>
    <w:p>
      <w:pPr>
        <w:spacing w:after="0" w:line="177" w:lineRule="exact"/>
        <w:rPr>
          <w:rFonts w:ascii="Times New Roman" w:cs="Times New Roman" w:eastAsia="Times New Roman" w:hAnsi="Times New Roman"/>
          <w:sz w:val="18"/>
          <w:szCs w:val="18"/>
          <w:color w:val="auto"/>
        </w:rPr>
      </w:pPr>
    </w:p>
    <w:p>
      <w:pPr>
        <w:ind w:left="340" w:right="359" w:hanging="4"/>
        <w:spacing w:after="0" w:line="277" w:lineRule="auto"/>
        <w:tabs>
          <w:tab w:leader="none" w:pos="6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Amended and Restated Bylaws of the Company, adopted on July 27, 2023, certified by the Secretary;</w:t>
      </w:r>
    </w:p>
    <w:p>
      <w:pPr>
        <w:spacing w:after="0" w:line="163" w:lineRule="exact"/>
        <w:rPr>
          <w:rFonts w:ascii="Times New Roman" w:cs="Times New Roman" w:eastAsia="Times New Roman" w:hAnsi="Times New Roman"/>
          <w:sz w:val="18"/>
          <w:szCs w:val="18"/>
          <w:color w:val="auto"/>
        </w:rPr>
      </w:pPr>
    </w:p>
    <w:p>
      <w:pPr>
        <w:ind w:left="340" w:right="359" w:hanging="4"/>
        <w:spacing w:after="0" w:line="277" w:lineRule="auto"/>
        <w:tabs>
          <w:tab w:leader="none" w:pos="60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Unanimous Written Consent of the Board of Directors of the Company relating to the 2024 Plan, adopted on April 13, 2026, certified by the Secretary; and</w:t>
      </w:r>
    </w:p>
    <w:p>
      <w:pPr>
        <w:spacing w:after="0" w:line="163" w:lineRule="exact"/>
        <w:rPr>
          <w:rFonts w:ascii="Times New Roman" w:cs="Times New Roman" w:eastAsia="Times New Roman" w:hAnsi="Times New Roman"/>
          <w:sz w:val="18"/>
          <w:szCs w:val="18"/>
          <w:color w:val="auto"/>
        </w:rPr>
      </w:pPr>
    </w:p>
    <w:p>
      <w:pPr>
        <w:ind w:left="580" w:hanging="244"/>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Plan.</w:t>
      </w:r>
    </w:p>
    <w:p>
      <w:pPr>
        <w:spacing w:after="0" w:line="220" w:lineRule="exact"/>
        <w:rPr>
          <w:sz w:val="20"/>
          <w:szCs w:val="20"/>
          <w:color w:val="auto"/>
        </w:rPr>
      </w:pPr>
    </w:p>
    <w:p>
      <w:pPr>
        <w:jc w:val="both"/>
        <w:ind w:left="340" w:right="339"/>
        <w:spacing w:after="0" w:line="250" w:lineRule="auto"/>
        <w:rPr>
          <w:sz w:val="20"/>
          <w:szCs w:val="20"/>
          <w:color w:val="auto"/>
        </w:rPr>
      </w:pPr>
      <w:r>
        <w:rPr>
          <w:rFonts w:ascii="Times New Roman" w:cs="Times New Roman" w:eastAsia="Times New Roman" w:hAnsi="Times New Roman"/>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93" w:lineRule="exact"/>
        <w:rPr>
          <w:sz w:val="20"/>
          <w:szCs w:val="20"/>
          <w:color w:val="auto"/>
        </w:rPr>
      </w:pPr>
    </w:p>
    <w:p>
      <w:pPr>
        <w:jc w:val="both"/>
        <w:ind w:left="340" w:right="359"/>
        <w:spacing w:after="0" w:line="262" w:lineRule="auto"/>
        <w:rPr>
          <w:sz w:val="20"/>
          <w:szCs w:val="20"/>
          <w:color w:val="auto"/>
        </w:rPr>
      </w:pPr>
      <w:r>
        <w:rPr>
          <w:rFonts w:ascii="Times New Roman" w:cs="Times New Roman" w:eastAsia="Times New Roman" w:hAnsi="Times New Roman"/>
          <w:sz w:val="18"/>
          <w:szCs w:val="18"/>
          <w:color w:val="auto"/>
        </w:rPr>
        <w:t>Based upon the foregoing assumptions, and subject to the qualifications set forth in this opinion letter, having considered such questions of law as we have deemed necessary as a basis for the opinion expressed below, we are of the opinion that the Shares reserved for issuance pursuant to the 2024 Plan, as referenced above, have been duly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857885</wp:posOffset>
            </wp:positionV>
            <wp:extent cx="696404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6964045" cy="42545"/>
                    </a:xfrm>
                    <a:prstGeom prst="rect">
                      <a:avLst/>
                    </a:prstGeom>
                    <a:noFill/>
                  </pic:spPr>
                </pic:pic>
              </a:graphicData>
            </a:graphic>
          </wp:anchor>
        </w:drawing>
      </w:r>
    </w:p>
    <w:p>
      <w:pPr>
        <w:sectPr>
          <w:pgSz w:w="11900" w:h="16838" w:orient="portrait"/>
          <w:cols w:equalWidth="0" w:num="1">
            <w:col w:w="9019"/>
          </w:cols>
          <w:pgMar w:left="1440" w:top="762" w:right="1440" w:bottom="1440" w:gutter="0" w:footer="0" w:header="0"/>
        </w:sectPr>
      </w:pPr>
    </w:p>
    <w:bookmarkStart w:id="8" w:name="page9"/>
    <w:bookmarkEnd w:id="8"/>
    <w:p>
      <w:pPr>
        <w:jc w:val="both"/>
        <w:ind w:left="340" w:right="339"/>
        <w:spacing w:after="0" w:line="277" w:lineRule="auto"/>
        <w:rPr>
          <w:sz w:val="20"/>
          <w:szCs w:val="20"/>
          <w:color w:val="auto"/>
        </w:rPr>
      </w:pPr>
      <w:r>
        <w:rPr>
          <w:rFonts w:ascii="Times New Roman" w:cs="Times New Roman" w:eastAsia="Times New Roman" w:hAnsi="Times New Roman"/>
          <w:sz w:val="18"/>
          <w:szCs w:val="18"/>
          <w:color w:val="auto"/>
        </w:rPr>
        <w:t>authorized for issuance and sale pursuant to the 2024 Plan by all necessary corporate action of the Company, and when issued as provided under the 2024 Plan, they will be validly issued, fully paid and non-assessable.</w:t>
      </w:r>
    </w:p>
    <w:p>
      <w:pPr>
        <w:spacing w:after="0" w:line="163" w:lineRule="exact"/>
        <w:rPr>
          <w:sz w:val="20"/>
          <w:szCs w:val="20"/>
          <w:color w:val="auto"/>
        </w:rPr>
      </w:pPr>
    </w:p>
    <w:p>
      <w:pPr>
        <w:jc w:val="both"/>
        <w:ind w:left="340" w:right="339"/>
        <w:spacing w:after="0" w:line="251" w:lineRule="auto"/>
        <w:rPr>
          <w:sz w:val="20"/>
          <w:szCs w:val="20"/>
          <w:color w:val="auto"/>
        </w:rPr>
      </w:pPr>
      <w:r>
        <w:rPr>
          <w:rFonts w:ascii="Times New Roman" w:cs="Times New Roman" w:eastAsia="Times New Roman" w:hAnsi="Times New Roman"/>
          <w:sz w:val="18"/>
          <w:szCs w:val="18"/>
          <w:color w:val="auto"/>
        </w:rPr>
        <w:t>The opinion expressed above is limited to questions arising under the Delaware General Corporation Law. We do not express any opinion as to the laws of any other jurisdiction. The opinion expressed above is limited to the matters stated in this opinion letter, and no opinion is implied or may be inferred beyond those expressly stated in this opinion letter. The opinion expressed above is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 expressed in this opinion letter.</w:t>
      </w:r>
    </w:p>
    <w:p>
      <w:pPr>
        <w:spacing w:after="0" w:line="189" w:lineRule="exact"/>
        <w:rPr>
          <w:sz w:val="20"/>
          <w:szCs w:val="20"/>
          <w:color w:val="auto"/>
        </w:rPr>
      </w:pPr>
    </w:p>
    <w:p>
      <w:pPr>
        <w:jc w:val="both"/>
        <w:ind w:left="340" w:right="359"/>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letter with the SEC as Exhibit 5.1 to the Registration Statement. In giving this consent, we do not thereby admit that we are within the category of persons whose consent is required under Section 7 of the Securities Act or the rules and regulations of the SEC thereunder.</w:t>
      </w:r>
    </w:p>
    <w:p>
      <w:pPr>
        <w:spacing w:after="0" w:line="1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White &amp; Case LLP</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SL: JB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-617220</wp:posOffset>
            </wp:positionH>
            <wp:positionV relativeFrom="paragraph">
              <wp:posOffset>1023620</wp:posOffset>
            </wp:positionV>
            <wp:extent cx="696404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696404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reports dated February 27, 2026, relating to the financial statements of Gogo Inc. and the effectiveness of Gogo Inc.’s internal control over financial reporting appearing in the Annual Report on Form 10-K for the year ended December 31, 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873125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 w:name="page11"/>
    <w:bookmarkEnd w:id="10"/>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Gogo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8,555,000</w:t>
            </w:r>
          </w:p>
        </w:tc>
        <w:tc>
          <w:tcPr>
            <w:tcW w:w="20" w:type="dxa"/>
            <w:vAlign w:val="bottom"/>
          </w:tcPr>
          <w:p>
            <w:pPr>
              <w:spacing w:after="0"/>
              <w:rPr>
                <w:sz w:val="10"/>
                <w:szCs w:val="1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$ 3.37</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$ 3,981.47</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28,830,350.00</w:t>
            </w:r>
          </w:p>
        </w:tc>
        <w:tc>
          <w:tcPr>
            <w:tcW w:w="4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0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$0.0001</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$ 3,981.47</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28,830,350.00</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$ 3,981.47</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800" w:right="1040" w:firstLine="2"/>
        <w:spacing w:after="0" w:line="245" w:lineRule="auto"/>
        <w:tabs>
          <w:tab w:leader="none" w:pos="1049" w:val="left"/>
        </w:tabs>
        <w:numPr>
          <w:ilvl w:val="0"/>
          <w:numId w:val="4"/>
        </w:numPr>
        <w:rPr>
          <w:rFonts w:ascii="Arial" w:cs="Arial" w:eastAsia="Arial" w:hAnsi="Arial"/>
          <w:sz w:val="21"/>
          <w:szCs w:val="21"/>
          <w:color w:val="auto"/>
        </w:rPr>
      </w:pPr>
      <w:r>
        <w:rPr>
          <w:rFonts w:ascii="Arial" w:cs="Arial" w:eastAsia="Arial" w:hAnsi="Arial"/>
          <w:sz w:val="21"/>
          <w:szCs w:val="21"/>
          <w:color w:val="auto"/>
        </w:rPr>
        <w:t>Pursuant to Rule 416(a) under the Securities Act of 1933, as amended (the "Securities Act"), this registration statement shall also cover any additional shares of the Registrant's common stock, par value $0.0001 per share ("Common Stock"), that may become issuable under the terms of the Amended &amp; Restated 2024 Omnibus Equity Incentive Plan (the "A&amp;R Plan") by reason of any share split, share dividend, recapitalization or other similar transaction effected without the Registrant's receipt of consideration which results in an increase in the number of the outstanding shares of Common Stock.</w:t>
      </w:r>
    </w:p>
    <w:p>
      <w:pPr>
        <w:spacing w:after="0" w:line="197" w:lineRule="exact"/>
        <w:rPr>
          <w:rFonts w:ascii="Arial" w:cs="Arial" w:eastAsia="Arial" w:hAnsi="Arial"/>
          <w:sz w:val="21"/>
          <w:szCs w:val="21"/>
          <w:color w:val="auto"/>
        </w:rPr>
      </w:pPr>
    </w:p>
    <w:p>
      <w:pPr>
        <w:ind w:left="800" w:right="820" w:firstLine="2"/>
        <w:spacing w:after="0" w:line="258" w:lineRule="auto"/>
        <w:tabs>
          <w:tab w:leader="none" w:pos="1049" w:val="left"/>
        </w:tabs>
        <w:numPr>
          <w:ilvl w:val="0"/>
          <w:numId w:val="4"/>
        </w:numPr>
        <w:rPr>
          <w:rFonts w:ascii="Arial" w:cs="Arial" w:eastAsia="Arial" w:hAnsi="Arial"/>
          <w:sz w:val="21"/>
          <w:szCs w:val="21"/>
          <w:color w:val="auto"/>
        </w:rPr>
      </w:pPr>
      <w:r>
        <w:rPr>
          <w:rFonts w:ascii="Arial" w:cs="Arial" w:eastAsia="Arial" w:hAnsi="Arial"/>
          <w:sz w:val="21"/>
          <w:szCs w:val="21"/>
          <w:color w:val="auto"/>
        </w:rPr>
        <w:t>Estimated solely for the purpose of calculating the registration fee pursuant to Rule 457(c) and (h) under the Securities Act, based on the average of the high and low sales prices of the Common Stock on the Nasdaq Global Select Market on June 10, 2026.</w:t>
      </w:r>
    </w:p>
    <w:p>
      <w:pPr>
        <w:spacing w:after="0" w:line="183" w:lineRule="exact"/>
        <w:rPr>
          <w:rFonts w:ascii="Arial" w:cs="Arial" w:eastAsia="Arial" w:hAnsi="Arial"/>
          <w:sz w:val="21"/>
          <w:szCs w:val="21"/>
          <w:color w:val="auto"/>
        </w:rPr>
      </w:pPr>
    </w:p>
    <w:p>
      <w:pPr>
        <w:ind w:left="800" w:right="1420" w:firstLine="2"/>
        <w:spacing w:after="0" w:line="278" w:lineRule="auto"/>
        <w:tabs>
          <w:tab w:leader="none" w:pos="1037" w:val="left"/>
        </w:tabs>
        <w:numPr>
          <w:ilvl w:val="0"/>
          <w:numId w:val="4"/>
        </w:numPr>
        <w:rPr>
          <w:rFonts w:ascii="Arial" w:cs="Arial" w:eastAsia="Arial" w:hAnsi="Arial"/>
          <w:sz w:val="21"/>
          <w:szCs w:val="21"/>
          <w:color w:val="auto"/>
        </w:rPr>
      </w:pPr>
      <w:r>
        <w:rPr>
          <w:rFonts w:ascii="Arial" w:cs="Arial" w:eastAsia="Arial" w:hAnsi="Arial"/>
          <w:sz w:val="21"/>
          <w:szCs w:val="21"/>
          <w:color w:val="auto"/>
        </w:rPr>
        <w:t>Represents shares available for issuance under the A&amp;R Plan. For more information, see the "Explanatory Note" to this registration statement on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55880</wp:posOffset>
            </wp:positionV>
            <wp:extent cx="63874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7"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jpe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9" Type="http://schemas.openxmlformats.org/officeDocument/2006/relationships/hyperlink" Target="https://www.sec.gov/Archives/edgar/data/1537054/000095017024089284/gogo-20240801.htm" TargetMode="External"/><Relationship Id="rId12" Type="http://schemas.openxmlformats.org/officeDocument/2006/relationships/hyperlink" Target="https://www.sec.gov/ix?doc=/Archives/edgar/data/0001537054/000119312526082487/gogo-20251231.htm" TargetMode="External"/><Relationship Id="rId13" Type="http://schemas.openxmlformats.org/officeDocument/2006/relationships/hyperlink" Target="https://www.sec.gov/ix?doc=/Archives/edgar/data/0001537054/000119312526158978/gogo-20260416.htm" TargetMode="External"/><Relationship Id="rId14" Type="http://schemas.openxmlformats.org/officeDocument/2006/relationships/hyperlink" Target="https://www.sec.gov/ix?doc=/Archives/edgar/data/0001537054/000119312526211861/gogo-20260331.htm" TargetMode="External"/><Relationship Id="rId15" Type="http://schemas.openxmlformats.org/officeDocument/2006/relationships/hyperlink" Target="https://www.sec.gov/ix?doc=/Archives/edgar/data/1537054/000119312526253430/gogo-20260602.htm" TargetMode="External"/><Relationship Id="rId16" Type="http://schemas.openxmlformats.org/officeDocument/2006/relationships/hyperlink" Target="https://www.sec.gov/Archives/edgar/data/1537054/000095017024022040/gogo-ex4_3.htm" TargetMode="External"/><Relationship Id="rId18" Type="http://schemas.openxmlformats.org/officeDocument/2006/relationships/hyperlink" Target="https://www.sec.gov/Archives/edgar/data/1537054/000119312513324476/d552184dex31.htm" TargetMode="External"/><Relationship Id="rId19" Type="http://schemas.openxmlformats.org/officeDocument/2006/relationships/hyperlink" Target="https://www.sec.gov/Archives/edgar/data/1537054/000095017023037120/gogo-ex3_1.htm" TargetMode="External"/><Relationship Id="rId20" Type="http://schemas.openxmlformats.org/officeDocument/2006/relationships/hyperlink" Target="https://www.sec.gov/Archives/edgar/data/1537054/000119312513252482/d551124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2026-06-16T15:16:41Z</dcterms:created>
  <dcterms:modified xsi:type="dcterms:W3CDTF">2026-06-16T15:16:41Z</dcterms:modified>
</cp:coreProperties>
</file>