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137160</wp:posOffset>
            </wp:positionV>
            <wp:extent cx="66040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30" w:type="dxa"/>
        <w:tblCellMar>
          <w:top w:w="0" w:type="dxa"/>
          <w:left w:w="0" w:type="dxa"/>
          <w:bottom w:w="0" w:type="dxa"/>
          <w:right w:w="0" w:type="dxa"/>
        </w:tblCellMar>
      </w:tblPr>
      <w:tr>
        <w:trPr>
          <w:trHeight w:val="391"/>
        </w:trPr>
        <w:tc>
          <w:tcPr>
            <w:tcW w:w="3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tcPr>
          <w:p>
            <w:pPr>
              <w:jc w:val="center"/>
              <w:ind w:right="940"/>
              <w:spacing w:after="0"/>
              <w:rPr>
                <w:sz w:val="20"/>
                <w:szCs w:val="20"/>
                <w:color w:val="auto"/>
              </w:rPr>
            </w:pPr>
            <w:r>
              <w:rPr>
                <w:rFonts w:ascii="Arial" w:cs="Arial" w:eastAsia="Arial" w:hAnsi="Arial"/>
                <w:sz w:val="32"/>
                <w:szCs w:val="32"/>
                <w:b w:val="1"/>
                <w:bCs w:val="1"/>
                <w:color w:val="auto"/>
                <w:w w:val="92"/>
              </w:rPr>
              <w:t>Gogo Inc.</w:t>
            </w:r>
          </w:p>
        </w:tc>
        <w:tc>
          <w:tcPr>
            <w:tcW w:w="356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3880" w:type="dxa"/>
            <w:vAlign w:val="bottom"/>
            <w:gridSpan w:val="7"/>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319"/>
        </w:trPr>
        <w:tc>
          <w:tcPr>
            <w:tcW w:w="3580" w:type="dxa"/>
            <w:vAlign w:val="bottom"/>
          </w:tcPr>
          <w:p>
            <w:pPr>
              <w:jc w:val="center"/>
              <w:ind w:left="1623"/>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60" w:type="dxa"/>
            <w:vAlign w:val="bottom"/>
          </w:tcPr>
          <w:p>
            <w:pPr>
              <w:jc w:val="center"/>
              <w:ind w:right="1665"/>
              <w:spacing w:after="0"/>
              <w:rPr>
                <w:sz w:val="20"/>
                <w:szCs w:val="20"/>
                <w:color w:val="auto"/>
              </w:rPr>
            </w:pPr>
            <w:r>
              <w:rPr>
                <w:rFonts w:ascii="Arial" w:cs="Arial" w:eastAsia="Arial" w:hAnsi="Arial"/>
                <w:sz w:val="18"/>
                <w:szCs w:val="18"/>
                <w:b w:val="1"/>
                <w:bCs w:val="1"/>
                <w:color w:val="auto"/>
                <w:w w:val="89"/>
              </w:rPr>
              <w:t>27-1650905</w:t>
            </w:r>
          </w:p>
        </w:tc>
      </w:tr>
      <w:tr>
        <w:trPr>
          <w:trHeight w:val="148"/>
        </w:trPr>
        <w:tc>
          <w:tcPr>
            <w:tcW w:w="3580" w:type="dxa"/>
            <w:vAlign w:val="bottom"/>
          </w:tcPr>
          <w:p>
            <w:pPr>
              <w:jc w:val="center"/>
              <w:ind w:left="1623"/>
              <w:spacing w:after="0" w:line="149" w:lineRule="exact"/>
              <w:rPr>
                <w:sz w:val="20"/>
                <w:szCs w:val="20"/>
                <w:color w:val="auto"/>
              </w:rPr>
            </w:pPr>
            <w:r>
              <w:rPr>
                <w:rFonts w:ascii="Arial" w:cs="Arial" w:eastAsia="Arial" w:hAnsi="Arial"/>
                <w:sz w:val="14"/>
                <w:szCs w:val="14"/>
                <w:color w:val="auto"/>
                <w:w w:val="95"/>
              </w:rPr>
              <w:t>(State or other jurisdiction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560" w:type="dxa"/>
            <w:vAlign w:val="bottom"/>
          </w:tcPr>
          <w:p>
            <w:pPr>
              <w:jc w:val="center"/>
              <w:ind w:right="1665"/>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580" w:type="dxa"/>
            <w:vAlign w:val="bottom"/>
          </w:tcPr>
          <w:p>
            <w:pPr>
              <w:jc w:val="center"/>
              <w:ind w:left="1623"/>
              <w:spacing w:after="0"/>
              <w:rPr>
                <w:sz w:val="20"/>
                <w:szCs w:val="20"/>
                <w:color w:val="auto"/>
              </w:rPr>
            </w:pPr>
            <w:r>
              <w:rPr>
                <w:rFonts w:ascii="Arial" w:cs="Arial" w:eastAsia="Arial" w:hAnsi="Arial"/>
                <w:sz w:val="14"/>
                <w:szCs w:val="14"/>
                <w:color w:val="auto"/>
                <w:w w:val="94"/>
              </w:rPr>
              <w:t>Incorporation or Organization)</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60" w:type="dxa"/>
            <w:vAlign w:val="bottom"/>
          </w:tcPr>
          <w:p>
            <w:pPr>
              <w:jc w:val="center"/>
              <w:ind w:right="1665"/>
              <w:spacing w:after="0"/>
              <w:rPr>
                <w:sz w:val="20"/>
                <w:szCs w:val="20"/>
                <w:color w:val="auto"/>
              </w:rPr>
            </w:pPr>
            <w:r>
              <w:rPr>
                <w:rFonts w:ascii="Arial" w:cs="Arial" w:eastAsia="Arial" w:hAnsi="Arial"/>
                <w:sz w:val="14"/>
                <w:szCs w:val="14"/>
                <w:color w:val="auto"/>
                <w:w w:val="97"/>
              </w:rPr>
              <w:t>Identification No.)</w:t>
            </w:r>
          </w:p>
        </w:tc>
      </w:tr>
      <w:tr>
        <w:trPr>
          <w:trHeight w:val="80"/>
        </w:trPr>
        <w:tc>
          <w:tcPr>
            <w:tcW w:w="3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560" w:type="dxa"/>
            <w:vAlign w:val="bottom"/>
          </w:tcPr>
          <w:p>
            <w:pPr>
              <w:spacing w:after="0"/>
              <w:rPr>
                <w:sz w:val="6"/>
                <w:szCs w:val="6"/>
                <w:color w:val="auto"/>
              </w:rPr>
            </w:pPr>
          </w:p>
        </w:tc>
      </w:tr>
      <w:tr>
        <w:trPr>
          <w:trHeight w:val="272"/>
        </w:trPr>
        <w:tc>
          <w:tcPr>
            <w:tcW w:w="3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2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0"/>
              </w:rPr>
              <w:t>111 North Canal St., Suite 1400</w:t>
            </w:r>
          </w:p>
        </w:tc>
        <w:tc>
          <w:tcPr>
            <w:tcW w:w="3560" w:type="dxa"/>
            <w:vAlign w:val="bottom"/>
          </w:tcPr>
          <w:p>
            <w:pPr>
              <w:spacing w:after="0"/>
              <w:rPr>
                <w:sz w:val="23"/>
                <w:szCs w:val="23"/>
                <w:color w:val="auto"/>
              </w:rPr>
            </w:pPr>
          </w:p>
        </w:tc>
      </w:tr>
      <w:tr>
        <w:trPr>
          <w:trHeight w:val="216"/>
        </w:trPr>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2"/>
              </w:rPr>
              <w:t>Chicago, IL 60606</w:t>
            </w:r>
          </w:p>
        </w:tc>
        <w:tc>
          <w:tcPr>
            <w:tcW w:w="3560" w:type="dxa"/>
            <w:vAlign w:val="bottom"/>
          </w:tcPr>
          <w:p>
            <w:pPr>
              <w:spacing w:after="0"/>
              <w:rPr>
                <w:sz w:val="18"/>
                <w:szCs w:val="18"/>
                <w:color w:val="auto"/>
              </w:rPr>
            </w:pPr>
          </w:p>
        </w:tc>
      </w:tr>
      <w:tr>
        <w:trPr>
          <w:trHeight w:val="182"/>
        </w:trPr>
        <w:tc>
          <w:tcPr>
            <w:tcW w:w="3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20" w:type="dxa"/>
            <w:vAlign w:val="bottom"/>
            <w:gridSpan w:val="6"/>
          </w:tcPr>
          <w:p>
            <w:pPr>
              <w:jc w:val="center"/>
              <w:ind w:right="700"/>
              <w:spacing w:after="0"/>
              <w:rPr>
                <w:sz w:val="20"/>
                <w:szCs w:val="20"/>
                <w:color w:val="auto"/>
              </w:rPr>
            </w:pPr>
            <w:r>
              <w:rPr>
                <w:rFonts w:ascii="Arial" w:cs="Arial" w:eastAsia="Arial" w:hAnsi="Arial"/>
                <w:sz w:val="14"/>
                <w:szCs w:val="14"/>
                <w:color w:val="auto"/>
                <w:w w:val="95"/>
              </w:rPr>
              <w:t>(Address of principal executive offices)</w:t>
            </w:r>
          </w:p>
        </w:tc>
        <w:tc>
          <w:tcPr>
            <w:tcW w:w="3560" w:type="dxa"/>
            <w:vAlign w:val="bottom"/>
          </w:tcPr>
          <w:p>
            <w:pPr>
              <w:spacing w:after="0"/>
              <w:rPr>
                <w:sz w:val="15"/>
                <w:szCs w:val="15"/>
                <w:color w:val="auto"/>
              </w:rPr>
            </w:pPr>
          </w:p>
        </w:tc>
      </w:tr>
      <w:tr>
        <w:trPr>
          <w:trHeight w:val="290"/>
        </w:trPr>
        <w:tc>
          <w:tcPr>
            <w:tcW w:w="3580" w:type="dxa"/>
            <w:vAlign w:val="bottom"/>
          </w:tcPr>
          <w:p>
            <w:pPr>
              <w:spacing w:after="0"/>
              <w:rPr>
                <w:sz w:val="24"/>
                <w:szCs w:val="24"/>
                <w:color w:val="auto"/>
              </w:rPr>
            </w:pPr>
          </w:p>
        </w:tc>
        <w:tc>
          <w:tcPr>
            <w:tcW w:w="388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0"/>
              </w:rPr>
              <w:t>Telephone Number (303) 301-3271</w:t>
            </w:r>
          </w:p>
        </w:tc>
        <w:tc>
          <w:tcPr>
            <w:tcW w:w="3560" w:type="dxa"/>
            <w:vAlign w:val="bottom"/>
          </w:tcPr>
          <w:p>
            <w:pPr>
              <w:spacing w:after="0"/>
              <w:rPr>
                <w:sz w:val="24"/>
                <w:szCs w:val="24"/>
                <w:color w:val="auto"/>
              </w:rPr>
            </w:pPr>
          </w:p>
        </w:tc>
      </w:tr>
      <w:tr>
        <w:trPr>
          <w:trHeight w:val="182"/>
        </w:trPr>
        <w:tc>
          <w:tcPr>
            <w:tcW w:w="3580" w:type="dxa"/>
            <w:vAlign w:val="bottom"/>
          </w:tcPr>
          <w:p>
            <w:pPr>
              <w:spacing w:after="0"/>
              <w:rPr>
                <w:sz w:val="15"/>
                <w:szCs w:val="15"/>
                <w:color w:val="auto"/>
              </w:rPr>
            </w:pPr>
          </w:p>
        </w:tc>
        <w:tc>
          <w:tcPr>
            <w:tcW w:w="3880" w:type="dxa"/>
            <w:vAlign w:val="bottom"/>
            <w:gridSpan w:val="7"/>
          </w:tcPr>
          <w:p>
            <w:pPr>
              <w:jc w:val="center"/>
              <w:ind w:right="40"/>
              <w:spacing w:after="0"/>
              <w:rPr>
                <w:sz w:val="20"/>
                <w:szCs w:val="20"/>
                <w:color w:val="auto"/>
              </w:rPr>
            </w:pPr>
            <w:r>
              <w:rPr>
                <w:rFonts w:ascii="Arial" w:cs="Arial" w:eastAsia="Arial" w:hAnsi="Arial"/>
                <w:sz w:val="14"/>
                <w:szCs w:val="14"/>
                <w:color w:val="auto"/>
                <w:w w:val="92"/>
              </w:rPr>
              <w:t>(Registrant’s telephone number, including area code)</w:t>
            </w:r>
          </w:p>
        </w:tc>
        <w:tc>
          <w:tcPr>
            <w:tcW w:w="3560" w:type="dxa"/>
            <w:vAlign w:val="bottom"/>
          </w:tcPr>
          <w:p>
            <w:pPr>
              <w:spacing w:after="0"/>
              <w:rPr>
                <w:sz w:val="15"/>
                <w:szCs w:val="15"/>
                <w:color w:val="auto"/>
              </w:rPr>
            </w:pPr>
          </w:p>
        </w:tc>
      </w:tr>
      <w:tr>
        <w:trPr>
          <w:trHeight w:val="93"/>
        </w:trPr>
        <w:tc>
          <w:tcPr>
            <w:tcW w:w="42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560" w:type="dxa"/>
            <w:vAlign w:val="bottom"/>
          </w:tcPr>
          <w:p>
            <w:pPr>
              <w:spacing w:after="0"/>
              <w:rPr>
                <w:sz w:val="8"/>
                <w:szCs w:val="8"/>
                <w:color w:val="auto"/>
              </w:rPr>
            </w:pPr>
          </w:p>
        </w:tc>
      </w:tr>
      <w:tr>
        <w:trPr>
          <w:trHeight w:val="291"/>
        </w:trPr>
        <w:tc>
          <w:tcPr>
            <w:tcW w:w="1102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21"/>
        </w:trPr>
        <w:tc>
          <w:tcPr>
            <w:tcW w:w="3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135"/>
        </w:trPr>
        <w:tc>
          <w:tcPr>
            <w:tcW w:w="3580" w:type="dxa"/>
            <w:vAlign w:val="bottom"/>
            <w:tcBorders>
              <w:left w:val="single" w:sz="8" w:color="auto"/>
              <w:bottom w:val="single" w:sz="8" w:color="auto"/>
            </w:tcBorders>
          </w:tcPr>
          <w:p>
            <w:pPr>
              <w:jc w:val="center"/>
              <w:ind w:left="583"/>
              <w:spacing w:after="0" w:line="129" w:lineRule="exact"/>
              <w:rPr>
                <w:sz w:val="20"/>
                <w:szCs w:val="20"/>
                <w:color w:val="auto"/>
              </w:rPr>
            </w:pPr>
            <w:r>
              <w:rPr>
                <w:rFonts w:ascii="Arial" w:cs="Arial" w:eastAsia="Arial" w:hAnsi="Arial"/>
                <w:sz w:val="14"/>
                <w:szCs w:val="14"/>
                <w:color w:val="auto"/>
                <w:w w:val="93"/>
              </w:rPr>
              <w:t>Title of Class</w:t>
            </w:r>
          </w:p>
        </w:tc>
        <w:tc>
          <w:tcPr>
            <w:tcW w:w="6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Trading Symbol</w:t>
            </w:r>
          </w:p>
        </w:tc>
        <w:tc>
          <w:tcPr>
            <w:tcW w:w="220" w:type="dxa"/>
            <w:vAlign w:val="bottom"/>
            <w:tcBorders>
              <w:bottom w:val="single" w:sz="8" w:color="auto"/>
              <w:right w:val="single" w:sz="8" w:color="auto"/>
            </w:tcBorders>
            <w:gridSpan w:val="2"/>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jc w:val="center"/>
              <w:ind w:right="605"/>
              <w:spacing w:after="0" w:line="129" w:lineRule="exact"/>
              <w:rPr>
                <w:sz w:val="20"/>
                <w:szCs w:val="20"/>
                <w:color w:val="auto"/>
              </w:rPr>
            </w:pPr>
            <w:r>
              <w:rPr>
                <w:rFonts w:ascii="Arial" w:cs="Arial" w:eastAsia="Arial" w:hAnsi="Arial"/>
                <w:sz w:val="14"/>
                <w:szCs w:val="14"/>
                <w:color w:val="auto"/>
                <w:w w:val="92"/>
              </w:rPr>
              <w:t>Name of Each Exchange on Which Registered</w:t>
            </w:r>
          </w:p>
        </w:tc>
      </w:tr>
      <w:tr>
        <w:trPr>
          <w:trHeight w:val="149"/>
        </w:trPr>
        <w:tc>
          <w:tcPr>
            <w:tcW w:w="3580" w:type="dxa"/>
            <w:vAlign w:val="bottom"/>
            <w:tcBorders>
              <w:left w:val="single" w:sz="8" w:color="auto"/>
              <w:bottom w:val="single" w:sz="8" w:color="auto"/>
            </w:tcBorders>
          </w:tcPr>
          <w:p>
            <w:pPr>
              <w:jc w:val="center"/>
              <w:ind w:left="563"/>
              <w:spacing w:after="0" w:line="149" w:lineRule="exact"/>
              <w:rPr>
                <w:sz w:val="20"/>
                <w:szCs w:val="20"/>
                <w:color w:val="auto"/>
              </w:rPr>
            </w:pPr>
            <w:r>
              <w:rPr>
                <w:rFonts w:ascii="Arial" w:cs="Arial" w:eastAsia="Arial" w:hAnsi="Arial"/>
                <w:sz w:val="14"/>
                <w:szCs w:val="14"/>
                <w:color w:val="auto"/>
                <w:w w:val="91"/>
              </w:rPr>
              <w:t>Common stock, par value $0.0001 per share</w:t>
            </w:r>
          </w:p>
        </w:tc>
        <w:tc>
          <w:tcPr>
            <w:tcW w:w="6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GOGO</w:t>
            </w:r>
          </w:p>
        </w:tc>
        <w:tc>
          <w:tcPr>
            <w:tcW w:w="220" w:type="dxa"/>
            <w:vAlign w:val="bottom"/>
            <w:tcBorders>
              <w:bottom w:val="single" w:sz="8" w:color="auto"/>
              <w:right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jc w:val="center"/>
              <w:ind w:right="605"/>
              <w:spacing w:after="0" w:line="149" w:lineRule="exact"/>
              <w:rPr>
                <w:sz w:val="20"/>
                <w:szCs w:val="20"/>
                <w:color w:val="auto"/>
              </w:rPr>
            </w:pPr>
            <w:r>
              <w:rPr>
                <w:rFonts w:ascii="Arial" w:cs="Arial" w:eastAsia="Arial" w:hAnsi="Arial"/>
                <w:sz w:val="14"/>
                <w:szCs w:val="14"/>
                <w:color w:val="auto"/>
                <w:w w:val="97"/>
              </w:rPr>
              <w:t>NASDAQ Global Select Market</w:t>
            </w:r>
          </w:p>
        </w:tc>
      </w:tr>
      <w:tr>
        <w:trPr>
          <w:trHeight w:val="142"/>
        </w:trPr>
        <w:tc>
          <w:tcPr>
            <w:tcW w:w="3580" w:type="dxa"/>
            <w:vAlign w:val="bottom"/>
            <w:tcBorders>
              <w:left w:val="single" w:sz="8" w:color="auto"/>
              <w:bottom w:val="single" w:sz="8" w:color="auto"/>
            </w:tcBorders>
          </w:tcPr>
          <w:p>
            <w:pPr>
              <w:jc w:val="center"/>
              <w:ind w:left="563"/>
              <w:spacing w:after="0" w:line="142" w:lineRule="exact"/>
              <w:rPr>
                <w:sz w:val="20"/>
                <w:szCs w:val="20"/>
                <w:color w:val="auto"/>
              </w:rPr>
            </w:pPr>
            <w:r>
              <w:rPr>
                <w:rFonts w:ascii="Arial" w:cs="Arial" w:eastAsia="Arial" w:hAnsi="Arial"/>
                <w:sz w:val="14"/>
                <w:szCs w:val="14"/>
                <w:color w:val="auto"/>
                <w:w w:val="91"/>
              </w:rPr>
              <w:t>Preferred Stock Purchase Rights</w:t>
            </w:r>
          </w:p>
        </w:tc>
        <w:tc>
          <w:tcPr>
            <w:tcW w:w="6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GOGO</w:t>
            </w:r>
          </w:p>
        </w:tc>
        <w:tc>
          <w:tcPr>
            <w:tcW w:w="220" w:type="dxa"/>
            <w:vAlign w:val="bottom"/>
            <w:tcBorders>
              <w:bottom w:val="single" w:sz="8" w:color="auto"/>
              <w:right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560" w:type="dxa"/>
            <w:vAlign w:val="bottom"/>
            <w:tcBorders>
              <w:bottom w:val="single" w:sz="8" w:color="auto"/>
              <w:right w:val="single" w:sz="8" w:color="auto"/>
            </w:tcBorders>
          </w:tcPr>
          <w:p>
            <w:pPr>
              <w:jc w:val="center"/>
              <w:ind w:right="605"/>
              <w:spacing w:after="0" w:line="142" w:lineRule="exact"/>
              <w:rPr>
                <w:sz w:val="20"/>
                <w:szCs w:val="20"/>
                <w:color w:val="auto"/>
              </w:rPr>
            </w:pPr>
            <w:r>
              <w:rPr>
                <w:rFonts w:ascii="Arial" w:cs="Arial" w:eastAsia="Arial" w:hAnsi="Arial"/>
                <w:sz w:val="14"/>
                <w:szCs w:val="14"/>
                <w:color w:val="auto"/>
                <w:w w:val="97"/>
              </w:rPr>
              <w:t>NASDAQ Global Select Market</w:t>
            </w:r>
          </w:p>
        </w:tc>
      </w:tr>
    </w:tbl>
    <w:p>
      <w:pPr>
        <w:spacing w:after="0" w:line="103"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w:t>
      </w:r>
    </w:p>
    <w:p>
      <w:pPr>
        <w:spacing w:after="0" w:line="19" w:lineRule="exact"/>
        <w:rPr>
          <w:sz w:val="24"/>
          <w:szCs w:val="24"/>
          <w:color w:val="auto"/>
        </w:rPr>
      </w:pPr>
    </w:p>
    <w:p>
      <w:pPr>
        <w:spacing w:after="0" w:line="161" w:lineRule="exact"/>
        <w:tabs>
          <w:tab w:leader="none" w:pos="9400" w:val="left"/>
          <w:tab w:leader="none" w:pos="10420" w:val="left"/>
        </w:tabs>
        <w:rPr>
          <w:sz w:val="20"/>
          <w:szCs w:val="20"/>
          <w:color w:val="auto"/>
        </w:rPr>
      </w:pPr>
      <w:r>
        <w:rPr>
          <w:rFonts w:ascii="Arial" w:cs="Arial" w:eastAsia="Arial" w:hAnsi="Arial"/>
          <w:sz w:val="14"/>
          <w:szCs w:val="14"/>
          <w:color w:val="auto"/>
        </w:rPr>
        <w:t>(or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7620" w:val="left"/>
          <w:tab w:leader="none" w:pos="810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right="10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268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30, 2021, 109,609,821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540" w:type="dxa"/>
            <w:vAlign w:val="bottom"/>
            <w:gridSpan w:val="18"/>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700" w:type="dxa"/>
            <w:vAlign w:val="bottom"/>
            <w:tcBorders>
              <w:top w:val="single" w:sz="8" w:color="0000EE"/>
            </w:tcBorders>
            <w:gridSpan w:val="6"/>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784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w:t>
              </w:r>
            </w:hyperlink>
          </w:p>
        </w:tc>
        <w:tc>
          <w:tcPr>
            <w:tcW w:w="508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Loss</w:t>
              </w:r>
            </w:hyperlink>
          </w:p>
        </w:tc>
        <w:tc>
          <w:tcPr>
            <w:tcW w:w="43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Condensed Consolidated Statements of Stockholders’ Equity (Deficit)</w:t>
              </w:r>
            </w:hyperlink>
          </w:p>
        </w:tc>
        <w:tc>
          <w:tcPr>
            <w:tcW w:w="36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4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100" w:type="dxa"/>
            <w:vAlign w:val="bottom"/>
            <w:tcBorders>
              <w:top w:val="single" w:sz="8" w:color="0000EE"/>
            </w:tcBorders>
            <w:gridSpan w:val="6"/>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76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gridSpan w:val="1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160" w:type="dxa"/>
            <w:vAlign w:val="bottom"/>
            <w:tcBorders>
              <w:top w:val="single" w:sz="8" w:color="0000EE"/>
            </w:tcBorders>
          </w:tcPr>
          <w:p>
            <w:pPr>
              <w:spacing w:after="0"/>
              <w:rPr>
                <w:sz w:val="17"/>
                <w:szCs w:val="17"/>
                <w:color w:val="auto"/>
              </w:rPr>
            </w:pPr>
          </w:p>
        </w:tc>
        <w:tc>
          <w:tcPr>
            <w:tcW w:w="804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4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40" w:type="dxa"/>
            <w:vAlign w:val="bottom"/>
            <w:gridSpan w:val="1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520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22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Other Information</w:t>
              </w:r>
            </w:hyperlink>
          </w:p>
        </w:tc>
        <w:tc>
          <w:tcPr>
            <w:tcW w:w="82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4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435,345</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Accounts receivable, net of allowances of $813 and $1,044, respectively</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529,569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512,226</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ind w:left="260"/>
              <w:spacing w:after="0"/>
              <w:rPr>
                <w:sz w:val="20"/>
                <w:szCs w:val="20"/>
                <w:color w:val="auto"/>
              </w:rPr>
            </w:pPr>
            <w:r>
              <w:rPr>
                <w:rFonts w:ascii="Arial" w:cs="Arial" w:eastAsia="Arial" w:hAnsi="Arial"/>
                <w:sz w:val="18"/>
                <w:szCs w:val="18"/>
                <w:b w:val="1"/>
                <w:bCs w:val="1"/>
                <w:color w:val="auto"/>
              </w:rPr>
              <w:t>Non-current assets: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63,493</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52,693</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33,690</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net of allowances of $375 and $375, respectively</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non-current assets</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158,163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161,362</w:t>
            </w:r>
          </w:p>
        </w:tc>
        <w:tc>
          <w:tcPr>
            <w:tcW w:w="100" w:type="dxa"/>
            <w:vAlign w:val="bottom"/>
            <w:shd w:val="clear" w:color="auto" w:fill="CFF0FC"/>
          </w:tcPr>
          <w:p>
            <w:pPr>
              <w:spacing w:after="0"/>
              <w:rPr>
                <w:sz w:val="19"/>
                <w:szCs w:val="19"/>
                <w:color w:val="auto"/>
              </w:rPr>
            </w:pPr>
          </w:p>
        </w:tc>
      </w:tr>
      <w:tr>
        <w:trPr>
          <w:trHeight w:val="263"/>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687,732</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673,588</w:t>
            </w:r>
          </w:p>
        </w:tc>
        <w:tc>
          <w:tcPr>
            <w:tcW w:w="100" w:type="dxa"/>
            <w:vAlign w:val="bottom"/>
            <w:tcBorders>
              <w:bottom w:val="single" w:sz="8" w:color="CFF0FC"/>
            </w:tcBorders>
          </w:tcPr>
          <w:p>
            <w:pPr>
              <w:spacing w:after="0"/>
              <w:rPr>
                <w:sz w:val="22"/>
                <w:szCs w:val="22"/>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11,013</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94,134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83,009</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109,215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438,135</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ind w:left="260"/>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1,163,822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827,968</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500"/>
              <w:spacing w:after="0"/>
              <w:rPr>
                <w:sz w:val="20"/>
                <w:szCs w:val="20"/>
                <w:color w:val="auto"/>
              </w:rPr>
            </w:pPr>
            <w:r>
              <w:rPr>
                <w:rFonts w:ascii="Arial" w:cs="Arial" w:eastAsia="Arial" w:hAnsi="Arial"/>
                <w:sz w:val="18"/>
                <w:szCs w:val="18"/>
                <w:color w:val="auto"/>
              </w:rPr>
              <w:t>Non-current operating lease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38,018</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876,567</w:t>
            </w:r>
          </w:p>
        </w:tc>
        <w:tc>
          <w:tcPr>
            <w:tcW w:w="10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1,319,235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1,314,702</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deficit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480" w:type="dxa"/>
            <w:vAlign w:val="bottom"/>
          </w:tcPr>
          <w:p>
            <w:pPr>
              <w:ind w:left="260"/>
              <w:spacing w:after="0"/>
              <w:rPr>
                <w:sz w:val="20"/>
                <w:szCs w:val="20"/>
                <w:color w:val="auto"/>
              </w:rPr>
            </w:pPr>
            <w:r>
              <w:rPr>
                <w:rFonts w:ascii="Arial" w:cs="Arial" w:eastAsia="Arial" w:hAnsi="Arial"/>
                <w:sz w:val="18"/>
                <w:szCs w:val="18"/>
                <w:color w:val="auto"/>
                <w:w w:val="90"/>
              </w:rPr>
              <w:t>Common stock, par value $0.0001 per share; 500,000,000 shares authorized at March 31, 2021 and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w w:val="92"/>
              </w:rPr>
              <w:t>December 31, 2020; 97,158,550 and 91,086,191 shares issued at March 31, 2021 and December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w w:val="92"/>
              </w:rPr>
              <w:t>31, 2020, respectively; and 92,071,085 and 85,990,499 shares outstanding at March 31, 2021 and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December 31, 2020, respectively</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1,080,305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1,088,590</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(1,013)</w:t>
            </w: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(98,857)</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(98,857)</w:t>
            </w: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(1,612,048)</w:t>
            </w:r>
          </w:p>
        </w:tc>
        <w:tc>
          <w:tcPr>
            <w:tcW w:w="2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(1,629,843)</w:t>
            </w:r>
          </w:p>
        </w:tc>
      </w:tr>
      <w:tr>
        <w:trPr>
          <w:trHeight w:val="223"/>
        </w:trPr>
        <w:tc>
          <w:tcPr>
            <w:tcW w:w="74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stockholders’ deficit</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(631,503)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687,732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673,588</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For the Three Months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Ended March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1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6"/>
                <w:szCs w:val="16"/>
                <w:color w:val="auto"/>
              </w:rPr>
              <w:t>Service revenue</w:t>
            </w:r>
          </w:p>
        </w:tc>
        <w:tc>
          <w:tcPr>
            <w:tcW w:w="2460" w:type="dxa"/>
            <w:vAlign w:val="bottom"/>
            <w:gridSpan w:val="2"/>
          </w:tcPr>
          <w:p>
            <w:pPr>
              <w:jc w:val="right"/>
              <w:ind w:right="905"/>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59,355</w:t>
            </w:r>
          </w:p>
        </w:tc>
        <w:tc>
          <w:tcPr>
            <w:tcW w:w="220" w:type="dxa"/>
            <w:vAlign w:val="bottom"/>
          </w:tcPr>
          <w:p>
            <w:pPr>
              <w:spacing w:after="0"/>
              <w:rPr>
                <w:sz w:val="18"/>
                <w:szCs w:val="18"/>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Equipment revenue</w:t>
            </w:r>
          </w:p>
        </w:tc>
        <w:tc>
          <w:tcPr>
            <w:tcW w:w="14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14,514</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660"/>
              <w:spacing w:after="0"/>
              <w:rPr>
                <w:sz w:val="20"/>
                <w:szCs w:val="20"/>
                <w:color w:val="auto"/>
              </w:rPr>
            </w:pPr>
            <w:r>
              <w:rPr>
                <w:rFonts w:ascii="Arial" w:cs="Arial" w:eastAsia="Arial" w:hAnsi="Arial"/>
                <w:sz w:val="16"/>
                <w:szCs w:val="16"/>
                <w:b w:val="1"/>
                <w:bCs w:val="1"/>
                <w:color w:val="auto"/>
              </w:rPr>
              <w:t>Total revenue</w:t>
            </w:r>
          </w:p>
        </w:tc>
        <w:tc>
          <w:tcPr>
            <w:tcW w:w="14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73,869</w:t>
            </w: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1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6"/>
                <w:szCs w:val="16"/>
                <w:color w:val="auto"/>
              </w:rPr>
              <w:t>Cost of service revenue (exclusive of items shown below)</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14,095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Cost of equipment revenue (exclusive of items shown below)</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6"/>
                <w:szCs w:val="16"/>
                <w:color w:val="auto"/>
              </w:rPr>
              <w:t>Engineering, design and development</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5,493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Sales and marketing</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6"/>
                <w:szCs w:val="16"/>
                <w:color w:val="auto"/>
              </w:rPr>
              <w:t>General and administrative</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10,373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Depreciation and amortization</w:t>
            </w:r>
          </w:p>
        </w:tc>
        <w:tc>
          <w:tcPr>
            <w:tcW w:w="14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4,117</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20" w:type="dxa"/>
            <w:vAlign w:val="bottom"/>
            <w:tcBorders>
              <w:bottom w:val="single" w:sz="8" w:color="CFF0FC"/>
            </w:tcBorders>
          </w:tcPr>
          <w:p>
            <w:pPr>
              <w:ind w:left="660"/>
              <w:spacing w:after="0"/>
              <w:rPr>
                <w:sz w:val="20"/>
                <w:szCs w:val="20"/>
                <w:color w:val="auto"/>
              </w:rPr>
            </w:pPr>
            <w:r>
              <w:rPr>
                <w:rFonts w:ascii="Arial" w:cs="Arial" w:eastAsia="Arial" w:hAnsi="Arial"/>
                <w:sz w:val="16"/>
                <w:szCs w:val="16"/>
                <w:b w:val="1"/>
                <w:bCs w:val="1"/>
                <w:color w:val="auto"/>
              </w:rPr>
              <w:t>Total operating expenses</w:t>
            </w:r>
          </w:p>
        </w:tc>
        <w:tc>
          <w:tcPr>
            <w:tcW w:w="14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46,089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income</w:t>
            </w:r>
          </w:p>
        </w:tc>
        <w:tc>
          <w:tcPr>
            <w:tcW w:w="140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27,780</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612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Interest income</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29,294</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Loss on settlement of convertible notes</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6"/>
                <w:szCs w:val="16"/>
                <w:color w:val="auto"/>
              </w:rPr>
              <w:t>Other income</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6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120" w:type="dxa"/>
            <w:vAlign w:val="bottom"/>
            <w:tcBorders>
              <w:top w:val="single" w:sz="8" w:color="CFF0FC"/>
            </w:tcBorders>
            <w:shd w:val="clear" w:color="auto" w:fill="CFF0FC"/>
          </w:tcPr>
          <w:p>
            <w:pPr>
              <w:ind w:left="660"/>
              <w:spacing w:after="0"/>
              <w:rPr>
                <w:sz w:val="20"/>
                <w:szCs w:val="20"/>
                <w:color w:val="auto"/>
              </w:rPr>
            </w:pPr>
            <w:r>
              <w:rPr>
                <w:rFonts w:ascii="Arial" w:cs="Arial" w:eastAsia="Arial" w:hAnsi="Arial"/>
                <w:sz w:val="16"/>
                <w:szCs w:val="16"/>
                <w:b w:val="1"/>
                <w:bCs w:val="1"/>
                <w:color w:val="auto"/>
              </w:rPr>
              <w:t>Total other expense</w:t>
            </w:r>
          </w:p>
        </w:tc>
        <w:tc>
          <w:tcPr>
            <w:tcW w:w="14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33,629</w:t>
            </w: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30,564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6120" w:type="dxa"/>
            <w:vAlign w:val="bottom"/>
          </w:tcPr>
          <w:p>
            <w:pPr>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(5,849)</w:t>
            </w:r>
          </w:p>
        </w:tc>
        <w:tc>
          <w:tcPr>
            <w:tcW w:w="6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(9,247)</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Income tax provision</w:t>
            </w:r>
          </w:p>
        </w:tc>
        <w:tc>
          <w:tcPr>
            <w:tcW w:w="14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6"/>
                <w:szCs w:val="16"/>
                <w:b w:val="1"/>
                <w:bCs w:val="1"/>
                <w:color w:val="auto"/>
              </w:rPr>
              <w:t>Net loss from continuing operations</w:t>
            </w: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(5,884)</w:t>
            </w:r>
          </w:p>
        </w:tc>
        <w:tc>
          <w:tcPr>
            <w:tcW w:w="6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(9,388)</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from discontinued operations, net of tax</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(1,801)</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(75,390)</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b w:val="1"/>
                <w:bCs w:val="1"/>
                <w:color w:val="auto"/>
              </w:rPr>
              <w:t>Net loss</w:t>
            </w: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(7,685)</w:t>
            </w: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(84,778)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attributable to common stock per share – basic and diluted:</w:t>
            </w:r>
          </w:p>
        </w:tc>
        <w:tc>
          <w:tcPr>
            <w:tcW w:w="1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spacing w:after="0"/>
              <w:rPr>
                <w:sz w:val="20"/>
                <w:szCs w:val="20"/>
                <w:color w:val="auto"/>
              </w:rPr>
            </w:pPr>
            <w:r>
              <w:rPr>
                <w:rFonts w:ascii="Arial" w:cs="Arial" w:eastAsia="Arial" w:hAnsi="Arial"/>
                <w:sz w:val="16"/>
                <w:szCs w:val="16"/>
                <w:b w:val="1"/>
                <w:bCs w:val="1"/>
                <w:color w:val="auto"/>
              </w:rPr>
              <w:t>Net loss from continuing operations</w:t>
            </w:r>
          </w:p>
        </w:tc>
        <w:tc>
          <w:tcPr>
            <w:tcW w:w="2460" w:type="dxa"/>
            <w:vAlign w:val="bottom"/>
            <w:gridSpan w:val="2"/>
          </w:tcPr>
          <w:p>
            <w:pPr>
              <w:jc w:val="right"/>
              <w:ind w:right="905"/>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(0.07)</w:t>
            </w: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from discontinued operations</w:t>
            </w:r>
          </w:p>
        </w:tc>
        <w:tc>
          <w:tcPr>
            <w:tcW w:w="1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(0.02)</w:t>
            </w:r>
          </w:p>
        </w:tc>
        <w:tc>
          <w:tcPr>
            <w:tcW w:w="6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(0.09)</w:t>
            </w: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Weighted average number of shares—basic and diluted</w:t>
            </w:r>
          </w:p>
        </w:tc>
        <w:tc>
          <w:tcPr>
            <w:tcW w:w="14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84,649</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Three Months</w:t>
      </w:r>
    </w:p>
    <w:p>
      <w:pPr>
        <w:jc w:val="center"/>
        <w:ind w:left="762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5560" w:type="dxa"/>
            <w:vAlign w:val="bottom"/>
            <w:tcBorders>
              <w:bottom w:val="single" w:sz="8" w:color="CFF0FC"/>
            </w:tcBorders>
          </w:tcPr>
          <w:p>
            <w:pPr>
              <w:spacing w:after="0"/>
              <w:rPr>
                <w:sz w:val="12"/>
                <w:szCs w:val="12"/>
                <w:color w:val="auto"/>
              </w:rPr>
            </w:pPr>
          </w:p>
        </w:tc>
        <w:tc>
          <w:tcPr>
            <w:tcW w:w="2000" w:type="dxa"/>
            <w:vAlign w:val="bottom"/>
            <w:tcBorders>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2"/>
                <w:szCs w:val="12"/>
                <w:color w:val="auto"/>
              </w:rPr>
            </w:pP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0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(7,685)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(84,778)</w:t>
            </w:r>
          </w:p>
        </w:tc>
        <w:tc>
          <w:tcPr>
            <w:tcW w:w="60" w:type="dxa"/>
            <w:vAlign w:val="bottom"/>
            <w:shd w:val="clear" w:color="auto" w:fill="CFF0FC"/>
          </w:tcPr>
          <w:p>
            <w:pPr>
              <w:spacing w:after="0"/>
              <w:rPr>
                <w:sz w:val="18"/>
                <w:szCs w:val="18"/>
                <w:color w:val="auto"/>
              </w:rPr>
            </w:pPr>
          </w:p>
        </w:tc>
      </w:tr>
      <w:tr>
        <w:trPr>
          <w:trHeight w:val="216"/>
        </w:trPr>
        <w:tc>
          <w:tcPr>
            <w:tcW w:w="5560" w:type="dxa"/>
            <w:vAlign w:val="bottom"/>
          </w:tcPr>
          <w:p>
            <w:pPr>
              <w:ind w:left="420"/>
              <w:spacing w:after="0"/>
              <w:rPr>
                <w:sz w:val="20"/>
                <w:szCs w:val="20"/>
                <w:color w:val="auto"/>
              </w:rPr>
            </w:pPr>
            <w:r>
              <w:rPr>
                <w:rFonts w:ascii="Arial" w:cs="Arial" w:eastAsia="Arial" w:hAnsi="Arial"/>
                <w:sz w:val="18"/>
                <w:szCs w:val="18"/>
                <w:color w:val="auto"/>
              </w:rPr>
              <w:t>Currency translation adjustments, net of tax</w:t>
            </w: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(2,871)</w:t>
            </w:r>
          </w:p>
        </w:tc>
      </w:tr>
      <w:tr>
        <w:trPr>
          <w:trHeight w:val="209"/>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0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(7,584)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(87,649)</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496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3"/>
          </w:tcPr>
          <w:p>
            <w:pPr>
              <w:jc w:val="right"/>
              <w:ind w:right="29"/>
              <w:spacing w:after="0"/>
              <w:rPr>
                <w:sz w:val="20"/>
                <w:szCs w:val="20"/>
                <w:color w:val="auto"/>
              </w:rPr>
            </w:pPr>
            <w:r>
              <w:rPr>
                <w:rFonts w:ascii="Arial" w:cs="Arial" w:eastAsia="Arial" w:hAnsi="Arial"/>
                <w:sz w:val="13"/>
                <w:szCs w:val="13"/>
                <w:b w:val="1"/>
                <w:bCs w:val="1"/>
                <w:color w:val="auto"/>
                <w:w w:val="99"/>
              </w:rPr>
              <w:t>For the Three Months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b w:val="1"/>
                <w:bCs w:val="1"/>
                <w:color w:val="auto"/>
              </w:rPr>
              <w:t>Ended 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57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Operating activities from continuing operations:</w:t>
            </w:r>
          </w:p>
        </w:tc>
        <w:tc>
          <w:tcPr>
            <w:tcW w:w="16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60"/>
              <w:spacing w:after="0"/>
              <w:rPr>
                <w:sz w:val="20"/>
                <w:szCs w:val="20"/>
                <w:color w:val="auto"/>
              </w:rPr>
            </w:pPr>
            <w:r>
              <w:rPr>
                <w:rFonts w:ascii="Arial" w:cs="Arial" w:eastAsia="Arial" w:hAnsi="Arial"/>
                <w:sz w:val="13"/>
                <w:szCs w:val="13"/>
                <w:b w:val="1"/>
                <w:bCs w:val="1"/>
                <w:color w:val="auto"/>
              </w:rPr>
              <w:t>Net loss</w:t>
            </w:r>
          </w:p>
        </w:tc>
        <w:tc>
          <w:tcPr>
            <w:tcW w:w="116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(5,884)</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(9,388)</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cash provided by operating activities: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4,117</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asset disposals, abandonments and write-downs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Provision for expected credit losses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1,849</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financing costs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Accretion and amortization of debt discount and premium</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settlement of convertible notes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4,397</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3,586</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740"/>
              <w:spacing w:after="0"/>
              <w:rPr>
                <w:sz w:val="20"/>
                <w:szCs w:val="20"/>
                <w:color w:val="auto"/>
              </w:rPr>
            </w:pPr>
            <w:r>
              <w:rPr>
                <w:rFonts w:ascii="Arial" w:cs="Arial" w:eastAsia="Arial" w:hAnsi="Arial"/>
                <w:sz w:val="13"/>
                <w:szCs w:val="13"/>
                <w:color w:val="auto"/>
              </w:rPr>
              <w:t>Inventories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(446)</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(375)</w:t>
            </w: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(3,872)</w:t>
            </w:r>
          </w:p>
        </w:tc>
        <w:tc>
          <w:tcPr>
            <w:tcW w:w="0" w:type="dxa"/>
            <w:vAlign w:val="bottom"/>
          </w:tcPr>
          <w:p>
            <w:pPr>
              <w:spacing w:after="0"/>
              <w:rPr>
                <w:sz w:val="1"/>
                <w:szCs w:val="1"/>
                <w:color w:val="auto"/>
              </w:rPr>
            </w:pPr>
          </w:p>
        </w:tc>
      </w:tr>
      <w:tr>
        <w:trPr>
          <w:trHeight w:val="162"/>
        </w:trPr>
        <w:tc>
          <w:tcPr>
            <w:tcW w:w="7560" w:type="dxa"/>
            <w:vAlign w:val="bottom"/>
          </w:tcPr>
          <w:p>
            <w:pPr>
              <w:ind w:left="740"/>
              <w:spacing w:after="0"/>
              <w:rPr>
                <w:sz w:val="20"/>
                <w:szCs w:val="20"/>
                <w:color w:val="auto"/>
              </w:rPr>
            </w:pPr>
            <w:r>
              <w:rPr>
                <w:rFonts w:ascii="Arial" w:cs="Arial" w:eastAsia="Arial" w:hAnsi="Arial"/>
                <w:sz w:val="13"/>
                <w:szCs w:val="13"/>
                <w:color w:val="auto"/>
              </w:rPr>
              <w:t>Contract assets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(1,886)</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(2,558)</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740"/>
              <w:spacing w:after="0"/>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(10,424)</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(6,882)</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740"/>
              <w:spacing w:after="0"/>
              <w:rPr>
                <w:sz w:val="20"/>
                <w:szCs w:val="20"/>
                <w:color w:val="auto"/>
              </w:rPr>
            </w:pPr>
            <w:r>
              <w:rPr>
                <w:rFonts w:ascii="Arial" w:cs="Arial" w:eastAsia="Arial" w:hAnsi="Arial"/>
                <w:sz w:val="13"/>
                <w:szCs w:val="13"/>
                <w:color w:val="auto"/>
              </w:rPr>
              <w:t>Accrued interest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27,559</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26,413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non-current assets and liabilities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(654)</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Pr>
          <w:p>
            <w:pPr>
              <w:ind w:left="1000"/>
              <w:spacing w:after="0"/>
              <w:rPr>
                <w:sz w:val="20"/>
                <w:szCs w:val="20"/>
                <w:color w:val="auto"/>
              </w:rPr>
            </w:pPr>
            <w:r>
              <w:rPr>
                <w:rFonts w:ascii="Arial" w:cs="Arial" w:eastAsia="Arial" w:hAnsi="Arial"/>
                <w:sz w:val="13"/>
                <w:szCs w:val="13"/>
                <w:b w:val="1"/>
                <w:bCs w:val="1"/>
                <w:color w:val="auto"/>
              </w:rPr>
              <w:t>Net cash provided by operating activities from continuing operations</w:t>
            </w:r>
          </w:p>
        </w:tc>
        <w:tc>
          <w:tcPr>
            <w:tcW w:w="160" w:type="dxa"/>
            <w:vAlign w:val="bottom"/>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24,574</w:t>
            </w: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23,890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7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Investing activities from continuing operations: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Purchases of property and equipment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(360)</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Acquisition of intangible assets</w:t>
            </w:r>
            <w:r>
              <w:rPr>
                <w:rFonts w:ascii="Arial" w:cs="Arial" w:eastAsia="Arial" w:hAnsi="Arial"/>
                <w:sz w:val="13"/>
                <w:szCs w:val="13"/>
                <w:b w:val="1"/>
                <w:bCs w:val="1"/>
                <w:color w:val="auto"/>
              </w:rPr>
              <w:t>—</w:t>
            </w:r>
            <w:r>
              <w:rPr>
                <w:rFonts w:ascii="Arial" w:cs="Arial" w:eastAsia="Arial" w:hAnsi="Arial"/>
                <w:sz w:val="13"/>
                <w:szCs w:val="13"/>
                <w:color w:val="auto"/>
              </w:rPr>
              <w:t>capitalized software</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(342)</w:t>
            </w: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provided by (used in) investing activities from continuing operations</w:t>
            </w: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(702)</w:t>
            </w:r>
          </w:p>
        </w:tc>
        <w:tc>
          <w:tcPr>
            <w:tcW w:w="5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74"/>
        </w:trPr>
        <w:tc>
          <w:tcPr>
            <w:tcW w:w="7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Financing activities from continuing operations: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Proceeds from credit facility draw</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Repurchase of convertible notes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(2,498)</w:t>
            </w: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Payment of debt issuance costs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(550)</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Payments on financing leases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(124)</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4"/>
                <w:szCs w:val="14"/>
                <w:color w:val="auto"/>
              </w:rPr>
              <w:t>Stock-based compensation activity</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(2,646)</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20"/>
        </w:trPr>
        <w:tc>
          <w:tcPr>
            <w:tcW w:w="756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provided by (used in) financing activities from continuing operations</w:t>
            </w:r>
          </w:p>
        </w:tc>
        <w:tc>
          <w:tcPr>
            <w:tcW w:w="1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(3,320)</w:t>
            </w:r>
          </w:p>
        </w:tc>
        <w:tc>
          <w:tcPr>
            <w:tcW w:w="5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rPr>
                <w:sz w:val="20"/>
                <w:szCs w:val="20"/>
                <w:color w:val="auto"/>
              </w:rPr>
            </w:pPr>
            <w:r>
              <w:rPr>
                <w:rFonts w:ascii="Arial" w:cs="Arial" w:eastAsia="Arial" w:hAnsi="Arial"/>
                <w:sz w:val="13"/>
                <w:szCs w:val="13"/>
                <w:b w:val="1"/>
                <w:bCs w:val="1"/>
                <w:color w:val="auto"/>
              </w:rPr>
              <w:t>Cash flows from discontinued operations:</w:t>
            </w:r>
          </w:p>
        </w:tc>
        <w:tc>
          <w:tcPr>
            <w:tcW w:w="1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provided by (used in) operating activities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(748)</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Cash used in investing activities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(14,345)</w:t>
            </w: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used in financing activities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used in discontinued operations</w:t>
            </w: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(748)</w:t>
            </w:r>
          </w:p>
        </w:tc>
        <w:tc>
          <w:tcPr>
            <w:tcW w:w="5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75"/>
        </w:trPr>
        <w:tc>
          <w:tcPr>
            <w:tcW w:w="7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 of exchange rate changes on cash</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5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3"/>
                <w:szCs w:val="13"/>
                <w:b w:val="1"/>
                <w:bCs w:val="1"/>
                <w:color w:val="auto"/>
              </w:rPr>
              <w:t>Increase in cash, cash equivalents and restricted cash</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19,807</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6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435,870</w:t>
            </w:r>
          </w:p>
        </w:tc>
        <w:tc>
          <w:tcPr>
            <w:tcW w:w="2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177,675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116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455,677</w:t>
            </w:r>
          </w:p>
        </w:tc>
        <w:tc>
          <w:tcPr>
            <w:tcW w:w="24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219,390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1160" w:type="dxa"/>
            <w:vAlign w:val="bottom"/>
            <w:gridSpan w:val="2"/>
            <w:shd w:val="clear" w:color="auto" w:fill="CFF0FC"/>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455,677</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219,390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3"/>
                <w:szCs w:val="13"/>
                <w:color w:val="auto"/>
              </w:rPr>
              <w:t>Less: current restricted cash</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525</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3"/>
                <w:szCs w:val="13"/>
                <w:color w:val="auto"/>
              </w:rPr>
              <w:t>Less: non-current restricted cash</w:t>
            </w:r>
          </w:p>
        </w:tc>
        <w:tc>
          <w:tcPr>
            <w:tcW w:w="16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16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455,152</w:t>
            </w:r>
          </w:p>
        </w:tc>
        <w:tc>
          <w:tcPr>
            <w:tcW w:w="24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214,229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500"/>
              <w:spacing w:after="0"/>
              <w:rPr>
                <w:sz w:val="20"/>
                <w:szCs w:val="20"/>
                <w:color w:val="auto"/>
              </w:rPr>
            </w:pPr>
            <w:r>
              <w:rPr>
                <w:rFonts w:ascii="Arial" w:cs="Arial" w:eastAsia="Arial" w:hAnsi="Arial"/>
                <w:sz w:val="13"/>
                <w:szCs w:val="13"/>
                <w:color w:val="auto"/>
              </w:rPr>
              <w:t>Cash paid for interest</w:t>
            </w:r>
          </w:p>
        </w:tc>
        <w:tc>
          <w:tcPr>
            <w:tcW w:w="1160" w:type="dxa"/>
            <w:vAlign w:val="bottom"/>
            <w:gridSpan w:val="2"/>
          </w:tcPr>
          <w:p>
            <w:pPr>
              <w:jc w:val="right"/>
              <w:ind w:right="9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4"/>
                <w:szCs w:val="14"/>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paid for taxes</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w w:val="95"/>
              </w:rPr>
              <w:t>For the Three Months Ended March 31, 2021</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w:t>
            </w:r>
          </w:p>
        </w:tc>
        <w:tc>
          <w:tcPr>
            <w:tcW w:w="182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16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85"/>
              </w:rPr>
              <w:t>Loss</w:t>
            </w:r>
          </w:p>
        </w:tc>
        <w:tc>
          <w:tcPr>
            <w:tcW w:w="1120" w:type="dxa"/>
            <w:vAlign w:val="bottom"/>
            <w:gridSpan w:val="2"/>
          </w:tcPr>
          <w:p>
            <w:pPr>
              <w:jc w:val="right"/>
              <w:ind w:right="321"/>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1"/>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r>
      <w:tr>
        <w:trPr>
          <w:trHeight w:val="223"/>
        </w:trPr>
        <w:tc>
          <w:tcPr>
            <w:tcW w:w="40" w:type="dxa"/>
            <w:vAlign w:val="bottom"/>
          </w:tcPr>
          <w:p>
            <w:pPr>
              <w:spacing w:after="0"/>
              <w:rPr>
                <w:sz w:val="19"/>
                <w:szCs w:val="19"/>
                <w:color w:val="auto"/>
              </w:rPr>
            </w:pPr>
          </w:p>
        </w:tc>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85,990,499</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1,088,590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(1,629,843)</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5,077,400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(98,857)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(641,114)</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(7,685)</w:t>
            </w: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Currency translation adjustments,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expense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7,927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Issuance of common stock upon</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177,646</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w w:val="98"/>
              </w:rPr>
              <w:t>Issuance of common stock upon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and restricted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602,826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Tax withholding related to vesting</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4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Issuance of common stock in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w w:val="99"/>
              </w:rPr>
              <w:t>connection with employee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11,637</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of convertible notes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5,288,477</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33,857</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Impact of the adoption of ASU</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860" w:type="dxa"/>
            <w:vAlign w:val="bottom"/>
            <w:gridSpan w:val="2"/>
          </w:tcPr>
          <w:p>
            <w:pPr>
              <w:ind w:left="300"/>
              <w:spacing w:after="0"/>
              <w:rPr>
                <w:sz w:val="20"/>
                <w:szCs w:val="20"/>
                <w:color w:val="auto"/>
              </w:rPr>
            </w:pPr>
            <w:r>
              <w:rPr>
                <w:rFonts w:ascii="Arial" w:cs="Arial" w:eastAsia="Arial" w:hAnsi="Arial"/>
                <w:sz w:val="18"/>
                <w:szCs w:val="18"/>
                <w:color w:val="auto"/>
              </w:rPr>
              <w:t>2020-06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(47,423)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25,480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(21,943)</w:t>
            </w:r>
          </w:p>
        </w:tc>
        <w:tc>
          <w:tcPr>
            <w:tcW w:w="4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2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92,071,085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1,080,305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(1,612,048</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5,077,400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(98,857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(631,503</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0"/>
          </w:tcPr>
          <w:p>
            <w:pPr>
              <w:ind w:left="460"/>
              <w:spacing w:after="0"/>
              <w:rPr>
                <w:sz w:val="20"/>
                <w:szCs w:val="20"/>
                <w:color w:val="auto"/>
              </w:rPr>
            </w:pPr>
            <w:r>
              <w:rPr>
                <w:rFonts w:ascii="Arial" w:cs="Arial" w:eastAsia="Arial" w:hAnsi="Arial"/>
                <w:sz w:val="14"/>
                <w:szCs w:val="14"/>
                <w:b w:val="1"/>
                <w:bCs w:val="1"/>
                <w:color w:val="auto"/>
              </w:rPr>
              <w:t>For the Three Months Ended March 31, 2020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Accumulated</w:t>
            </w: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0"/>
              <w:spacing w:after="0" w:line="155" w:lineRule="exact"/>
              <w:rPr>
                <w:sz w:val="20"/>
                <w:szCs w:val="20"/>
                <w:color w:val="auto"/>
              </w:rPr>
            </w:pPr>
            <w:r>
              <w:rPr>
                <w:rFonts w:ascii="Arial" w:cs="Arial" w:eastAsia="Arial" w:hAnsi="Arial"/>
                <w:sz w:val="14"/>
                <w:szCs w:val="14"/>
                <w:b w:val="1"/>
                <w:bCs w:val="1"/>
                <w:color w:val="auto"/>
                <w:w w:val="90"/>
              </w:rPr>
              <w:t>Par Value</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2020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88,240,877</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979,499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(2,256)</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88"/>
              </w:rPr>
              <w:t>$ (1,376,142)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9"/>
              </w:rPr>
              <w:t>(398,890)</w:t>
            </w: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(84,778)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(84,778)</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Currency translation adjustments, net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(2,871)</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10"/>
        </w:trPr>
        <w:tc>
          <w:tcPr>
            <w:tcW w:w="30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60"/>
              <w:spacing w:after="0"/>
              <w:rPr>
                <w:sz w:val="20"/>
                <w:szCs w:val="20"/>
                <w:color w:val="auto"/>
              </w:rPr>
            </w:pPr>
            <w:r>
              <w:rPr>
                <w:rFonts w:ascii="Arial" w:cs="Arial" w:eastAsia="Arial" w:hAnsi="Arial"/>
                <w:sz w:val="16"/>
                <w:szCs w:val="16"/>
                <w:color w:val="auto"/>
                <w:w w:val="95"/>
              </w:rPr>
              <w:t>Issuance of common stock upon vesting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60"/>
              <w:spacing w:after="0"/>
              <w:rPr>
                <w:sz w:val="20"/>
                <w:szCs w:val="20"/>
                <w:color w:val="auto"/>
              </w:rPr>
            </w:pPr>
            <w:r>
              <w:rPr>
                <w:rFonts w:ascii="Arial" w:cs="Arial" w:eastAsia="Arial" w:hAnsi="Arial"/>
                <w:sz w:val="16"/>
                <w:szCs w:val="16"/>
                <w:color w:val="auto"/>
              </w:rPr>
              <w:t>of restricted stock units and restricted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60"/>
              <w:spacing w:after="0"/>
              <w:rPr>
                <w:sz w:val="20"/>
                <w:szCs w:val="20"/>
                <w:color w:val="auto"/>
              </w:rPr>
            </w:pPr>
            <w:r>
              <w:rPr>
                <w:rFonts w:ascii="Arial" w:cs="Arial" w:eastAsia="Arial" w:hAnsi="Arial"/>
                <w:sz w:val="16"/>
                <w:szCs w:val="16"/>
                <w:color w:val="auto"/>
              </w:rPr>
              <w:t>stock awards</w:t>
            </w:r>
          </w:p>
        </w:tc>
        <w:tc>
          <w:tcPr>
            <w:tcW w:w="860" w:type="dxa"/>
            <w:vAlign w:val="bottom"/>
          </w:tcPr>
          <w:p>
            <w:pPr>
              <w:jc w:val="right"/>
              <w:spacing w:after="0"/>
              <w:rPr>
                <w:sz w:val="20"/>
                <w:szCs w:val="20"/>
                <w:color w:val="auto"/>
              </w:rPr>
            </w:pPr>
            <w:r>
              <w:rPr>
                <w:rFonts w:ascii="Arial" w:cs="Arial" w:eastAsia="Arial" w:hAnsi="Arial"/>
                <w:sz w:val="16"/>
                <w:szCs w:val="16"/>
                <w:color w:val="auto"/>
              </w:rPr>
              <w:t>522,490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withholding related to vesting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(682)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Issuance of common stock in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60"/>
              <w:spacing w:after="0"/>
              <w:rPr>
                <w:sz w:val="20"/>
                <w:szCs w:val="20"/>
                <w:color w:val="auto"/>
              </w:rPr>
            </w:pPr>
            <w:r>
              <w:rPr>
                <w:rFonts w:ascii="Arial" w:cs="Arial" w:eastAsia="Arial" w:hAnsi="Arial"/>
                <w:sz w:val="16"/>
                <w:szCs w:val="16"/>
                <w:color w:val="auto"/>
              </w:rPr>
              <w:t>connection with employee stock</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60"/>
              <w:spacing w:after="0"/>
              <w:rPr>
                <w:sz w:val="20"/>
                <w:szCs w:val="20"/>
                <w:color w:val="auto"/>
              </w:rPr>
            </w:pPr>
            <w:r>
              <w:rPr>
                <w:rFonts w:ascii="Arial" w:cs="Arial" w:eastAsia="Arial" w:hAnsi="Arial"/>
                <w:sz w:val="16"/>
                <w:szCs w:val="16"/>
                <w:color w:val="auto"/>
              </w:rPr>
              <w:t>purchase plan</w:t>
            </w:r>
          </w:p>
        </w:tc>
        <w:tc>
          <w:tcPr>
            <w:tcW w:w="860" w:type="dxa"/>
            <w:vAlign w:val="bottom"/>
          </w:tcPr>
          <w:p>
            <w:pPr>
              <w:jc w:val="right"/>
              <w:spacing w:after="0"/>
              <w:rPr>
                <w:sz w:val="20"/>
                <w:szCs w:val="20"/>
                <w:color w:val="auto"/>
              </w:rPr>
            </w:pPr>
            <w:r>
              <w:rPr>
                <w:rFonts w:ascii="Arial" w:cs="Arial" w:eastAsia="Arial" w:hAnsi="Arial"/>
                <w:sz w:val="16"/>
                <w:szCs w:val="16"/>
                <w:color w:val="auto"/>
              </w:rPr>
              <w:t>87,681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prepaid forward shares</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(5,077,400)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5,077,400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(98,857)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w w:val="98"/>
              </w:rPr>
              <w:t>Impact of the adoption of ASU 2016-13</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(3,665)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83,773,648</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1,081,955</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(5,127)</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88"/>
              </w:rPr>
              <w:t>$ (1,464,585)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5,077,400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(98,857)</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9"/>
              </w:rPr>
              <w:t>(486,606)</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b w:val="1"/>
          <w:bCs w:val="1"/>
          <w:i w:val="1"/>
          <w:iCs w:val="1"/>
          <w:color w:val="auto"/>
        </w:rPr>
        <w:t xml:space="preserve">The Business - </w:t>
      </w:r>
      <w:r>
        <w:rPr>
          <w:rFonts w:ascii="Arial" w:cs="Arial" w:eastAsia="Arial" w:hAnsi="Arial"/>
          <w:sz w:val="16"/>
          <w:szCs w:val="16"/>
          <w:color w:val="auto"/>
        </w:rPr>
        <w:t>Gogo (“we”, “us,” “our”) is the world’s largest provider of broadband connectivity services for the business aviation market.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mission is to provide ground-like connectivity to every passenger on every flight around the globe, enabling superior passenger experiences and efficient flight operations. To accomplish our mission, we design, build and operate dedicated air-to-ground (“ATG”) networks, engineer, install and maintain in-flight systems of proprietary hardware and software, and deliver customizable connectivity and wireless entertainment services and global support capabilities to our aviation partners. Our services include satellite-based voice and data services through our strategic alliances with satellite providers.</w:t>
      </w:r>
    </w:p>
    <w:p>
      <w:pPr>
        <w:spacing w:after="0" w:line="16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On December 1, 2020, we completed the previously announced sale of our commercial aviation (“CA”) business to a subsidiary of Intelsat Jackson Holdings S.A. (“Intelsat”) for a purchase price of $400 million in cash, subject to certain adjustments (the “Transaction”).</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 starting at $5 million in the first year of the agreement.</w:t>
      </w:r>
    </w:p>
    <w:p>
      <w:pPr>
        <w:spacing w:after="0" w:line="68"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As a result of the Transaction, the CA business is reported in discontinued operations and all periods presented in this Form 10-Q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 The results of operations and cash flows of a discontinued operation are restated for all comparative periods presented.</w:t>
      </w:r>
    </w:p>
    <w:p>
      <w:pPr>
        <w:spacing w:after="0" w:line="39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Unless otherwise noted, discussion in these Notes to Consolidated Financial Statements refers to our continuing operations. Refer to Note 2, “Discontinued Operations” for further information.</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2020 as filed with the Securities and Exchange Commission (“SEC”) on March 11, 2021 (the “2020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178"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results of operations and cash flows for the three month period ended March 31, 2021 are not necessarily indicative of the results that may be expected for the fiscal year ending December 31,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class of common stock outstanding as of March 31, 2021 and December 31, 2020.</w:t>
      </w:r>
    </w:p>
    <w:p>
      <w:pPr>
        <w:spacing w:after="0" w:line="13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30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As discussed in Note 1, “Basis of Presentation,” on December 1, 2020, we completed the sale of our CA business to Intelsat. As a result of the Transaction, the CA business is reported for all periods as discontinued operations.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11"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 xml:space="preserve">The following table summarizes the results of discontinued operations which are presented as Net loss from discontinued operations in our 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Ended 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Service revenue</w:t>
            </w:r>
          </w:p>
        </w:tc>
        <w:tc>
          <w:tcPr>
            <w:tcW w:w="86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0FC"/>
            </w:tcBorders>
          </w:tcPr>
          <w:p>
            <w:pPr>
              <w:ind w:left="6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Cost of service revenue (exclusive of items shown below)</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w w:val="92"/>
              </w:rPr>
              <w:t>Cost of equipment revenue (exclusive of items shown below)</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Engineering, design and development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0FC"/>
            </w:tcBorders>
          </w:tcPr>
          <w:p>
            <w:pPr>
              <w:ind w:left="6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(1,801)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(1,801)</w:t>
            </w: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(1,801)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Gain on sale </w:t>
      </w:r>
      <w:r>
        <w:rPr>
          <w:rFonts w:ascii="Arial" w:cs="Arial" w:eastAsia="Arial" w:hAnsi="Arial"/>
          <w:sz w:val="16"/>
          <w:szCs w:val="16"/>
          <w:color w:val="auto"/>
        </w:rPr>
        <w:t>– Upon the closing of the Transaction on December 1, 2020, we received initial gross proceeds of $386.3 million, which reflects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$400.0 million purchase price, adjusted for cash, debt, transaction expenses and working capital. The final purchase price remains subject to change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post-closing purchase price adjustment procedures set forth in the purchase and sale agreement between Gogo and Intelsat that are not yet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 In February 2021, Intelsat delivered a draft closing statement that would reduce the working capital portion of the purchase price computation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 million, which would result in Gogo returning to Intelsat $9.4 million of the initial gross proceeds. Gogo is reviewing Intelsat’s draft closing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the purchase and sale agreement. As this post-closing purchase price adjustment is not yet finalized and therefore represents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contingent gain, $9.4 million has been recorded as a deferred gain on sale included within Accrued liabilities. As a result, during December 2020,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within Gain on sale of CA business a pretax gain on sale of $38.0 million, computed as the $386.3 million of initial gross proceeds less (i)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potential $9.4 million post-closing purchase price adjustment not yet finalized, (ii) the carrying value of the assets and liabilities transferred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Transaction and (iii) Transaction-related costs.</w:t>
      </w:r>
    </w:p>
    <w:p>
      <w:pPr>
        <w:spacing w:after="0" w:line="9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In August 2020, the compensation committee of our Board of Directors (the “Compensation Committee”)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to the vesting conditions and exercise periods of outstanding equity compensation awards held by certain of our then-current employees who became employees of Intelsat in the Transaction. These modifications became effective upon the consummation of the Transaction. Pursuant to such modifications, the options and restricted stock units (“RSUs”) held by Intelsat employees generally vest on the earlier of (i) the original vesting date and (ii) November 30, 2021; provided that the employee does not voluntarily resign from and is not terminated for cause by Intelsat prior to such date. Certain of these awards vest based on conditions that are not classified as a service, market or performance condition and as a result such awards are classified as a liability. Other than mark-to-market accounting adjustments, all costs related to stock-based compensation for our prior employees who became employees of Intelsat in the Transaction were recognized as of December 31,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For the Three Months</w:t>
      </w:r>
    </w:p>
    <w:p>
      <w:pPr>
        <w:jc w:val="center"/>
        <w:ind w:left="50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700" w:type="dxa"/>
        <w:tblCellMar>
          <w:top w:w="0" w:type="dxa"/>
          <w:left w:w="0" w:type="dxa"/>
          <w:bottom w:w="0" w:type="dxa"/>
          <w:right w:w="0" w:type="dxa"/>
        </w:tblCellMar>
      </w:tblPr>
      <w:tr>
        <w:trPr>
          <w:trHeight w:val="142"/>
        </w:trPr>
        <w:tc>
          <w:tcPr>
            <w:tcW w:w="506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Engineering, design and development</w:t>
            </w: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1,053</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0"/>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1,053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on our stock-based compensation plans, see Note 16, “Employee Retirement and Postretirement Benefits.”</w:t>
      </w:r>
    </w:p>
    <w:p>
      <w:pPr>
        <w:spacing w:after="0" w:line="113"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b w:val="1"/>
          <w:bCs w:val="1"/>
          <w:color w:val="auto"/>
        </w:rPr>
        <w:t xml:space="preserve">Other Costs Classified to Discontinued Operations </w:t>
      </w:r>
      <w:r>
        <w:rPr>
          <w:rFonts w:ascii="Arial" w:cs="Arial" w:eastAsia="Arial" w:hAnsi="Arial"/>
          <w:sz w:val="18"/>
          <w:szCs w:val="18"/>
          <w:color w:val="auto"/>
        </w:rPr>
        <w:t>– During the three months ended March 31, 2021, we incurred $0.7 million of additional costs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of the stock-based compensation expense noted above) primarily due to employer-paid taxes arising from the exercise of stock options by former employees now employed by Intelsat</w:t>
      </w:r>
      <w:r>
        <w:rPr>
          <w:rFonts w:ascii="Arial" w:cs="Arial" w:eastAsia="Arial" w:hAnsi="Arial"/>
          <w:sz w:val="18"/>
          <w:szCs w:val="18"/>
          <w:b w:val="1"/>
          <w:bCs w:val="1"/>
          <w:color w:val="auto"/>
        </w:rPr>
        <w:t>.</w:t>
      </w:r>
    </w:p>
    <w:p>
      <w:pPr>
        <w:spacing w:after="0" w:line="365" w:lineRule="exact"/>
        <w:rPr>
          <w:sz w:val="20"/>
          <w:szCs w:val="20"/>
          <w:color w:val="auto"/>
        </w:rPr>
      </w:pPr>
    </w:p>
    <w:p>
      <w:pPr>
        <w:ind w:left="520" w:right="7920" w:hanging="512"/>
        <w:spacing w:after="0" w:line="463" w:lineRule="auto"/>
        <w:tabs>
          <w:tab w:leader="none" w:pos="51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color w:val="auto"/>
        </w:rPr>
        <w:t>Accounting standards adopted:</w:t>
      </w:r>
    </w:p>
    <w:p>
      <w:pPr>
        <w:ind w:right="80" w:firstLine="749"/>
        <w:spacing w:after="0" w:line="271" w:lineRule="auto"/>
        <w:rPr>
          <w:sz w:val="20"/>
          <w:szCs w:val="20"/>
          <w:color w:val="auto"/>
        </w:rPr>
      </w:pPr>
      <w:r>
        <w:rPr>
          <w:rFonts w:ascii="Arial" w:cs="Arial" w:eastAsia="Arial" w:hAnsi="Arial"/>
          <w:sz w:val="17"/>
          <w:szCs w:val="17"/>
          <w:color w:val="auto"/>
        </w:rPr>
        <w:t xml:space="preserve">On January 1, 2021, we adopted ASU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(“ASU 2020-06”). </w:t>
      </w:r>
      <w:r>
        <w:rPr>
          <w:rFonts w:ascii="Arial" w:cs="Arial" w:eastAsia="Arial" w:hAnsi="Arial"/>
          <w:sz w:val="17"/>
          <w:szCs w:val="17"/>
          <w:color w:val="auto"/>
        </w:rPr>
        <w:t>ASU 2020-06 simplifies the accounting for certain convertible instruments by removing the separation models for convertible debt with a cash conversion feature or convertible instruments with a beneficial conversion feature. As a result, convertible debt instruments will be reported as a single liability instrument with no separate accounting for embedded conversion features. Additionally, ASU 2020-06 amends the diluted earnings per share calculation for convertible instruments by requiring the use of the if-converted method. The treasury stock method is no longer available. This standard is effective beginning on January 1, 2022, with early adoption permitted. Adoption of the standard requires using either a modified retrospective or a full retrospective approach. We elected to early adopt ASU 2020-06 using the modified retrospective approach.</w:t>
      </w:r>
    </w:p>
    <w:p>
      <w:pPr>
        <w:spacing w:after="0" w:line="70"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cumulative impact of using the modified retrospective approach for the adoption of ASU 2020-06 on our unaudited condensed consolidated balance sheet as of January 1, 2021 is summarized below:</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Impact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Balances with</w:t>
            </w:r>
          </w:p>
        </w:tc>
      </w:tr>
      <w:tr>
        <w:trPr>
          <w:trHeight w:val="162"/>
        </w:trPr>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ASU 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Adoption of</w:t>
            </w:r>
          </w:p>
        </w:tc>
      </w:tr>
      <w:tr>
        <w:trPr>
          <w:trHeight w:val="171"/>
        </w:trPr>
        <w:tc>
          <w:tcPr>
            <w:tcW w:w="3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rPr>
              <w:t>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ASU 2020-06</w:t>
            </w: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Long-term debt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827,968</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21,943</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849,911</w:t>
            </w:r>
          </w:p>
        </w:tc>
        <w:tc>
          <w:tcPr>
            <w:tcW w:w="8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1,088,590</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(47,423)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1,041,167</w:t>
            </w: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(1,629,843)</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(1,604,363)</w:t>
            </w:r>
          </w:p>
        </w:tc>
      </w:tr>
    </w:tbl>
    <w:p>
      <w:pPr>
        <w:spacing w:after="0" w:line="310" w:lineRule="exact"/>
        <w:rPr>
          <w:sz w:val="20"/>
          <w:szCs w:val="20"/>
          <w:color w:val="auto"/>
        </w:rPr>
      </w:pPr>
    </w:p>
    <w:p>
      <w:pPr>
        <w:ind w:right="280" w:firstLine="562"/>
        <w:spacing w:after="0" w:line="301" w:lineRule="auto"/>
        <w:rPr>
          <w:sz w:val="20"/>
          <w:szCs w:val="20"/>
          <w:color w:val="auto"/>
        </w:rPr>
      </w:pPr>
      <w:r>
        <w:rPr>
          <w:rFonts w:ascii="Arial" w:cs="Arial" w:eastAsia="Arial" w:hAnsi="Arial"/>
          <w:sz w:val="16"/>
          <w:szCs w:val="16"/>
          <w:color w:val="auto"/>
        </w:rPr>
        <w:t xml:space="preserve">On January 1, 2021, we adopted Accounting Standards Update No. 2019-12 –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The amendments in ASU 2019-12 eliminate certain exceptions to the incremental approach for intraperiod tax allocation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period income tax accounting for year-to-date losses that exceed projected losses. ASU 2019-12 also clarifies and simplifies other aspects of the accounting for income taxes. Adoption of this standard did not have a material impact on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right="8420" w:firstLine="8"/>
        <w:spacing w:after="0" w:line="425" w:lineRule="auto"/>
        <w:tabs>
          <w:tab w:leader="none" w:pos="49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Remaining performance obligations</w:t>
      </w:r>
    </w:p>
    <w:p>
      <w:pPr>
        <w:ind w:right="20" w:firstLine="510"/>
        <w:spacing w:after="0" w:line="257" w:lineRule="auto"/>
        <w:rPr>
          <w:sz w:val="20"/>
          <w:szCs w:val="20"/>
          <w:color w:val="auto"/>
        </w:rPr>
      </w:pPr>
      <w:r>
        <w:rPr>
          <w:rFonts w:ascii="Arial" w:cs="Arial" w:eastAsia="Arial" w:hAnsi="Arial"/>
          <w:sz w:val="18"/>
          <w:szCs w:val="18"/>
          <w:color w:val="auto"/>
        </w:rPr>
        <w:t>As of March 31, 2021, the aggregate amount of the transaction price in our contracts allocated to the remaining unsatisfied performance obligations was approximately $86 million. Approximately $84 million represents connectivity and entertainment service revenues which are recognized as services are provided, which is expected to occur through the remaining term of the contract. The remaining $2 million represents future equipment revenue that is expected to be recognized within the next year. We have excluded from this amount consideration from contracts that have an original duration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Connectivity</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58,403</w:t>
            </w:r>
          </w:p>
        </w:tc>
        <w:tc>
          <w:tcPr>
            <w:tcW w:w="6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1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service revenue</w:t>
            </w:r>
          </w:p>
        </w:tc>
        <w:tc>
          <w:tcPr>
            <w:tcW w:w="106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59,355</w:t>
            </w:r>
          </w:p>
        </w:tc>
        <w:tc>
          <w:tcPr>
            <w:tcW w:w="200" w:type="dxa"/>
            <w:vAlign w:val="bottom"/>
          </w:tcPr>
          <w:p>
            <w:pPr>
              <w:spacing w:after="0"/>
              <w:rPr>
                <w:sz w:val="22"/>
                <w:szCs w:val="22"/>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6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Equipment revenue: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ATG</w:t>
            </w: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10,597</w:t>
            </w:r>
          </w:p>
        </w:tc>
        <w:tc>
          <w:tcPr>
            <w:tcW w:w="6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Satellite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equipment revenue</w:t>
            </w:r>
          </w:p>
        </w:tc>
        <w:tc>
          <w:tcPr>
            <w:tcW w:w="106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14,514</w:t>
            </w:r>
          </w:p>
        </w:tc>
        <w:tc>
          <w:tcPr>
            <w:tcW w:w="200" w:type="dxa"/>
            <w:vAlign w:val="bottom"/>
          </w:tcPr>
          <w:p>
            <w:pPr>
              <w:spacing w:after="0"/>
              <w:rPr>
                <w:sz w:val="22"/>
                <w:szCs w:val="22"/>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96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Aircraft owner/operator/service provider</w:t>
            </w: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59,355</w:t>
            </w:r>
          </w:p>
        </w:tc>
        <w:tc>
          <w:tcPr>
            <w:tcW w:w="66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OEM and aftermarket dealer</w:t>
            </w:r>
          </w:p>
        </w:tc>
        <w:tc>
          <w:tcPr>
            <w:tcW w:w="10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14,514</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73,869</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640" w:firstLine="510"/>
        <w:spacing w:after="0" w:line="308" w:lineRule="auto"/>
        <w:rPr>
          <w:sz w:val="20"/>
          <w:szCs w:val="20"/>
          <w:color w:val="auto"/>
        </w:rPr>
      </w:pPr>
      <w:r>
        <w:rPr>
          <w:rFonts w:ascii="Arial" w:cs="Arial" w:eastAsia="Arial" w:hAnsi="Arial"/>
          <w:sz w:val="17"/>
          <w:szCs w:val="17"/>
          <w:color w:val="auto"/>
        </w:rPr>
        <w:t>Our current and non-current deferred revenue balances totaled $3.8 million and $3.1 million as of March 31, 2021 and December 31, 2020, respectively. Deferred revenue includes, among other things, fees paid for equipment and subscription connectivity products.</w:t>
      </w:r>
    </w:p>
    <w:p>
      <w:pPr>
        <w:spacing w:after="0" w:line="146"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color w:val="auto"/>
        </w:rPr>
        <w:t>Our current and non-current contract asset balances totaled $14.1 million and $12.2 million as of March 31, 2021 and December 31, 2020, respectively. Contract assets represent the aggregate amount of revenue recognized in excess of billings primarily for certain sales programs.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No customer accounted for more than 10% of revenue during the three month periods ended March 31, 2021 and 2020 and no customer accounted for more than 10% of accounts receivable as of March 31, 2021 or December 31, 2020.</w:t>
      </w:r>
    </w:p>
    <w:p>
      <w:pPr>
        <w:spacing w:after="0" w:line="27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net loss per share have been calculated using the weighted average number of common shares outstanding for the period.</w:t>
      </w:r>
    </w:p>
    <w:p>
      <w:pPr>
        <w:spacing w:after="0" w:line="23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shares of common stock effectively repurchased in connection with the Forward Transactions (as defined and described in Note 10,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counterparties to the Forward Transactions are not required to fund losses. Additionally, the calculation of weighted average shares outstanding as of March 31, 2021 and 2020 excludes approximately 2.1 million shares associated with the Forward Transactions.</w:t>
      </w:r>
    </w:p>
    <w:p>
      <w:pPr>
        <w:spacing w:after="0" w:line="170"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As a result of the net loss for the three-month periods ended March 31, 2021 and 2020, all of the outstanding shares of common stock underlying stock options, deferred stock units and restricted stock units were excluded from the computation of diluted shares outstanding because they were anti-dilutive.</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 periods ended March 31, 2021 and 2020; however, for the reasons described above, the shares of common stock associated with the Forward Transactions are excluded from the computation of basic earnings per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(1,801)</w:t>
            </w:r>
          </w:p>
        </w:tc>
        <w:tc>
          <w:tcPr>
            <w:tcW w:w="4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Less: Participation rights of the Forward Transactions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losses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outstanding-basic</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84,649</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81,205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4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 per share from</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continuing operations-basic and 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 per share from</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discontinued operations-basic and diluted</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 per share-basic</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(0.09)</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We evaluate the need for write-downs associated with obsolete, slow-moving and nonsalable inventory by reviewing net realizable inventory values on a periodic basis.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0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13,906</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12,709</w:t>
            </w:r>
          </w:p>
        </w:tc>
      </w:tr>
      <w:tr>
        <w:trPr>
          <w:trHeight w:val="209"/>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Restricted cash</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1700"/>
              <w:spacing w:after="0"/>
              <w:rPr>
                <w:sz w:val="20"/>
                <w:szCs w:val="20"/>
                <w:color w:val="auto"/>
              </w:rPr>
            </w:pPr>
            <w:r>
              <w:rPr>
                <w:rFonts w:ascii="Arial" w:cs="Arial" w:eastAsia="Arial" w:hAnsi="Arial"/>
                <w:sz w:val="18"/>
                <w:szCs w:val="18"/>
                <w:color w:val="auto"/>
                <w:w w:val="92"/>
              </w:rPr>
              <w:t>Total prepaid expenses and other current assets</w:t>
            </w:r>
          </w:p>
        </w:tc>
        <w:tc>
          <w:tcPr>
            <w:tcW w:w="1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40" w:type="dxa"/>
            <w:vAlign w:val="bottom"/>
            <w:vMerge w:val="restart"/>
          </w:tcPr>
          <w:p>
            <w:pPr>
              <w:jc w:val="right"/>
              <w:ind w:right="93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139,884</w:t>
            </w:r>
          </w:p>
        </w:tc>
        <w:tc>
          <w:tcPr>
            <w:tcW w:w="10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162,882</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(100,961)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(99,389)</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61,519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63,493</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assets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 net of allowances of $375 and $375, respectively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17,836</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 xml:space="preserve">Employee compensation and benefits </w:t>
            </w:r>
            <w:r>
              <w:rPr>
                <w:rFonts w:ascii="Arial" w:cs="Arial" w:eastAsia="Arial" w:hAnsi="Arial"/>
                <w:sz w:val="15"/>
                <w:szCs w:val="15"/>
                <w:i w:val="1"/>
                <w:iCs w:val="1"/>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35,516</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 xml:space="preserve">Deferred gain on sale of CA business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9,400</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7,746</w:t>
            </w:r>
          </w:p>
        </w:tc>
        <w:tc>
          <w:tcPr>
            <w:tcW w:w="80" w:type="dxa"/>
            <w:vAlign w:val="bottom"/>
            <w:shd w:val="clear" w:color="auto" w:fill="CFF0FC"/>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94,134</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83,009</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00" w:right="20" w:hanging="492"/>
        <w:spacing w:after="0" w:line="291" w:lineRule="auto"/>
        <w:tabs>
          <w:tab w:leader="none" w:pos="50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Includes $14.1 million and $19.2 million as of March 31, 2021 and December 31, 2020, respectively, expected to be paid in shares of Gogo common stock upon the vesting of certain equity awards issued to former employees now employed by Intelsat and classified within discontinued operations.</w:t>
      </w:r>
    </w:p>
    <w:p>
      <w:pPr>
        <w:ind w:left="500" w:hanging="492"/>
        <w:spacing w:after="0"/>
        <w:tabs>
          <w:tab w:leader="none" w:pos="50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Relates to sale of CA business. See Note 2, “Discontinued Operations,” for additional information.</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20"/>
        <w:spacing w:after="0"/>
        <w:rPr>
          <w:rFonts w:ascii="Arial" w:cs="Arial" w:eastAsia="Arial" w:hAnsi="Arial"/>
          <w:sz w:val="18"/>
          <w:szCs w:val="18"/>
          <w:i w:val="1"/>
          <w:iCs w:val="1"/>
          <w:color w:val="auto"/>
        </w:rPr>
      </w:pPr>
      <w:r>
        <w:rPr>
          <w:rFonts w:ascii="Arial" w:cs="Arial" w:eastAsia="Arial" w:hAnsi="Arial"/>
          <w:sz w:val="18"/>
          <w:szCs w:val="18"/>
          <w:color w:val="auto"/>
        </w:rPr>
        <w:t>Other non-current liabilities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obligations</w:t>
            </w:r>
          </w:p>
        </w:tc>
        <w:tc>
          <w:tcPr>
            <w:tcW w:w="2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700"/>
              <w:spacing w:after="0"/>
              <w:rPr>
                <w:sz w:val="20"/>
                <w:szCs w:val="20"/>
                <w:color w:val="auto"/>
              </w:rPr>
            </w:pPr>
            <w:r>
              <w:rPr>
                <w:rFonts w:ascii="Arial" w:cs="Arial" w:eastAsia="Arial" w:hAnsi="Arial"/>
                <w:sz w:val="18"/>
                <w:szCs w:val="18"/>
                <w:color w:val="auto"/>
              </w:rPr>
              <w:t>Total other non-current liabilities</w:t>
            </w:r>
          </w:p>
        </w:tc>
        <w:tc>
          <w:tcPr>
            <w:tcW w:w="2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40" w:type="dxa"/>
            <w:vAlign w:val="bottom"/>
            <w:vMerge w:val="restart"/>
          </w:tcPr>
          <w:p>
            <w:pPr>
              <w:jc w:val="right"/>
              <w:ind w:right="14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tests of our indefinite-lived intangible assets during the fourth quarter of each fiscal year, and the results from the test performed in the fourth quarter of 2020 indicated no impairment. We also reevaluate the useful life of indefinite-lived intangible assets each reporting period to determine whether events and circumstances continue to support an indefinite useful life. The results of our annual indefinite-lived intangible assets impairment assessments in the fourth quarter of 2020 indicated no impairment.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both March 31, 2021 and December 31, 2020, our goodwill balance was $0.6 million.</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intangible assets, other than goodwill, as of March 31, 2021 and December 31, 2020 were as follows (</w:t>
      </w:r>
      <w:r>
        <w:rPr>
          <w:rFonts w:ascii="Arial" w:cs="Arial" w:eastAsia="Arial" w:hAnsi="Arial"/>
          <w:sz w:val="18"/>
          <w:szCs w:val="18"/>
          <w:i w:val="1"/>
          <w:iCs w:val="1"/>
          <w:color w:val="auto"/>
        </w:rPr>
        <w:t>in thousands, except for weighted average</w:t>
      </w:r>
      <w:r>
        <w:rPr>
          <w:rFonts w:ascii="Arial" w:cs="Arial" w:eastAsia="Arial" w:hAnsi="Arial"/>
          <w:sz w:val="18"/>
          <w:szCs w:val="18"/>
          <w:color w:val="auto"/>
        </w:rPr>
        <w:t xml:space="preserve"> </w:t>
      </w:r>
      <w:r>
        <w:rPr>
          <w:rFonts w:ascii="Arial" w:cs="Arial" w:eastAsia="Arial" w:hAnsi="Arial"/>
          <w:sz w:val="18"/>
          <w:szCs w:val="18"/>
          <w:i w:val="1"/>
          <w:iCs w:val="1"/>
          <w:color w:val="auto"/>
        </w:rPr>
        <w:t>remaining useful life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0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9"/>
              </w:rPr>
              <w:t>As of March 31, 2021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As of December 31, 2020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3020" w:type="dxa"/>
            <w:vAlign w:val="bottom"/>
          </w:tcPr>
          <w:p>
            <w:pPr>
              <w:spacing w:after="0"/>
              <w:rPr>
                <w:sz w:val="12"/>
                <w:szCs w:val="12"/>
                <w:color w:val="auto"/>
              </w:rPr>
            </w:pPr>
          </w:p>
        </w:tc>
        <w:tc>
          <w:tcPr>
            <w:tcW w:w="11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r>
      <w:tr>
        <w:trPr>
          <w:trHeight w:val="162"/>
        </w:trPr>
        <w:tc>
          <w:tcPr>
            <w:tcW w:w="30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r>
      <w:tr>
        <w:trPr>
          <w:trHeight w:val="171"/>
        </w:trPr>
        <w:tc>
          <w:tcPr>
            <w:tcW w:w="30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Amortized intangible assets:</w:t>
            </w: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020" w:type="dxa"/>
            <w:vAlign w:val="bottom"/>
          </w:tcPr>
          <w:p>
            <w:pPr>
              <w:ind w:left="8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50,357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(33,632)</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16,725</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(31,739)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18,290</w:t>
            </w:r>
          </w:p>
        </w:tc>
        <w:tc>
          <w:tcPr>
            <w:tcW w:w="60" w:type="dxa"/>
            <w:vAlign w:val="bottom"/>
          </w:tcPr>
          <w:p>
            <w:pPr>
              <w:spacing w:after="0"/>
              <w:rPr>
                <w:sz w:val="19"/>
                <w:szCs w:val="19"/>
                <w:color w:val="auto"/>
              </w:rPr>
            </w:pPr>
          </w:p>
        </w:tc>
      </w:tr>
      <w:tr>
        <w:trPr>
          <w:trHeight w:val="230"/>
        </w:trPr>
        <w:tc>
          <w:tcPr>
            <w:tcW w:w="302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 intangible assets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29"/>
        </w:trPr>
        <w:tc>
          <w:tcPr>
            <w:tcW w:w="3020" w:type="dxa"/>
            <w:vAlign w:val="bottom"/>
          </w:tcPr>
          <w:p>
            <w:pPr>
              <w:ind w:left="80"/>
              <w:spacing w:after="0"/>
              <w:rPr>
                <w:sz w:val="20"/>
                <w:szCs w:val="20"/>
                <w:color w:val="auto"/>
              </w:rPr>
            </w:pPr>
            <w:r>
              <w:rPr>
                <w:rFonts w:ascii="Arial" w:cs="Arial" w:eastAsia="Arial" w:hAnsi="Arial"/>
                <w:sz w:val="18"/>
                <w:szCs w:val="18"/>
                <w:color w:val="auto"/>
              </w:rPr>
              <w:t>Service customer relationships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(8,081)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3020" w:type="dxa"/>
            <w:vAlign w:val="bottom"/>
            <w:shd w:val="clear" w:color="auto" w:fill="CFF0FC"/>
          </w:tcPr>
          <w:p>
            <w:pPr>
              <w:ind w:left="80"/>
              <w:spacing w:after="0"/>
              <w:rPr>
                <w:sz w:val="20"/>
                <w:szCs w:val="20"/>
                <w:color w:val="auto"/>
              </w:rPr>
            </w:pPr>
            <w:r>
              <w:rPr>
                <w:rFonts w:ascii="Arial" w:cs="Arial" w:eastAsia="Arial" w:hAnsi="Arial"/>
                <w:sz w:val="18"/>
                <w:szCs w:val="18"/>
                <w:color w:val="auto"/>
              </w:rPr>
              <w:t>OEM and dealer relationships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(6,724)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(6,724)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3020" w:type="dxa"/>
            <w:vAlign w:val="bottom"/>
          </w:tcPr>
          <w:p>
            <w:pPr>
              <w:ind w:left="80"/>
              <w:spacing w:after="0"/>
              <w:rPr>
                <w:sz w:val="20"/>
                <w:szCs w:val="20"/>
                <w:color w:val="auto"/>
              </w:rPr>
            </w:pPr>
            <w:r>
              <w:rPr>
                <w:rFonts w:ascii="Arial" w:cs="Arial" w:eastAsia="Arial" w:hAnsi="Arial"/>
                <w:sz w:val="18"/>
                <w:szCs w:val="18"/>
                <w:color w:val="auto"/>
              </w:rPr>
              <w:t>Total amortized intangible assets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66,662</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18,225</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66,334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(46,544)</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19,790</w:t>
            </w:r>
          </w:p>
        </w:tc>
        <w:tc>
          <w:tcPr>
            <w:tcW w:w="60" w:type="dxa"/>
            <w:vAlign w:val="bottom"/>
          </w:tcPr>
          <w:p>
            <w:pPr>
              <w:spacing w:after="0"/>
              <w:rPr>
                <w:sz w:val="19"/>
                <w:szCs w:val="19"/>
                <w:color w:val="auto"/>
              </w:rPr>
            </w:pPr>
          </w:p>
        </w:tc>
      </w:tr>
      <w:tr>
        <w:trPr>
          <w:trHeight w:val="229"/>
        </w:trPr>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b w:val="1"/>
                <w:bCs w:val="1"/>
                <w:color w:val="auto"/>
              </w:rPr>
              <w:t>Unamortized intangible assets: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02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FCC Licenses</w:t>
            </w:r>
          </w:p>
        </w:tc>
        <w:tc>
          <w:tcPr>
            <w:tcW w:w="1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60" w:type="dxa"/>
            <w:vAlign w:val="bottom"/>
            <w:tcBorders>
              <w:bottom w:val="single" w:sz="8" w:color="CFF0FC"/>
            </w:tcBorders>
          </w:tcPr>
          <w:p>
            <w:pPr>
              <w:spacing w:after="0"/>
              <w:rPr>
                <w:sz w:val="19"/>
                <w:szCs w:val="19"/>
                <w:color w:val="auto"/>
              </w:rPr>
            </w:pPr>
          </w:p>
        </w:tc>
      </w:tr>
      <w:tr>
        <w:trPr>
          <w:trHeight w:val="223"/>
        </w:trPr>
        <w:tc>
          <w:tcPr>
            <w:tcW w:w="30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98,945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(48,437)</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50,508</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98,617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(46,544)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52,073</w:t>
            </w:r>
          </w:p>
        </w:tc>
        <w:tc>
          <w:tcPr>
            <w:tcW w:w="6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was $1.9 million and $1.5 million, respectively, for the three month periods ended March 31, 2021 and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the remainder of 2021, each of the next four years and thereafter is estimated to be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(period from April 1 to December 31)</w:t>
            </w:r>
          </w:p>
        </w:tc>
        <w:tc>
          <w:tcPr>
            <w:tcW w:w="1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5,569</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1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2024</w:t>
            </w:r>
          </w:p>
        </w:tc>
        <w:tc>
          <w:tcPr>
            <w:tcW w:w="1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Thereafter</w:t>
            </w:r>
          </w:p>
        </w:tc>
        <w:tc>
          <w:tcPr>
            <w:tcW w:w="1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provide warranties on parts and labor related to our products. Our warranty terms range from two to five years. Warranty 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unaudited condensed consolidated balance sheets. Our warranty reserve balance was $2.4 million as of both March 31, 2021 and December 31, 2020.</w:t>
      </w:r>
    </w:p>
    <w:p>
      <w:pPr>
        <w:spacing w:after="0" w:line="34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Long-term debt as of March 31, 2021 and December 31, 2020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w:t>
            </w:r>
          </w:p>
        </w:tc>
        <w:tc>
          <w:tcPr>
            <w:tcW w:w="22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w:t>
            </w:r>
          </w:p>
        </w:tc>
      </w:tr>
      <w:tr>
        <w:trPr>
          <w:trHeight w:val="171"/>
        </w:trPr>
        <w:tc>
          <w:tcPr>
            <w:tcW w:w="380" w:type="dxa"/>
            <w:vAlign w:val="bottom"/>
            <w:tcBorders>
              <w:bottom w:val="single" w:sz="8" w:color="CFF0FC"/>
            </w:tcBorders>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31, 2021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31, 2020</w:t>
            </w: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973,623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973,539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7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208,514</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215,122</w:t>
            </w:r>
          </w:p>
        </w:tc>
        <w:tc>
          <w:tcPr>
            <w:tcW w:w="120" w:type="dxa"/>
            <w:vAlign w:val="bottom"/>
          </w:tcPr>
          <w:p>
            <w:pPr>
              <w:spacing w:after="0"/>
              <w:rPr>
                <w:sz w:val="18"/>
                <w:szCs w:val="18"/>
                <w:color w:val="auto"/>
              </w:rPr>
            </w:pPr>
          </w:p>
        </w:tc>
      </w:tr>
      <w:tr>
        <w:trPr>
          <w:trHeight w:val="209"/>
        </w:trPr>
        <w:tc>
          <w:tcPr>
            <w:tcW w:w="4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1,182,137</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1,188,661</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Less deferred financing costs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(18,315)</w:t>
            </w:r>
          </w:p>
        </w:tc>
        <w:tc>
          <w:tcPr>
            <w:tcW w:w="2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(19,693)</w:t>
            </w:r>
          </w:p>
        </w:tc>
      </w:tr>
      <w:tr>
        <w:trPr>
          <w:trHeight w:val="216"/>
        </w:trPr>
        <w:tc>
          <w:tcPr>
            <w:tcW w:w="40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Less current portion of long-term debt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(341,000)</w:t>
            </w:r>
          </w:p>
        </w:tc>
      </w:tr>
      <w:tr>
        <w:trPr>
          <w:trHeight w:val="209"/>
        </w:trPr>
        <w:tc>
          <w:tcPr>
            <w:tcW w:w="40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1,163,822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827,968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2024 Senior Secured Notes</w:t>
      </w:r>
    </w:p>
    <w:p>
      <w:pPr>
        <w:spacing w:after="0" w:line="11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On April 25, 2019 (the “Issue Date”), Gogo Intermediate Holdings LLC (“GIH”) (a wholly owned subsidiary of Gogo Inc.) and Gogo Finance Co. Inc. (a wholly owned subsidiary of GIH) (“Gogo Finance” and, together with GIH, the “Issuers”) issued $905 million aggregate principal amount of</w:t>
      </w:r>
    </w:p>
    <w:p>
      <w:pPr>
        <w:ind w:right="20"/>
        <w:spacing w:after="0" w:line="283" w:lineRule="auto"/>
        <w:rPr>
          <w:sz w:val="20"/>
          <w:szCs w:val="20"/>
          <w:color w:val="auto"/>
        </w:rPr>
      </w:pPr>
      <w:r>
        <w:rPr>
          <w:rFonts w:ascii="Arial" w:cs="Arial" w:eastAsia="Arial" w:hAnsi="Arial"/>
          <w:sz w:val="16"/>
          <w:szCs w:val="16"/>
          <w:color w:val="auto"/>
        </w:rPr>
        <w:t>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 2024 Guarantors and the Trustee entered into the first supplemental indenture (the “First Supplemental Indenture”) to increase the amount of indebtedness that may be incurred under Credit Facilities (as defined in the 2024 Indenture) by GIH or its subsidiaries that are 2024 Guarantors (as defined below) by $20 million in aggregate principal amount. On March 6, 2020, the Issuers, the Initial 2024 Guarantors, Gogo Air International GmbH (an indirect subsidiary of GIH) (“Gogo International”) and the Trustee entered into a second supplemental indenture (the “Second Supplemental Indenture”) to add Gogo International as a guarantor under the 2024 Indenture. On July 31, 2020, the Issuers, the Initial 2024 Guarantors, Gogo International and Gogo Inflight Internet Canada Ltd., Gogo ATG LLC and Gogo CA Licenses LLC (collectively, the “Additional Guarantors” and, together with the Initial 2024 Guarantors and Gogo International, the “2024 Guarantors”) and the Trustee entered into a third supplemental indenture (the “Third Supplemental Indenture”) to add the Additional Guarantors as guarantors under the 2024 Indenture. On November 9, 2020, the Company, the Issuers, the 2024 Guarantors and the Trustee entered into a fourth supplemental indenture (together with the Base Indenture, the First Supplemental Indenture, the Second Supplemental Indenture and the Third Supplemental Indenture, the “2024 Indenture”) to increase the amount of indebtedness under the Credit Facilities (as defined in the Base Indenture) that may be incurred by the Issuers or the Subsidiary Guarantors (as defined in the Base Indenture) by $50 million in aggregate principal amount. On May 7, 2019, the Issuers issued an additional $20 million aggregate principal amount of 9.875% senior secured notes due 2024 (the “2019 Additional Notes”). On November 13, 2020, the Issuers issued an additional $50 million aggregate principal amount of 2024 Senior Secured Notes (the “2020 Additional Notes” and, together with the Initial Notes and the 2019 Additional Notes, the “2024 Senior Secured Notes”). The 2024 Senior Secured Notes were offered and sold in transactions exempt from registration under the Securities Act. The Initial Notes were issued at a price equal to 99.512% of their face value, the 2019 Additional Notes were issued at a price equal to 100.5% of their face value, resulting in aggregate gross proceeds of $920.7 million and the 2020 Additional Notes were issued at a price equal to 103.5% of their face value, resulting in aggregate gross proceeds of $51.8 million. Additionally, we received approximately $0.1 million for interest that accrued from April 25, 2019 through May 7, 2019 with respect to the 2019 Additional Notes that was included in our interest payment on November 1, 2019. On April 1, 2021, the Issuers elected to call for redemption in full all $975,000,000 aggregate principal amount outstanding of the 2024 Senior Secured Notes in accordance with the terms of the 2024 Indenture. The Trustee delivered a notice of conditional full redemption to all registered holders of the 2024 Senior Secured Notes. The redemption was conditioned, among other things, upon the incurrence of indebtedness, pursuant to a new senior secured term loan and/or credit facility or from one or more other sources, in an amount satisfactory to the Issuers. The 2024 Senior Secured Notes were redeemed on May 1, 2021 (the “Redemption Date”), at a redemption price equal to 104.938% of the principal amount of the 2024 Senior Secured Notes redeemed plus accrued and unpaid interest to (but not including) the Redemption Date. The 2024 Senior Secured Notes were guaranteed on a senior secured basis by Gogo Inc. and all of GIH’s existing and future restricted subsidiaries (other than Gogo Finance), subject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exceptions. The 2024 Senior Secured Notes and the related guarantees were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 Upon the closing of the Transaction, certain subsidiaries were released from their guarantees under the 2024 Indenture, and certain of the ABL Priority Collateral and Cash Flow Priority Collateral were released.</w:t>
      </w:r>
    </w:p>
    <w:p>
      <w:pPr>
        <w:spacing w:after="0" w:line="18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of March 31, 2021 and December 31, 2020, the outstanding principal amount of the 2024 Senior Secured Notes was $975 million for both periods, the unaccreted debt discount was $1.4 million and $1.5 million, respectively, and the net carrying amount was $973.6 million and $973.5 million, respectively.</w:t>
      </w:r>
    </w:p>
    <w:p>
      <w:pPr>
        <w:spacing w:after="0" w:line="184"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We used a portion of the net proceeds from the issuance of the Initial Notes and the 2019 Additional Notes to fund the redemption of all the outstanding 2022 Senior Secured Notes (as defined below) and to repurchase $159 million aggregate principal amount of Gogo Inc.’s 3.75% Convertible Senior Notes due 2020 (the “2020 Convertible Notes”).</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maturity date of the 2024 Senior Secured Notes was May 1, 2024. The 2024 Senior Secured Notes bore interest at a rate of 9.875% per year, payable semiannually in arrears on May 1 and November 1 of each year, beginning on November 1, 2019.</w:t>
      </w:r>
    </w:p>
    <w:p>
      <w:pPr>
        <w:spacing w:after="0" w:line="170"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paid approximately $22.6 million of origination fees and financing costs related to the issuance of the 2024 Senior Secured Notes, which have been accounted for as deferred financing costs. The deferred financing costs on our consolidated balance sheet are being amortized over the contractual term of the 2024 Senior Secured Notes using the effective interest method. Total amortization expense was $1.0 million and $0.9 million, respectively, for the three month periods ended March 31, 2021 and 2020. Amortization expense is included in interest expense in the unaudited condensed consolidated statements of operations. As of March 31, 2021 and December 31, 2020, the balance of unamortized deferred financing costs related to the 2024 Senior Secured Notes was $15.5 million and $16.6 million, respectively, and is included as a reduction to long-term debt in our unaudited condensed consolidated balance sheets. See Note 11, “Interest Costs,” for additional information.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2024 Senior Secured Notes were the senior secured indebtedness of the Issuers and were:</w:t>
      </w:r>
    </w:p>
    <w:p>
      <w:pPr>
        <w:spacing w:after="0" w:line="117" w:lineRule="exact"/>
        <w:rPr>
          <w:sz w:val="20"/>
          <w:szCs w:val="20"/>
          <w:color w:val="auto"/>
        </w:rPr>
      </w:pPr>
    </w:p>
    <w:p>
      <w:pPr>
        <w:ind w:left="1000" w:hanging="493"/>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78" w:lineRule="exact"/>
        <w:rPr>
          <w:rFonts w:ascii="Arial" w:cs="Arial" w:eastAsia="Arial" w:hAnsi="Arial"/>
          <w:sz w:val="18"/>
          <w:szCs w:val="18"/>
          <w:color w:val="auto"/>
        </w:rPr>
      </w:pPr>
    </w:p>
    <w:p>
      <w:pPr>
        <w:ind w:left="1000" w:right="260" w:hanging="493"/>
        <w:spacing w:after="0" w:line="31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(as defined below);</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liabilities of any non-2024 Guarantors (other than the Issuers); and</w:t>
      </w:r>
    </w:p>
    <w:p>
      <w:pPr>
        <w:spacing w:after="0" w:line="117"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guarantee was a senior secured obligation of such 2024 Guarantor and was:</w:t>
      </w:r>
    </w:p>
    <w:p>
      <w:pPr>
        <w:spacing w:after="0" w:line="117" w:lineRule="exact"/>
        <w:rPr>
          <w:sz w:val="20"/>
          <w:szCs w:val="20"/>
          <w:color w:val="auto"/>
        </w:rPr>
      </w:pPr>
    </w:p>
    <w:p>
      <w:pPr>
        <w:ind w:left="1000" w:right="260" w:hanging="493"/>
        <w:spacing w:after="0" w:line="279"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63" w:lineRule="exact"/>
        <w:rPr>
          <w:rFonts w:ascii="Arial" w:cs="Arial" w:eastAsia="Arial" w:hAnsi="Arial"/>
          <w:sz w:val="17"/>
          <w:szCs w:val="17"/>
          <w:color w:val="auto"/>
        </w:rPr>
      </w:pPr>
    </w:p>
    <w:p>
      <w:pPr>
        <w:jc w:val="both"/>
        <w:ind w:left="1000" w:right="16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75"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 and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 structurally subordinated to all indebtedness and other liabilities of any non-2024 Guarantor subsidiary.</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security interests in certain collateral were able to be released without the consent of holders of the 2024 Senior Secured Notes if such collateral was disposed of in a transaction that complied with the 2024 Indenture and related security agreements, and if any grantor of such security interests was released from its obligations with respect to the 2024 Senior Secured Notes in accordance with the applicable provisions of the 2024 Indenture and related security agreements. Under certain circumstances, GIH and the 2024 Guarantors had the right to transfer certain intellectual property assets that on the Issue Date constituted collateral securing the 2024 Senior Secured Notes or the guarantees to a restricted subsidiary organized under the laws of Switzerland, resulting in the release of such collateral. In addition, the 2024 Indenture permitted indebtedness incurred under the ABL Credit Facility to be secured on a first-priority basis by certain of the same collateral that secures the 2024 Senior Secured Notes.</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Issuers were able to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or after May 1, 2021, the 2024 Senior Secured Notes were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460" w:type="dxa"/>
            <w:vAlign w:val="bottom"/>
          </w:tcPr>
          <w:p>
            <w:pPr>
              <w:spacing w:after="0"/>
              <w:rPr>
                <w:sz w:val="16"/>
                <w:szCs w:val="16"/>
                <w:color w:val="auto"/>
              </w:rPr>
            </w:pPr>
          </w:p>
        </w:tc>
      </w:tr>
      <w:tr>
        <w:trPr>
          <w:trHeight w:val="201"/>
        </w:trPr>
        <w:tc>
          <w:tcPr>
            <w:tcW w:w="65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Year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Borders>
              <w:bottom w:val="single" w:sz="8" w:color="CFF0FC"/>
            </w:tcBorders>
          </w:tcPr>
          <w:p>
            <w:pPr>
              <w:spacing w:after="0"/>
              <w:rPr>
                <w:sz w:val="17"/>
                <w:szCs w:val="17"/>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104.938</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87"/>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102.469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w w:val="87"/>
              </w:rPr>
              <w:t>%</w:t>
            </w: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100.000</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87"/>
              </w:rPr>
              <w:t>%</w:t>
            </w:r>
          </w:p>
        </w:tc>
      </w:tr>
    </w:tbl>
    <w:p>
      <w:pPr>
        <w:spacing w:after="0" w:line="24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addition, at any time prior to May 1, 2021, the Issuers were able to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2024 Senior Secured Notes representing at least 50% of the principal amount of the 2024 Senior Secured Notes remained outstanding immediately after each such redemption.</w:t>
      </w:r>
    </w:p>
    <w:p>
      <w:pPr>
        <w:spacing w:after="0" w:line="19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2024 Indenture contained covenants that, among other things, limited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w:t>
      </w:r>
    </w:p>
    <w:p>
      <w:pPr>
        <w:spacing w:after="0" w:line="171"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The 2024 Indenture also provided that if we completed certain sales or transfers of assets, we were required to apply the Net Cash Proceeds (as defined in the Base Indenture) generated therefrom within 365 days to either permanently repay indebtedness, in accordance with the terms of the 2024 Indenture, or invest in property or non-current assets of a nature or type used in our, or a similar or related, business. If we did not so apply the Net Cash Proceeds from the Transaction by December 1, 2021, GIH would have been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required to make an offer to repurchase for cash an aggregate principal amount of the 2024 Senior Secured Notes equal to any Net Cash Proceeds not so applied as of such date, at a repurchase price equal to 100% of the principal amount thereof, plus accrued and unpaid interest, if any, to (but not including) the payment date. As a result, we classified $341 million of the 2024 Senior Secured Notes as short-term debt on the unaudited condensed and consolidated balance sheet as of December 31, 2020, representing the amount of the 2024 Senior Secured Notes potentially to be repurchased with the Net Cash Proceeds. As a result of entering into the Term Loan and Revolving Facility, discussed below, the $341 million has been classified as long-term debt on the unaudited condensed consolidated balance sheet as of March 31, 2021.</w:t>
      </w:r>
    </w:p>
    <w:p>
      <w:pPr>
        <w:spacing w:after="0" w:line="17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Most of these covenants, including the covenant related to the application of Net Cash Proceeds from certain sales or transfers of assets, would have ceased to apply if, and for as long as, the 2024 Senior Secured Notes had investment grade ratings from both Moody’s Investment Services, Inc. and Standard &amp; Poor’s. If we or the Issuers underwent specific types of change of control accompanied by a downgrade in the rating of the 2024 Senior Secured Notes prior to May 1, 2024, GIH was required to make an offer to repurchase for cash all of the 2024 Senior Secured Notes at a repurchase price equal to 101% of the principal amount thereof, plus accrued and unpaid interest, if any, to (but not including) the payment date.</w:t>
      </w:r>
    </w:p>
    <w:p>
      <w:pPr>
        <w:spacing w:after="0" w:line="16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2024 Indenture provided for events of default, which, if any of them occurred, would have permitted or required the principal, premium, if any, and interest on all of the then outstanding 2024 Senior Secured Notes issued under the 2024 Indenture to be due and payable immediately. As of March 31, 2021, no event of default had occurred.</w:t>
      </w:r>
    </w:p>
    <w:p>
      <w:pPr>
        <w:spacing w:after="0" w:line="4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ABL Credit Facility</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On August 26, 2019, Gogo Inc., GIH and Gogo Finance (together GIH and Gogo Finance are referred to as the “ABL Borrowers”) entered into a credit agreement (the “ABL Credit Agreement”) among the ABL Borrowers, the other loan parties party thereto, the lenders party thereto, JPMorgan Chase Bank, N.A., as administrative agent (the “Administrative Agent”), and Morgan Stanley Senior Funding, Inc., as syndication agent, which provided for an asset-based revolving credit facility (the “ABL Credit Facility”) of up to $30 million, subject to borrowing base availability, and includes letter of credit and swingline sub-facilities. On April 30, 2021, the ABL Borrowers terminated the ABL Credit Agreement and all commitments thereunder.</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Borrowing availability under the ABL Credit Facility was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was reduced by issuance of letters of credit as well as any borrowings. As of March 31, 2021 and December 31, 2020, the facility was undrawn and as of March 31, 2021, $20.8 million remained available for borrowing under the terms of the agreement that would allow for the Borrowers to meet the “payment conditions” criteria as described in the ABL Credit Agreement.</w:t>
      </w:r>
    </w:p>
    <w:p>
      <w:pPr>
        <w:spacing w:after="0" w:line="233"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final maturity of the ABL Credit Facility was scheduled to occur on August 26, 2022, unless the aggregate outstanding principal amount of our 2022 Convertible Notes (as defined below) had not, on or prior to December 15, 2021, been repaid in full or refinanced with a new maturity date no earlier than February 26, 2023, in which case the final maturity date would have instead been December 16, 2021.</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Loans outstanding under the ABL Credit Facility bore interest at a floating rate measured by reference to, at the ABL Borrowers’ option, either (i) an adjusted London inter-bank offered rate plus an applicable margin ranging from 1.50% to 2.00% per annum depending on a fixed charge coverage ratio, or (ii) an alternate base rate plus an applicable margin ranging from 0.50% to 1.00% per annum depending on a fixed charge coverage ratio. Unused commitments under the ABL Credit Facility are subject to a per annum fee ranging from 0.25% to 0.375% depending on the average quarterly usage of the revolving commitments.</w:t>
      </w:r>
    </w:p>
    <w:p>
      <w:pPr>
        <w:spacing w:after="0" w:line="188"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The obligations under the ABL Credit Agreement were guaranteed by Gogo Inc. and all of its existing and future subsidiaries, subject to certain exceptions (collectively, the “ABL Guarantors”), and such obligations and the obligations of the ABL Guarantors were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9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ABL Credit Agreement contained customary representations and warranties and customary affirmative and negative covenants. The negative covenants included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were subject to customary exceptions and also permitted dividends and other distributions on equity, investments, permitted acquisitions and payments or redemptions of indebtedness upon satisfaction of the “payment conditions.” The payment conditions were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66"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ABL Credit Agreement included a minimum fixed charge coverage ratio test of no less than 1.00 to 1.00, which was tested only when Specified Availability was less than the greater of (A) $4.5 million and (B) 15.0% of the then effective commitments under the ABL Credit Facility, and continuing until the first day immediately succeeding the last day of the calendar month which included the thirtieth (30th) consecutive day on which Specified Availability was in excess of such threshold so long as no default has occurred and is continuing and certain other conditions are met. As of March 31, 2021, Specified Availability had not fallen below the amount specified and therefore the minimum fixed charge coverage ratio test was not applicable.</w:t>
      </w:r>
    </w:p>
    <w:p>
      <w:pPr>
        <w:spacing w:after="0" w:line="16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ABL Credit Agreement provided for events of default, which, if any of them occurred,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ABL Borrowers and the ABL Guarantors granted a security interest in substantially all tangible and intangible assets of each ABL Borrower and each ABL Guarantor, to secure all obligations of the ABL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November 30, 2020, the Issuers entered into a limited consent to the ABL Credit Agreement with the financial institutions listed on the signature pages thereof and JPMorgan Chase Bank, N.A., as administrative agent, pursuant to which the Lenders (as defined in the ABL Credit Agreement) provided consent to the consummation of the Transaction.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2021 Credit Agreement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April 30, 2021, Gogo Inc. and GIH (“the Borrower”) entered into a credit agreement (the “2021 Credit Agreement”) among Gogo, the Borrower, the lenders and issuing banks party thereto and Morgan Stanley Senior Funding, Inc., as administrative agent (the “Administrative Agent”), which provides for (i) a term loan credit facility (the “Term Loan Facility”) in an aggregate principal amount of $725 million, issued with a discount of 0.5%, and (ii) a revolving credit facility (the “Revolving Facility” and together with the Term Loan Facility, the “Facilities”) of up to $100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177"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The Term Loan Facility bears annual interest at a floating rate measured by reference to, at the Borrower’s option, either (i) an adjusted London inter-bank offered rate (subject to a floor of 0.75%) plus an applicable margin of 3.75% or (ii) an alternate base rate plus an applicable margin of 2.75%.</w:t>
      </w:r>
    </w:p>
    <w:p>
      <w:pPr>
        <w:spacing w:after="0" w:line="124" w:lineRule="exact"/>
        <w:rPr>
          <w:sz w:val="20"/>
          <w:szCs w:val="20"/>
          <w:color w:val="auto"/>
        </w:rPr>
      </w:pPr>
    </w:p>
    <w:p>
      <w:pPr>
        <w:jc w:val="both"/>
        <w:ind w:right="140" w:firstLine="510"/>
        <w:spacing w:after="0" w:line="296" w:lineRule="auto"/>
        <w:rPr>
          <w:sz w:val="20"/>
          <w:szCs w:val="20"/>
          <w:color w:val="auto"/>
        </w:rPr>
      </w:pPr>
      <w:r>
        <w:rPr>
          <w:rFonts w:ascii="Arial" w:cs="Arial" w:eastAsia="Arial" w:hAnsi="Arial"/>
          <w:sz w:val="16"/>
          <w:szCs w:val="16"/>
          <w:color w:val="auto"/>
        </w:rPr>
        <w:t>Loans outstanding under the Revolving Facility bear annual interest at a floating rate measured by reference to, at the Borrower’s option, either (i) an adjusted London inter-bank offered rate (subject to a floor of 0.00%) plus an applicable margin ranging from 3.25% to 3.75% per annum depending on the Borrower’s senior secured first lien net leverage ratio or (ii) an alternate base rate plus an applicable margin ranging from 2.25% to 2.75% per annum depending on the Borrower’s senior secured first lien net leverage ratio. Additionally, unused commitments under the Revolving Facility are subject to a fee ranging from 0.25% to 0.50% per annum depending on the Borrower’s senior secured first lien net leverage ratio.</w:t>
      </w:r>
    </w:p>
    <w:p>
      <w:pPr>
        <w:spacing w:after="0" w:line="16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Facilities may be prepaid at the Borrower’s option at any time without premium or penalty (other than customary breakage costs and except during the first six months following the closing of the Facilities during which certain prepayments of the Term Loan Facility are subject to a prepayment premium), subject to minimum principal payment amount requirements.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exceptions and de minimis thresholds, the Term Loan Facility is subject to mandatory prepayments in an amount equal to:</w:t>
      </w:r>
    </w:p>
    <w:p>
      <w:pPr>
        <w:spacing w:after="0" w:line="129" w:lineRule="exact"/>
        <w:rPr>
          <w:sz w:val="20"/>
          <w:szCs w:val="20"/>
          <w:color w:val="auto"/>
        </w:rPr>
      </w:pPr>
    </w:p>
    <w:p>
      <w:pPr>
        <w:ind w:left="1260" w:right="140" w:hanging="375"/>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62" w:lineRule="exact"/>
        <w:rPr>
          <w:rFonts w:ascii="Arial" w:cs="Arial" w:eastAsia="Arial" w:hAnsi="Arial"/>
          <w:sz w:val="18"/>
          <w:szCs w:val="18"/>
          <w:color w:val="auto"/>
        </w:rPr>
      </w:pPr>
    </w:p>
    <w:p>
      <w:pPr>
        <w:ind w:left="1260" w:hanging="375"/>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of the net cash proceeds of certain debt offerings; and</w:t>
      </w:r>
    </w:p>
    <w:p>
      <w:pPr>
        <w:spacing w:after="0" w:line="117"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 of annual excess cash flow (as defined in the 2021 Credit Agreement), subject to reduction to 25% and 0% if specified senior secured first lien net leverage ratio targets are met.</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Inc.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178"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84"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 proceeds of the Term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(collectively, the “Refinancing”), and (ii) to pay fees and expenses incurred in connection with the Refinancing and the Facilities (the “Transaction Costs”). The Revolving Facility will be available for working capital and general corporate purposes of the Company and its subsidiaries.</w:t>
      </w:r>
    </w:p>
    <w:p>
      <w:pPr>
        <w:spacing w:after="0" w:line="49" w:lineRule="exact"/>
        <w:rPr>
          <w:sz w:val="20"/>
          <w:szCs w:val="20"/>
          <w:color w:val="auto"/>
        </w:rPr>
      </w:pPr>
    </w:p>
    <w:p>
      <w:pPr>
        <w:ind w:right="160" w:firstLine="510"/>
        <w:spacing w:after="0" w:line="290" w:lineRule="auto"/>
        <w:rPr>
          <w:sz w:val="20"/>
          <w:szCs w:val="20"/>
          <w:color w:val="auto"/>
        </w:rPr>
      </w:pPr>
      <w:r>
        <w:rPr>
          <w:rFonts w:ascii="Arial" w:cs="Arial" w:eastAsia="Arial" w:hAnsi="Arial"/>
          <w:sz w:val="16"/>
          <w:szCs w:val="16"/>
          <w:color w:val="auto"/>
        </w:rPr>
        <w:t>On April 30, 2021, Gogo Inc., the Borrower, and each direct and indirect wholly-owned U.S. restricted subsidiary of the Borrower (Gogo Inc. and such subsidiaries collectively, the “Guarantors”) entered into a guarantee agreement (the “Guarantee Agreement”) in favor of Morgan Stanley Senior Funding, Inc., as collateral agent (the “Collateral Agent”), whereby the Borrower and the Guarantors guarantee the obligations under the Facilities and certain other secured obligations as set forth in the Guarantee Agreement, and the Borrower and the Guarantors entered into a collateral agreement (the “Collateral Agreement”), in favor of the Collateral Agent, whereby the Borrower and the Guarantors grant a security interest in substantially all of their respective tangible and intangible assets (including the equity interests in each direct material wholly-owned U.S. restricted subsidiary owned by the Borrower or any Guarantor, and 65% of the equity interests in any non-U.S. subsidiary held directly by the Borrower or any Guarantor), subject to certain exceptions, to secure the obligations under the Facilities and certain other secured obligations as set forth in the Collateral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conversion,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78" w:lineRule="exact"/>
        <w:rPr>
          <w:sz w:val="20"/>
          <w:szCs w:val="20"/>
          <w:color w:val="auto"/>
        </w:rPr>
      </w:pPr>
    </w:p>
    <w:p>
      <w:pPr>
        <w:ind w:right="880" w:firstLine="510"/>
        <w:spacing w:after="0" w:line="308" w:lineRule="auto"/>
        <w:rPr>
          <w:sz w:val="20"/>
          <w:szCs w:val="20"/>
          <w:color w:val="auto"/>
        </w:rPr>
      </w:pPr>
      <w:r>
        <w:rPr>
          <w:rFonts w:ascii="Arial" w:cs="Arial" w:eastAsia="Arial" w:hAnsi="Arial"/>
          <w:sz w:val="17"/>
          <w:szCs w:val="17"/>
          <w:color w:val="auto"/>
        </w:rPr>
        <w:t>Under the accounting standards applicable at the time of issuance, the $237.8 million of proceeds received from the issuance of the 2022 Convertible Notes was initially allocated between long-term debt (the liability component) at $188.7 million and additional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2022 Convertible Notes through conversion, at maturity we must repay the principal amount at face value in cash.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96"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of December 31, 2020, the outstanding principal amount of the 2022 Convertible Notes was $237.8 million, the unaccreted debt discount was $22.7 million and the net carrying amount of the liability component was $215.1 million.</w:t>
      </w:r>
    </w:p>
    <w:p>
      <w:pPr>
        <w:spacing w:after="0" w:line="170"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Upon adoption of ASU 2020-06 on January 1, 2021 (see Note 3, “Recent Accounting Pronouncements,” for more information), the 2022 Convertible Notes are accounted for as a single liability. The adoption of this standard resulted in the $49.1 million initially recorded to additional paid-in capital being reclassified and recorded as an increase to long-term debt in the unaudited condensed consolidated balance sheets. Additionally, the $26.5 million of accretion recognized life-to-date was reversed and recorded as a reduction to long-term debt and a reduction to accumulated deficit in the unaudited condensed consolidated balance sheets.</w:t>
      </w:r>
    </w:p>
    <w:p>
      <w:pPr>
        <w:spacing w:after="0" w:line="18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three-month period ended March 31, 2021, $1.0 million aggregate principal amount of 2022 Convertible Notes were converted by holders and settled through the issuance of 166,666 shares of common stock.</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on March 17, 2021, we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Other (income) expense in our unaudited condensed consolidated statements of operations for the three-month period ended March 31, 2021.</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 outstanding principal amount of the 2022 Convertible Notes was $208.5 million.</w:t>
      </w:r>
    </w:p>
    <w:p>
      <w:pPr>
        <w:spacing w:after="0" w:line="225"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On April 1, 2021, we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Following the consummation of the exchange, $102,788,000 aggregate principal amount of 2022 Convertible Notes remained outstanding.</w:t>
      </w:r>
    </w:p>
    <w:p>
      <w:pPr>
        <w:spacing w:after="0" w:line="187"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We incurred approximately $8.1 million of issuance costs related to the 2022 Convertible Notes, of which $6.4 million and $1.7 million were recorded to deferred financing costs and additional paid-in capital, respectively, in proportion to the allocation of the proceeds of the 2022 Convertible Notes. However, upon adoption of ASU 2020-06 on January 1, 2021, the $1.7 million that was initially recorded to additional paid-in capital was reclassified and recorded as deferred financing costs, with catch-up amortization of $1.0 million recorded to accumulated deficit in the unaudited condensed consolidated balance sheet. The deferred financing costs are being amortized over the term of the 2022 Convertible Notes using the effective interest method. Total amortization expense was $0.6 million and $0.4 million, respectively, for the three-month periods ended March 31, 2021 and 2020. Amortization expense is included in interest expense in the unaudited condensed consolidated statements of operations. As of March 31, 2021 and December 31, 2020, the balance of unamortized deferred financing costs related to the 2022 Convertible Notes was $2.5 million and $2.7 million, respectively, and is included as a reduction to long-term debt in our unaudited condensed consolidated balance sheets. See Note 11, “Interest Costs,” for additional information.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200" w:firstLine="510"/>
        <w:spacing w:after="0" w:line="275" w:lineRule="auto"/>
        <w:rPr>
          <w:sz w:val="20"/>
          <w:szCs w:val="20"/>
          <w:color w:val="auto"/>
        </w:rPr>
      </w:pPr>
      <w:r>
        <w:rPr>
          <w:rFonts w:ascii="Arial" w:cs="Arial" w:eastAsia="Arial" w:hAnsi="Arial"/>
          <w:sz w:val="17"/>
          <w:szCs w:val="17"/>
          <w:color w:val="auto"/>
        </w:rPr>
        <w:t>The 2022 Convertible Notes had an initial conversion rate of 166.6667 shares of common stock per $1,000 principal amount of 2022 Convertible Notes, which is equivalent to an initial conversion price of approximately $6.00 per share of our common stock. Upon conversion, we currently expect to settle in shares for the amount of the 2022 Convertible Notes then outstanding. We may elect to deliver cash in lieu of all or a portion of such shares, and borrowings under the Revolving Facility are permitted to be used for this purpose. The shares of common stock subject to conversion are excluded from diluted earnings per share calculations under the if-converted method as their impact is anti-dilutive.</w:t>
      </w:r>
    </w:p>
    <w:p>
      <w:pPr>
        <w:spacing w:after="0" w:line="17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1000" w:hanging="493"/>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8" w:lineRule="exact"/>
        <w:rPr>
          <w:rFonts w:ascii="Arial" w:cs="Arial" w:eastAsia="Arial" w:hAnsi="Arial"/>
          <w:sz w:val="18"/>
          <w:szCs w:val="18"/>
          <w:color w:val="auto"/>
        </w:rPr>
      </w:pPr>
    </w:p>
    <w:p>
      <w:pPr>
        <w:jc w:val="both"/>
        <w:ind w:left="1000" w:right="3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Stock Price Condition was triggered for the periods from October 1, 2020 through December 31, 2020 and January 1, 2021 through March 31, 2021.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65"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7"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In March 2020, approximately 5.1 million shares of common stock were delivered to us in connection with the Forward Transactions. The approximately 2.1 million shares of common stock remaining under the Amended and Restated Forward Transaction are treated as retired shares for basic and diluted EPS purposes although they remain legally outstanding.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On April 13, 2021, pursuant to the terms of the Amended and Restated Forward Transaction, the 2022 Forward Counterparty delivered approximately 1.5 million shares of common stock to Gogo Inc. Following settlement, 575,100 shares of common stock remain subject to the Amended and Restated Forward Transaction.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Our restricted cash balances were $0.5 million as of both March 31, 2021 and December 31, 2020, consisting of a letter of credit issued for the benefit of the landlord of our current office location in Broomfield, CO.</w:t>
      </w:r>
    </w:p>
    <w:p>
      <w:pPr>
        <w:spacing w:after="0" w:line="31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Costs</w:t>
      </w:r>
    </w:p>
    <w:p>
      <w:pPr>
        <w:spacing w:after="0" w:line="12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interest costs for the three month periods ended March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For the Three Months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Ended March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04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charged to expense</w:t>
            </w:r>
          </w:p>
        </w:tc>
        <w:tc>
          <w:tcPr>
            <w:tcW w:w="2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Accretion of debt discount</w:t>
            </w:r>
          </w:p>
        </w:tc>
        <w:tc>
          <w:tcPr>
            <w:tcW w:w="21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29,294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capitalized to software</w:t>
            </w:r>
          </w:p>
        </w:tc>
        <w:tc>
          <w:tcPr>
            <w:tcW w:w="21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interest costs</w:t>
            </w:r>
          </w:p>
        </w:tc>
        <w:tc>
          <w:tcPr>
            <w:tcW w:w="210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29,406</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880" w:hanging="872"/>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right="200" w:firstLine="510"/>
        <w:spacing w:after="0" w:line="298" w:lineRule="auto"/>
        <w:rPr>
          <w:sz w:val="20"/>
          <w:szCs w:val="20"/>
          <w:color w:val="auto"/>
        </w:rPr>
      </w:pPr>
      <w:r>
        <w:rPr>
          <w:rFonts w:ascii="Arial" w:cs="Arial" w:eastAsia="Arial" w:hAnsi="Arial"/>
          <w:sz w:val="16"/>
          <w:szCs w:val="16"/>
          <w:b w:val="1"/>
          <w:bCs w:val="1"/>
          <w:color w:val="auto"/>
        </w:rPr>
        <w:t xml:space="preserve">Operating and Financing Leases — </w:t>
      </w:r>
      <w:r>
        <w:rPr>
          <w:rFonts w:ascii="Arial" w:cs="Arial" w:eastAsia="Arial" w:hAnsi="Arial"/>
          <w:sz w:val="16"/>
          <w:szCs w:val="16"/>
          <w:color w:val="auto"/>
        </w:rPr>
        <w:t>We determine whether a contract contains a lease at contract inception. For leases subsequent to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ASC 842, lease liabilities are calculated using a discount rate based on our incremental borrowing rate at lease commencement. We have operating lease agreements for certain facilities and equipment as well as tower space and base stations. Certain tower space leases have renewal option terms that have been deemed to be reasonably certain to be exercised. These renewal options extend a lease up to 20 years. We recognize operating lease expense on a straight-line basis over the lease term. As of March 31, 2021, there were no significant leases which have not commenced.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 following is a summary of our lease expense included in the unaudited condensed consolidated statements of operations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For the Three</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For the Three</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40" w:type="dxa"/>
            <w:vAlign w:val="bottom"/>
          </w:tcPr>
          <w:p>
            <w:pPr>
              <w:jc w:val="center"/>
              <w:ind w:left="341"/>
              <w:spacing w:after="0"/>
              <w:rPr>
                <w:sz w:val="20"/>
                <w:szCs w:val="20"/>
                <w:color w:val="auto"/>
              </w:rPr>
            </w:pPr>
            <w:r>
              <w:rPr>
                <w:rFonts w:ascii="Arial" w:cs="Arial" w:eastAsia="Arial" w:hAnsi="Arial"/>
                <w:sz w:val="14"/>
                <w:szCs w:val="14"/>
                <w:b w:val="1"/>
                <w:bCs w:val="1"/>
                <w:color w:val="auto"/>
                <w:w w:val="93"/>
              </w:rPr>
              <w:t>Months Ended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4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March 31, 2021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18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126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3,078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Financing lease cost:</w:t>
            </w:r>
          </w:p>
        </w:tc>
        <w:tc>
          <w:tcPr>
            <w:tcW w:w="3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leased assets</w:t>
            </w:r>
          </w:p>
        </w:tc>
        <w:tc>
          <w:tcPr>
            <w:tcW w:w="3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on lease liabilities</w:t>
            </w:r>
          </w:p>
        </w:tc>
        <w:tc>
          <w:tcPr>
            <w:tcW w:w="318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318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6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3,096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180" w:type="dxa"/>
            <w:vAlign w:val="bottom"/>
            <w:vMerge w:val="restart"/>
          </w:tcPr>
          <w:p>
            <w:pPr>
              <w:jc w:val="right"/>
              <w:ind w:right="1330"/>
              <w:spacing w:after="0"/>
              <w:rPr>
                <w:sz w:val="20"/>
                <w:szCs w:val="20"/>
                <w:color w:val="auto"/>
              </w:rPr>
            </w:pPr>
            <w:r>
              <w:rPr>
                <w:rFonts w:ascii="Arial" w:cs="Arial" w:eastAsia="Arial" w:hAnsi="Arial"/>
                <w:sz w:val="18"/>
                <w:szCs w:val="18"/>
                <w:color w:val="auto"/>
              </w:rPr>
              <w:t>23</w:t>
            </w: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For the Three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Months Ended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215"/>
        </w:trPr>
        <w:tc>
          <w:tcPr>
            <w:tcW w:w="6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March 31, 2021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8"/>
                <w:szCs w:val="18"/>
                <w:color w:val="auto"/>
              </w:rPr>
              <w:t>Cash paid for amounts included in measurement</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of lease liabilities:</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used in operating leases</w:t>
            </w:r>
          </w:p>
        </w:tc>
        <w:tc>
          <w:tcPr>
            <w:tcW w:w="8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Operating cash flows used in financing leases</w:t>
            </w:r>
          </w:p>
        </w:tc>
        <w:tc>
          <w:tcPr>
            <w:tcW w:w="8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Financing cash flows used in financing leases</w:t>
            </w:r>
          </w:p>
        </w:tc>
        <w:tc>
          <w:tcPr>
            <w:tcW w:w="8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Non-cash items:</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 obtained</w:t>
            </w:r>
          </w:p>
        </w:tc>
        <w:tc>
          <w:tcPr>
            <w:tcW w:w="8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Financing leases obtained</w:t>
            </w:r>
          </w:p>
        </w:tc>
        <w:tc>
          <w:tcPr>
            <w:tcW w:w="8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leases</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7 years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 years</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discount rate</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leases</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600" w:type="dxa"/>
            <w:vAlign w:val="bottom"/>
          </w:tcPr>
          <w:p>
            <w:pPr>
              <w:ind w:left="520"/>
              <w:spacing w:after="0"/>
              <w:rPr>
                <w:sz w:val="20"/>
                <w:szCs w:val="20"/>
                <w:color w:val="auto"/>
              </w:rPr>
            </w:pPr>
            <w:r>
              <w:rPr>
                <w:rFonts w:ascii="Arial" w:cs="Arial" w:eastAsia="Arial" w:hAnsi="Arial"/>
                <w:sz w:val="18"/>
                <w:szCs w:val="18"/>
                <w:color w:val="auto"/>
                <w:w w:val="98"/>
              </w:rPr>
              <w:t xml:space="preserve">Annual future minimum lease payments as of March 31, 2021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Years ending December 31,</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(period from April 1 to December 31)</w:t>
            </w:r>
          </w:p>
        </w:tc>
        <w:tc>
          <w:tcPr>
            <w:tcW w:w="56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11,973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8,112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6,274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25,218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future minimum lease payments</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65,598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(21,046)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net minimum lease payments</w:t>
            </w:r>
          </w:p>
        </w:tc>
        <w:tc>
          <w:tcPr>
            <w:tcW w:w="5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44,552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Reported as of March 31, 2021</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8,198</w:t>
            </w:r>
          </w:p>
        </w:tc>
        <w:tc>
          <w:tcPr>
            <w:tcW w:w="1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36,354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5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lease liabilities</w:t>
            </w:r>
          </w:p>
        </w:tc>
        <w:tc>
          <w:tcPr>
            <w:tcW w:w="56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44,552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40" w:firstLine="510"/>
        <w:spacing w:after="0" w:line="266"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satellite-based</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certifications and development services. Such commitments will become payable as we receive the equipment or certifications, or as development services are provided.</w:t>
      </w:r>
    </w:p>
    <w:p>
      <w:pPr>
        <w:spacing w:after="0" w:line="68" w:lineRule="exact"/>
        <w:rPr>
          <w:sz w:val="20"/>
          <w:szCs w:val="20"/>
          <w:color w:val="auto"/>
        </w:rPr>
      </w:pPr>
    </w:p>
    <w:p>
      <w:pPr>
        <w:ind w:right="120" w:firstLine="510"/>
        <w:spacing w:after="0" w:line="261"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3"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b w:val="1"/>
          <w:bCs w:val="1"/>
          <w:color w:val="auto"/>
        </w:rPr>
        <w:t xml:space="preserve">Linksmart Litigation </w:t>
      </w:r>
      <w:r>
        <w:rPr>
          <w:rFonts w:ascii="Arial" w:cs="Arial" w:eastAsia="Arial" w:hAnsi="Arial"/>
          <w:sz w:val="16"/>
          <w:szCs w:val="16"/>
          <w:color w:val="auto"/>
        </w:rPr>
        <w:t>- On April 20, 2018, Linksmart Wireless Technology, LLC filed suit against Gogo Inc., Gogo LLC, our former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entity that operated our CA business (“Gogo LLC”), and eight CA airline partners in the U.S. District Court for the Central District of California alleging that CA’s redirection server and login portal infringe a patent owned by the plaintiff. The suits seek an unspecified amount of damages. Intelsat is required under its contracts with these airlines, which it assumed in the Transaction, to indemnify them for defense costs and any liabilities resulting from the suit. The Court has stayed the suits against the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against the asserted patent in the U.S. Patent and Trademark Office, the Court stayed the litigation against such other defendant, Gogo Inc. and Gogo LLC, but such stay was lifted in July 2019 when the U.S. Patent and Trademark Office determined that the petitioner had not met the standard of proof required to commence the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Since the stay was lifted, discovery has been completed and motion practice continues. No date has been set for trial.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plaintiff’s claims are without merit and intend to continue to defend them vigorously. The outcome of this litigation is inherently uncertain. No amounts have been accrued for any potential losses under this matter, as we cannot reasonably predict the outcome of the litigation or any potential losses.</w:t>
      </w:r>
    </w:p>
    <w:p>
      <w:pPr>
        <w:spacing w:after="0" w:line="163"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amendment complaint, which was granted by the Court. Plaintiffs proceeded to file the third amended complaint in July 2020 and we filed a motion to dismiss in September 2020. In April 2021, the Court denied our motion to dismiss.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two lawsuits were consolidated and were stayed pending a final disposition of the motion to dismiss in the class action suit. Since, as discussed above, the court in the class action suit denied the motion to dismiss, we expect the stay to be lifted and the litigation to resume.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3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7" w:lineRule="exact"/>
        <w:rPr>
          <w:rFonts w:ascii="Arial" w:cs="Arial" w:eastAsia="Arial" w:hAnsi="Arial"/>
          <w:sz w:val="18"/>
          <w:szCs w:val="18"/>
          <w:b w:val="1"/>
          <w:bCs w:val="1"/>
          <w:color w:val="auto"/>
        </w:rPr>
      </w:pPr>
    </w:p>
    <w:p>
      <w:pPr>
        <w:ind w:left="1000" w:hanging="493"/>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in active markets;</w:t>
      </w:r>
    </w:p>
    <w:p>
      <w:pPr>
        <w:spacing w:after="0" w:line="130" w:lineRule="exact"/>
        <w:rPr>
          <w:rFonts w:ascii="Arial" w:cs="Arial" w:eastAsia="Arial" w:hAnsi="Arial"/>
          <w:sz w:val="18"/>
          <w:szCs w:val="18"/>
          <w:color w:val="auto"/>
        </w:rPr>
      </w:pPr>
    </w:p>
    <w:p>
      <w:pPr>
        <w:ind w:left="1000" w:right="40" w:hanging="493"/>
        <w:spacing w:after="0" w:line="26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prices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defined as unobservable inputs in which little or no market data exists, therefore requiring an entity to develop its own assumptions.</w:t>
      </w:r>
    </w:p>
    <w:p>
      <w:pPr>
        <w:spacing w:after="0" w:line="3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As of March 31, 2021 and December 31, 2020, our financial assets and liabilities that are disclosed but not measured at fair value include the 2024 Senior Secured Notes and the 2022 Convertible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2024 Senior Secured Notes and the 2022 Convertible Notes by calculating the upfront cash payment a market participant would require to assume these obligations. The upfront cash payments used in the calculations of fair value on our March 31, 2021 unaudited condensed consolidated balance sheet, excluding any issuance costs, are the amount that a market participant would be willing to lend at March 31, 2021 to an entity with a credit rating similar to ours and that would allow such an entity to achieve sufficient cash inflows to cover the scheduled cash outflows under the 2024 Senior Secured Notes and the 2022 Convertible Notes. The calculated fair value of each of the 2022 Convertible Notes is correlated to our stock price and as a result, significant changes to our stock price could have a significant impact on the calculated fair values.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March 31, 2021 and December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440" w:type="dxa"/>
            <w:vAlign w:val="bottom"/>
          </w:tcPr>
          <w:p>
            <w:pPr>
              <w:spacing w:after="0"/>
              <w:rPr>
                <w:sz w:val="11"/>
                <w:szCs w:val="11"/>
                <w:color w:val="auto"/>
              </w:rPr>
            </w:pPr>
          </w:p>
        </w:tc>
        <w:tc>
          <w:tcPr>
            <w:tcW w:w="1120" w:type="dxa"/>
            <w:vAlign w:val="bottom"/>
          </w:tcPr>
          <w:p>
            <w:pPr>
              <w:jc w:val="right"/>
              <w:ind w:right="419"/>
              <w:spacing w:after="0" w:line="13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380" w:type="dxa"/>
            <w:vAlign w:val="bottom"/>
          </w:tcPr>
          <w:p>
            <w:pPr>
              <w:spacing w:after="0"/>
              <w:rPr>
                <w:sz w:val="11"/>
                <w:szCs w:val="11"/>
                <w:color w:val="auto"/>
              </w:rPr>
            </w:pPr>
          </w:p>
        </w:tc>
        <w:tc>
          <w:tcPr>
            <w:tcW w:w="980" w:type="dxa"/>
            <w:vAlign w:val="bottom"/>
          </w:tcPr>
          <w:p>
            <w:pPr>
              <w:jc w:val="right"/>
              <w:ind w:right="319"/>
              <w:spacing w:after="0" w:line="133"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39"/>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39"/>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2024</w:t>
            </w:r>
          </w:p>
        </w:tc>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1,026,000</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973,623</w:t>
            </w: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5"/>
                <w:szCs w:val="15"/>
                <w:i w:val="1"/>
                <w:iCs w:val="1"/>
                <w:color w:val="auto"/>
              </w:rPr>
              <w:t>(2)</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973,539</w:t>
            </w:r>
          </w:p>
        </w:tc>
        <w:tc>
          <w:tcPr>
            <w:tcW w:w="340" w:type="dxa"/>
            <w:vAlign w:val="bottom"/>
            <w:shd w:val="clear" w:color="auto" w:fill="CFF0FC"/>
          </w:tcPr>
          <w:p>
            <w:pPr>
              <w:jc w:val="right"/>
              <w:spacing w:after="0"/>
              <w:rPr>
                <w:sz w:val="20"/>
                <w:szCs w:val="20"/>
                <w:color w:val="auto"/>
              </w:rPr>
            </w:pPr>
            <w:r>
              <w:rPr>
                <w:rFonts w:ascii="Arial" w:cs="Arial" w:eastAsia="Arial" w:hAnsi="Arial"/>
                <w:sz w:val="15"/>
                <w:szCs w:val="15"/>
                <w:i w:val="1"/>
                <w:iCs w:val="1"/>
                <w:color w:val="auto"/>
              </w:rPr>
              <w:t>(2)</w:t>
            </w:r>
          </w:p>
        </w:tc>
        <w:tc>
          <w:tcPr>
            <w:tcW w:w="0" w:type="dxa"/>
            <w:vAlign w:val="bottom"/>
          </w:tcPr>
          <w:p>
            <w:pPr>
              <w:spacing w:after="0"/>
              <w:rPr>
                <w:sz w:val="1"/>
                <w:szCs w:val="1"/>
                <w:color w:val="auto"/>
              </w:rPr>
            </w:pPr>
          </w:p>
        </w:tc>
      </w:tr>
      <w:tr>
        <w:trPr>
          <w:trHeight w:val="235"/>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24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391,000</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208,514</w:t>
            </w:r>
          </w:p>
        </w:tc>
        <w:tc>
          <w:tcPr>
            <w:tcW w:w="50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404,000</w:t>
            </w:r>
          </w:p>
        </w:tc>
        <w:tc>
          <w:tcPr>
            <w:tcW w:w="200" w:type="dxa"/>
            <w:vAlign w:val="bottom"/>
          </w:tcPr>
          <w:p>
            <w:pPr>
              <w:spacing w:after="0"/>
              <w:rPr>
                <w:sz w:val="20"/>
                <w:szCs w:val="20"/>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215,122</w:t>
            </w:r>
          </w:p>
        </w:tc>
        <w:tc>
          <w:tcPr>
            <w:tcW w:w="340" w:type="dxa"/>
            <w:vAlign w:val="bottom"/>
          </w:tcPr>
          <w:p>
            <w:pPr>
              <w:jc w:val="right"/>
              <w:spacing w:after="0"/>
              <w:rPr>
                <w:sz w:val="20"/>
                <w:szCs w:val="20"/>
                <w:color w:val="auto"/>
              </w:rPr>
            </w:pPr>
            <w:r>
              <w:rPr>
                <w:rFonts w:ascii="Arial" w:cs="Arial" w:eastAsia="Arial" w:hAnsi="Arial"/>
                <w:sz w:val="15"/>
                <w:szCs w:val="15"/>
                <w:i w:val="1"/>
                <w:iCs w:val="1"/>
                <w:color w:val="auto"/>
              </w:rPr>
              <w:t>(3)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29"/>
        <w:spacing w:after="0"/>
        <w:tabs>
          <w:tab w:leader="none" w:pos="460"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i w:val="1"/>
          <w:iCs w:val="1"/>
          <w:color w:val="auto"/>
        </w:rPr>
      </w:pPr>
    </w:p>
    <w:p>
      <w:pPr>
        <w:ind w:left="520" w:hanging="489"/>
        <w:spacing w:after="0" w:line="250" w:lineRule="auto"/>
        <w:tabs>
          <w:tab w:leader="none" w:pos="468"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$1.4 million and $1.5 million, respectively, as of March 31, 2021 and December 31, 2020. See Note 10, “Long-Term Debt and Other Liabilities,” for further information.</w:t>
      </w:r>
    </w:p>
    <w:p>
      <w:pPr>
        <w:ind w:left="520" w:right="120" w:hanging="489"/>
        <w:spacing w:after="0" w:line="260" w:lineRule="auto"/>
        <w:tabs>
          <w:tab w:leader="none" w:pos="468" w:val="left"/>
        </w:tabs>
        <w:numPr>
          <w:ilvl w:val="1"/>
          <w:numId w:val="22"/>
        </w:numPr>
        <w:rPr>
          <w:rFonts w:ascii="Arial" w:cs="Arial" w:eastAsia="Arial" w:hAnsi="Arial"/>
          <w:sz w:val="18"/>
          <w:szCs w:val="18"/>
          <w:i w:val="1"/>
          <w:iCs w:val="1"/>
          <w:color w:val="auto"/>
        </w:rPr>
      </w:pPr>
      <w:r>
        <w:rPr>
          <w:rFonts w:ascii="Arial" w:cs="Arial" w:eastAsia="Arial" w:hAnsi="Arial"/>
          <w:sz w:val="18"/>
          <w:szCs w:val="18"/>
          <w:color w:val="auto"/>
        </w:rPr>
        <w:t>Carrying value of the 2022 Convertible Notes reflects the unaccreted debt discount of $22.6 million as of December 31, 2020. See Note 10, “Long-Term Debt and Other Liabilities,” for further information.</w:t>
      </w:r>
    </w:p>
    <w:p>
      <w:pPr>
        <w:spacing w:after="0" w:line="329" w:lineRule="exact"/>
        <w:rPr>
          <w:rFonts w:ascii="Arial" w:cs="Arial" w:eastAsia="Arial" w:hAnsi="Arial"/>
          <w:sz w:val="18"/>
          <w:szCs w:val="18"/>
          <w:i w:val="1"/>
          <w:iCs w:val="1"/>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effective income tax rates for continuing operations for the three-month periods ended March 31, 2021 and 2020 were (0.6)% and (1.5)%, respectively. For the three month periods ended March 31, 2021 and 2020, our income tax expense was not significant primarily due to the full valuation allowance against our net deferred tax assets.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subject to income taxation in the United States and Canada. With few exceptions, as of March 31, 2021, we are no longer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state, local or foreign examinations by tax authorities for years before 2017.</w:t>
      </w:r>
    </w:p>
    <w:p>
      <w:pPr>
        <w:spacing w:after="0" w:line="211" w:lineRule="exact"/>
        <w:rPr>
          <w:sz w:val="20"/>
          <w:szCs w:val="20"/>
          <w:color w:val="auto"/>
        </w:rPr>
      </w:pPr>
    </w:p>
    <w:p>
      <w:pPr>
        <w:jc w:val="both"/>
        <w:ind w:right="260" w:firstLine="510"/>
        <w:spacing w:after="0" w:line="286" w:lineRule="auto"/>
        <w:rPr>
          <w:sz w:val="20"/>
          <w:szCs w:val="20"/>
          <w:color w:val="auto"/>
        </w:rPr>
      </w:pPr>
      <w:r>
        <w:rPr>
          <w:rFonts w:ascii="Arial" w:cs="Arial" w:eastAsia="Arial" w:hAnsi="Arial"/>
          <w:sz w:val="17"/>
          <w:szCs w:val="17"/>
          <w:color w:val="auto"/>
        </w:rPr>
        <w:t>We record penalties and interest relating to uncertain tax positions in the income tax provision line item in the unaudited condensed consolidated statement of operations. No penalties or interest related to uncertain tax positions were recorded for the three-month periods ended March 31, 2021 and 2020. As of March 31, 2021 and December 31, 2020, we did not have a liability recorded for interest or potential penalties.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As a result of the Refinancing and the exchange of certain outstanding 2022 Convertible Notes, we expect our interest expense to decrease. We will consider the decrease in interest expense as we assess whether we need to maintain all, or part, of the valuation allowance on our deferred tax assets for the three month period ending June 30, 2021.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Presently, We do not require a reserve for unrecognized tax benefits, nor do we foresee any change to that position during the next 12 months.</w:t>
      </w:r>
    </w:p>
    <w:p>
      <w:pPr>
        <w:spacing w:after="0" w:line="38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and Postretirement Benefits</w:t>
      </w:r>
    </w:p>
    <w:p>
      <w:pPr>
        <w:spacing w:after="0" w:line="117" w:lineRule="exact"/>
        <w:rPr>
          <w:sz w:val="20"/>
          <w:szCs w:val="20"/>
          <w:color w:val="auto"/>
        </w:rPr>
      </w:pPr>
    </w:p>
    <w:p>
      <w:pPr>
        <w:jc w:val="both"/>
        <w:ind w:right="140" w:firstLine="510"/>
        <w:spacing w:after="0" w:line="266" w:lineRule="auto"/>
        <w:rPr>
          <w:sz w:val="20"/>
          <w:szCs w:val="20"/>
          <w:color w:val="auto"/>
        </w:rPr>
      </w:pPr>
      <w:r>
        <w:rPr>
          <w:rFonts w:ascii="Arial" w:cs="Arial" w:eastAsia="Arial" w:hAnsi="Arial"/>
          <w:sz w:val="18"/>
          <w:szCs w:val="18"/>
          <w:b w:val="1"/>
          <w:bCs w:val="1"/>
          <w:color w:val="auto"/>
        </w:rPr>
        <w:t xml:space="preserve">Stock-Based Compensation — </w:t>
      </w:r>
      <w:r>
        <w:rPr>
          <w:rFonts w:ascii="Arial" w:cs="Arial" w:eastAsia="Arial" w:hAnsi="Arial"/>
          <w:sz w:val="18"/>
          <w:szCs w:val="18"/>
          <w:color w:val="auto"/>
        </w:rPr>
        <w:t>As of March 31, 2021, we maintained three stock-based incentive compensation plans (“Stock Plans”),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Stock Purchase Plan (“ESPP”). See Note 14, “Stock-Based Compensation,” in our 2020 10-K for further information regarding these plans. Most of our equity grants are awarded on an annual basis.</w:t>
      </w:r>
    </w:p>
    <w:p>
      <w:pPr>
        <w:spacing w:after="0" w:line="1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the three-month period ended March 31, 2021, options to purchase 26,726 shares of common stock were granted, options to purchase 177,646 shares of common stock were exercised, no options to purchase shares of common stock were forfeited and no options to purchase shares of common stock expired. The fair value of the options granted during the three-month period ended March 31, 2021 was approximately $0.2 million, which will be recognized over a period of one year.</w:t>
      </w:r>
    </w:p>
    <w:p>
      <w:pPr>
        <w:spacing w:after="0" w:line="18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For the three-month period ended March 31, 2021, 2,106,134 RSUs were granted, 863,056 RSUs vested and 32,199 RSUs were forfeited. The fair value of the RSUs granted during the three-month period ended March 31, 2021 was approximately $19.5 million, which will be recognized over a period of four years.</w:t>
      </w:r>
    </w:p>
    <w:p>
      <w:pPr>
        <w:spacing w:after="0" w:line="18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three-month period ended March 31, 2021, 8,227 restricted shares vested and no shares were cancelled. These shares are deemed issued as of the date of grant, but not outstanding until they vest.</w:t>
      </w:r>
    </w:p>
    <w:p>
      <w:pPr>
        <w:spacing w:after="0" w:line="170"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For the three-month period ended March 31, 2021, 24,323 deferred stock units were granted and 87,339 vested. The fair value of the deferred stock units granted during the three-month period ended March 31, 2021 was approximately $0.2 million, which will be recognized over a period of one year.</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three-month period ended March 31, 2021, 11,637 shares of common stock were issued under our Employee Stock Purchase Plan.</w:t>
      </w:r>
    </w:p>
    <w:p>
      <w:pPr>
        <w:spacing w:after="0" w:line="237" w:lineRule="exact"/>
        <w:rPr>
          <w:sz w:val="20"/>
          <w:szCs w:val="20"/>
          <w:color w:val="auto"/>
        </w:rPr>
      </w:pPr>
    </w:p>
    <w:p>
      <w:pPr>
        <w:ind w:right="760" w:firstLine="510"/>
        <w:spacing w:after="0" w:line="308" w:lineRule="auto"/>
        <w:rPr>
          <w:sz w:val="20"/>
          <w:szCs w:val="20"/>
          <w:color w:val="auto"/>
        </w:rPr>
      </w:pPr>
      <w:r>
        <w:rPr>
          <w:rFonts w:ascii="Arial" w:cs="Arial" w:eastAsia="Arial" w:hAnsi="Arial"/>
          <w:sz w:val="17"/>
          <w:szCs w:val="17"/>
          <w:color w:val="auto"/>
        </w:rPr>
        <w:t xml:space="preserve">The following is a summary of our stock-based compensation expense by operating expense line in the unaudited condensed consolidated statements of operations, excluding stock-based compensation expense for discontinued operations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For the Three Months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Ended 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9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60" w:firstLine="510"/>
        <w:spacing w:after="0" w:line="289" w:lineRule="auto"/>
        <w:rPr>
          <w:sz w:val="20"/>
          <w:szCs w:val="20"/>
          <w:color w:val="auto"/>
        </w:rPr>
      </w:pPr>
      <w:r>
        <w:rPr>
          <w:rFonts w:ascii="Arial" w:cs="Arial" w:eastAsia="Arial" w:hAnsi="Arial"/>
          <w:sz w:val="17"/>
          <w:szCs w:val="17"/>
          <w:b w:val="1"/>
          <w:bCs w:val="1"/>
          <w:color w:val="auto"/>
        </w:rPr>
        <w:t xml:space="preserve">401(k) Plan — </w:t>
      </w:r>
      <w:r>
        <w:rPr>
          <w:rFonts w:ascii="Arial" w:cs="Arial" w:eastAsia="Arial" w:hAnsi="Arial"/>
          <w:sz w:val="17"/>
          <w:szCs w:val="17"/>
          <w:color w:val="auto"/>
        </w:rPr>
        <w:t>Under our 401(k) plan, all employees who are eligible to participate are entitled to make tax-deferred contributions,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Revenue Service limitations. We match 100% of the employee’s first 4% of contributions made, subject to annual limitations. Our matching contributions were $0.4 million and $0.3 million, respectively, during the three-month periods ended March 31, 2021 and 2020.</w:t>
      </w:r>
    </w:p>
    <w:p>
      <w:pPr>
        <w:spacing w:after="0" w:line="266"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Expenditures for research and development are charged to expense as incurred and totaled $5.5 million and $7.4 million, respectively, during the three-month periods ended March 31, 2021 and 2020. Research and development costs are reported as engineering, design and development expenses in our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16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68"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attract and retain customers and generate revenue from the provision of our connectivity and entertainment services;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reliance on our key OEMs and dealers for equipment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deploy Gogo 5G;</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effectively with other current or future providers of in-flight connectivity services and other products and services that we offer, including on the basis of price and performance;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COVID-19 pandemic and the measures implemented to combat 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evaluate or pursue strategic opportunities;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reliance on third parties for equipment and services;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train and retain highly skilled employees;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achievement of the anticipated benefits of the sale of the CA business or our ability to operate as a standalone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revocation of, or reduction in, our right to use licensed spectrum, the availability of other air-to-ground spectrum to a competitor or the repurposing by a competitor of other spectrum for air-to-ground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use of open source software and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additional ATG spectrum in the United States or internationally;</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service interruptions or delays, technology failures and equipment failures or malfunctions arising from defects or errors in our software or defects in or damage to our equipment;</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assertions by third parties of infringement, misappropriation or other violations; our ability to innovate and provide products and services;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government regulation of the internet;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possession and use of personal information;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expenses or liabilities resulting from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substantial indebtedness, limitations and restrictions in the agreements governing our current and future indebtedness and our ability to service our indebtedness;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utilization of our tax losses; and other risks and factors listed under “Risk Factors” in our Annual Report on Form 10-K for the year ended December 31, 2020, as filed with the Securities and Exchange Commission (“SEC”) on March 11, 2021 (the “2020 10-K”) and in Item 1A of this report.</w:t>
      </w:r>
    </w:p>
    <w:p>
      <w:pPr>
        <w:spacing w:after="0" w:line="18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5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6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 million in cash, subject to certain adjustments (the “Transaction”). As a result, all periods presented in our unaudited condensed consolidated financial statements and other portions of this Quarterly Report on Form 10-Q have been conformed to present the CA business as discontinued operations.</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2020 10-K and in Item 1A and “Special Note Regarding Forward-Looking Statements” in this report. Our actual results may differ materially from those contained in or implied by any forward-looking statements.</w:t>
      </w:r>
    </w:p>
    <w:p>
      <w:pPr>
        <w:spacing w:after="0" w:line="184" w:lineRule="exact"/>
        <w:rPr>
          <w:sz w:val="20"/>
          <w:szCs w:val="20"/>
          <w:color w:val="auto"/>
        </w:rPr>
      </w:pPr>
    </w:p>
    <w:p>
      <w:pPr>
        <w:ind w:right="160" w:firstLine="510"/>
        <w:spacing w:after="0" w:line="282"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install and maintain in-flight systems of proprietary hardware and software, and deliver customizable connectivity and wireless entertainment services and global support capabilities to our aviation partners. Our services include satellite-based voice and data services made available through strategic partnerships with satellite providers.</w:t>
      </w:r>
    </w:p>
    <w:p>
      <w:pPr>
        <w:spacing w:after="0" w:line="17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chief operating decision maker evaluates performance and business results for our operations, and makes resource and operating decisions, on a consolidated basis. As such, we do not present segment information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Though we continue to see strong signs of recovery from the lows we experienced in mid-April 2020, we expect COVID-19 to continue to negatively impact our business and we are unable to predict how long or with what degree of severity that impact will continue. The impact of the pandemic has varied across different parts of our customer base – for example corporate flight departments, charter operators and commercial aircraft (under the ATG Network Sharing Agreement) – and we expect the pace of recovery to vary by customer type.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jc w:val="both"/>
        <w:ind w:right="440" w:firstLine="510"/>
        <w:spacing w:after="0" w:line="263"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76" w:lineRule="exact"/>
        <w:rPr>
          <w:sz w:val="20"/>
          <w:szCs w:val="20"/>
          <w:color w:val="auto"/>
        </w:rPr>
      </w:pPr>
    </w:p>
    <w:p>
      <w:pPr>
        <w:ind w:left="1000" w:right="14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associated with the implementation of, and our ability to implement, on a timely basis, our technology roadmap, including upgrades to and installation of the ATG technologies we currently offer, Gogo 5G, and any other next generation or other new technology;</w:t>
      </w:r>
    </w:p>
    <w:p>
      <w:pPr>
        <w:spacing w:after="0" w:line="15" w:lineRule="exact"/>
        <w:rPr>
          <w:rFonts w:ascii="Arial" w:cs="Arial" w:eastAsia="Arial" w:hAnsi="Arial"/>
          <w:sz w:val="16"/>
          <w:szCs w:val="16"/>
          <w:color w:val="auto"/>
        </w:rPr>
      </w:pPr>
    </w:p>
    <w:p>
      <w:pPr>
        <w:ind w:left="1000" w:right="34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 source;</w:t>
      </w:r>
    </w:p>
    <w:p>
      <w:pPr>
        <w:spacing w:after="0" w:line="75"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of aircraft in service in our markets, including consolidations or changes in fleet size by one or more of our large-fleet customers;</w:t>
      </w:r>
    </w:p>
    <w:p>
      <w:pPr>
        <w:spacing w:after="0" w:line="140" w:lineRule="exact"/>
        <w:rPr>
          <w:rFonts w:ascii="Arial" w:cs="Arial" w:eastAsia="Arial" w:hAnsi="Arial"/>
          <w:sz w:val="16"/>
          <w:szCs w:val="16"/>
          <w:color w:val="auto"/>
        </w:rPr>
      </w:pPr>
    </w:p>
    <w:p>
      <w:pPr>
        <w:ind w:left="1000" w:right="5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 including the impact of COVID-19 on restrictions on and demand for air travel, as well as disruptions to supply chains and installations;</w:t>
      </w:r>
    </w:p>
    <w:p>
      <w:pPr>
        <w:spacing w:after="0" w:line="62" w:lineRule="exact"/>
        <w:rPr>
          <w:rFonts w:ascii="Arial" w:cs="Arial" w:eastAsia="Arial" w:hAnsi="Arial"/>
          <w:sz w:val="18"/>
          <w:szCs w:val="18"/>
          <w:color w:val="auto"/>
        </w:rPr>
      </w:pPr>
    </w:p>
    <w:p>
      <w:pPr>
        <w:ind w:left="1000" w:right="54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engage suppliers of equipment components and network services on a timely basis and on commercially reasonable terms;</w:t>
      </w:r>
    </w:p>
    <w:p>
      <w:pPr>
        <w:spacing w:after="0" w:line="128" w:lineRule="exact"/>
        <w:rPr>
          <w:rFonts w:ascii="Arial" w:cs="Arial" w:eastAsia="Arial" w:hAnsi="Arial"/>
          <w:sz w:val="17"/>
          <w:szCs w:val="17"/>
          <w:color w:val="auto"/>
        </w:rPr>
      </w:pPr>
    </w:p>
    <w:p>
      <w:pPr>
        <w:ind w:left="1000" w:right="20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b w:val="1"/>
          <w:bCs w:val="1"/>
          <w:color w:val="auto"/>
        </w:rPr>
        <w:t xml:space="preserve">2021 Credit Agreement </w:t>
      </w:r>
      <w:r>
        <w:rPr>
          <w:rFonts w:ascii="Arial" w:cs="Arial" w:eastAsia="Arial" w:hAnsi="Arial"/>
          <w:sz w:val="17"/>
          <w:szCs w:val="17"/>
          <w:color w:val="auto"/>
        </w:rPr>
        <w:t>- On April 30, 2021, Gogo Inc. and Gogo Intermediate Holdings LLC (the “Borrower”), a direct wholly owned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of Gogo Inc., entered into a credit agreement (the “2021 Credit Agreement”) among Gogo, the Borrower, the lenders and issuing banks party thereto and Morgan Stanley Senior Funding, Inc., as administrative agent (the “Administrative Agent”), which provides for (i) a term loan credit facility (the “Term Loan Facility”) in an aggregate principal amount of $725 million, issued with a discount of 0.5%, and (ii) a revolving credit facility (the “Revolving Facility” and together with the Term Loan Facility, the “Facilities”) of up to $100 million, which includes a letter of credit sub-facility. The Term Loan Facility amortizes in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 The Term Loan Facility bears annual interest at a floating rate measured by reference to, at the Borrower’s option, either (i) an adjusted London inter-bank offered rate (subject to a floor of 0.75%) plus an applicable margin of 3.75% or (ii) an alternate base rate plus an applicable margin of 2.75%. Loans outstanding under the Revolving Facility bear annual interest at a floating rate measured by reference to, at the Borrower’s option, either (i) an adjusted London inter-bank offered rate (subject to a floor of 0.00%) plus an applicable margin ranging from 3.25% to 3.75% per annum depending on the Borrower’s senior secured first lien net leverage ratio or (ii) an alternate base rate plus an applicable margin ranging from 2.25% to 2.75% per annum depending on the Borrower’s senior secured first lien net leverage ratio. Additionally, unused commitments under the Revolving Facility are subject to a fee ranging from 0.25% to 0.50% per annum depending on the Borrower’s senior secured first lien net leverage ratio. The proceeds of the Term Loan Facility were used, together with cash on hand, (i) to redeem in full and pay the outstanding principal amount of the senior secured notes due 2024 (the “2024 Notes”) together with accrued and unpaid interest and redemption premiums and to pay fees associated with the termination of the ABL Credit Agreement (collectively, the “Refinancing”), and (ii) to pay fees and expenses incurred in connection with the Refinancing and the Facilities (the “Transaction Costs”). The Revolving Facility will be available for working capital and general corporate purposes of the Company and its subsidiaries.</w:t>
      </w:r>
    </w:p>
    <w:p>
      <w:pPr>
        <w:spacing w:after="0" w:line="8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b w:val="1"/>
          <w:bCs w:val="1"/>
          <w:color w:val="auto"/>
        </w:rPr>
        <w:t xml:space="preserve">Redemption </w:t>
      </w:r>
      <w:r>
        <w:rPr>
          <w:rFonts w:ascii="Arial" w:cs="Arial" w:eastAsia="Arial" w:hAnsi="Arial"/>
          <w:sz w:val="17"/>
          <w:szCs w:val="17"/>
          <w:color w:val="auto"/>
        </w:rPr>
        <w:t>– On April 1, 2021, Gogo Intermediate Holdings LLC and Gogo Finance Co. Inc. (together, the “Issuers”) elected to call for</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in full the $975 million aggregate principal amount outstanding of the 2024 Notes. The redemption was conditioned, among other things, upon the incurrence of indebtedness, pursuant to a new senior secured term loan and/or credit facility or from one or more other sources, in an amount satisfactory to the Issuers. On April 30, 2021, the Issuers irrevocably deposited, or caused to be irrevocably deposited, with U.S. Bank National Association, the trustee for the 2024 Notes (the “Trustee”), solely for the benefit of the holders of the 2024 Notes, cash in an amount sufficient to pay principal, premium and accrued interest on the 2024 Notes to, but not including, the date of redemption and all other sums payable under the indenture governing the 2024 Notes. The Trustee executed and delivered an acknowledgement of satisfaction, discharge and release, dated as of April 30, 2021, among other documents, with respect to the satisfaction and discharge of the indenture governing the 2024 Notes.</w:t>
      </w:r>
    </w:p>
    <w:p>
      <w:pPr>
        <w:spacing w:after="0" w:line="64" w:lineRule="exact"/>
        <w:rPr>
          <w:sz w:val="20"/>
          <w:szCs w:val="20"/>
          <w:color w:val="auto"/>
        </w:rPr>
      </w:pPr>
    </w:p>
    <w:p>
      <w:pPr>
        <w:ind w:right="40" w:firstLine="510"/>
        <w:spacing w:after="0" w:line="294" w:lineRule="auto"/>
        <w:rPr>
          <w:sz w:val="20"/>
          <w:szCs w:val="20"/>
          <w:color w:val="auto"/>
        </w:rPr>
      </w:pPr>
      <w:r>
        <w:rPr>
          <w:rFonts w:ascii="Arial" w:cs="Arial" w:eastAsia="Arial" w:hAnsi="Arial"/>
          <w:sz w:val="16"/>
          <w:szCs w:val="16"/>
          <w:b w:val="1"/>
          <w:bCs w:val="1"/>
          <w:color w:val="auto"/>
        </w:rPr>
        <w:t xml:space="preserve">Convertible Note Exchanges </w:t>
      </w:r>
      <w:r>
        <w:rPr>
          <w:rFonts w:ascii="Arial" w:cs="Arial" w:eastAsia="Arial" w:hAnsi="Arial"/>
          <w:sz w:val="16"/>
          <w:szCs w:val="16"/>
          <w:color w:val="auto"/>
        </w:rPr>
        <w:t>- On March 17, 2021, we entered into separate, privately negotiated exchange agreements (the “March 2021</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Agreements”) with certain holders of our 6% Convertible Senior Notes due 2022 (the “2022 Convertible Notes”). Pursuant to the March 2021 Exchange Agreements, such holders exchanged a total of $28,235,000 aggregate principal amount of 2022 Convertible Notes for 5,121,811 shares of our common stock on March 24, 2021. On April 1, 2021, we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In addition, pursuant to the terms of the GTCR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00"/>
        <w:spacing w:after="0" w:line="257" w:lineRule="auto"/>
        <w:rPr>
          <w:sz w:val="20"/>
          <w:szCs w:val="20"/>
          <w:color w:val="auto"/>
        </w:rPr>
      </w:pPr>
      <w:r>
        <w:rPr>
          <w:rFonts w:ascii="Arial" w:cs="Arial" w:eastAsia="Arial" w:hAnsi="Arial"/>
          <w:sz w:val="18"/>
          <w:szCs w:val="18"/>
          <w:color w:val="auto"/>
        </w:rPr>
        <w:t>Exchange Agreement, on April 9, 2021, we entered into a registration rights agreement with Silver (Equity) Holdings, LP and Silver (XII) Holdings, LLC (together, the “GTCR Affiliates”), pursuant to which the GTCR Affiliates and their permitted transferees (the “GTCR Holders”) have been afforded customary demand and piggyback registration rights with respect to the shares of common stock held by the GTCR Affiliates as of the closing of April 9, 2021. The demand rights of the GTCR Holders under the registration rights agreement are exercisable after the one year anniversary of the date of the Exchange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Business Aviation</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46"/>
        </w:trPr>
        <w:tc>
          <w:tcPr>
            <w:tcW w:w="46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340"/>
              <w:spacing w:after="0" w:line="147" w:lineRule="exact"/>
              <w:rPr>
                <w:sz w:val="20"/>
                <w:szCs w:val="20"/>
                <w:color w:val="auto"/>
              </w:rPr>
            </w:pPr>
            <w:r>
              <w:rPr>
                <w:rFonts w:ascii="Arial" w:cs="Arial" w:eastAsia="Arial" w:hAnsi="Arial"/>
                <w:sz w:val="14"/>
                <w:szCs w:val="14"/>
                <w:b w:val="1"/>
                <w:bCs w:val="1"/>
                <w:color w:val="auto"/>
                <w:w w:val="93"/>
              </w:rPr>
              <w:t>For the Three Months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3"/>
                <w:szCs w:val="13"/>
                <w:color w:val="auto"/>
              </w:rPr>
            </w:pPr>
          </w:p>
        </w:tc>
        <w:tc>
          <w:tcPr>
            <w:tcW w:w="11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9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20" w:type="dxa"/>
            <w:vAlign w:val="bottom"/>
          </w:tcPr>
          <w:p>
            <w:pPr>
              <w:ind w:left="360"/>
              <w:spacing w:after="0"/>
              <w:rPr>
                <w:sz w:val="20"/>
                <w:szCs w:val="20"/>
                <w:color w:val="auto"/>
              </w:rPr>
            </w:pPr>
            <w:r>
              <w:rPr>
                <w:rFonts w:ascii="Arial" w:cs="Arial" w:eastAsia="Arial" w:hAnsi="Arial"/>
                <w:sz w:val="18"/>
                <w:szCs w:val="18"/>
                <w:color w:val="auto"/>
              </w:rPr>
              <w:t>ATG</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5,892</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Satellite</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FF0FC"/>
          </w:tcPr>
          <w:p>
            <w:pPr>
              <w:spacing w:after="0"/>
              <w:rPr>
                <w:sz w:val="19"/>
                <w:szCs w:val="19"/>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Average monthly connectivity service revenue per aircraft</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online</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ATG</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116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FF0FC"/>
          </w:tcPr>
          <w:p>
            <w:pPr>
              <w:spacing w:after="0"/>
              <w:rPr>
                <w:sz w:val="19"/>
                <w:szCs w:val="19"/>
                <w:color w:val="auto"/>
              </w:rPr>
            </w:pPr>
          </w:p>
        </w:tc>
      </w:tr>
      <w:tr>
        <w:trPr>
          <w:trHeight w:val="230"/>
        </w:trPr>
        <w:tc>
          <w:tcPr>
            <w:tcW w:w="462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ind w:left="360"/>
              <w:spacing w:after="0"/>
              <w:rPr>
                <w:sz w:val="20"/>
                <w:szCs w:val="20"/>
                <w:color w:val="auto"/>
              </w:rPr>
            </w:pPr>
            <w:r>
              <w:rPr>
                <w:rFonts w:ascii="Arial" w:cs="Arial" w:eastAsia="Arial" w:hAnsi="Arial"/>
                <w:sz w:val="18"/>
                <w:szCs w:val="18"/>
                <w:color w:val="auto"/>
              </w:rPr>
              <w:t>ATG</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r>
        <w:trPr>
          <w:trHeight w:val="230"/>
        </w:trPr>
        <w:tc>
          <w:tcPr>
            <w:tcW w:w="4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Satellite</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ATG</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16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30"/>
        </w:trPr>
        <w:tc>
          <w:tcPr>
            <w:tcW w:w="462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 This number excludes aircraft receiving ATG service as part of the ATG Network Sharing Agreement with Intelsat.</w:t>
      </w:r>
    </w:p>
    <w:p>
      <w:pPr>
        <w:spacing w:after="0" w:line="18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day of each period presented.</w:t>
      </w:r>
    </w:p>
    <w:p>
      <w:pPr>
        <w:spacing w:after="0" w:line="62" w:lineRule="exact"/>
        <w:rPr>
          <w:rFonts w:ascii="Arial" w:cs="Arial" w:eastAsia="Arial" w:hAnsi="Arial"/>
          <w:sz w:val="18"/>
          <w:szCs w:val="18"/>
          <w:color w:val="auto"/>
        </w:rPr>
      </w:pPr>
    </w:p>
    <w:p>
      <w:pPr>
        <w:ind w:left="1000" w:right="200" w:hanging="493"/>
        <w:spacing w:after="0" w:line="279"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connectivity service revenue per ATG aircraft online. </w:t>
      </w:r>
      <w:r>
        <w:rPr>
          <w:rFonts w:ascii="Arial" w:cs="Arial" w:eastAsia="Arial" w:hAnsi="Arial"/>
          <w:sz w:val="17"/>
          <w:szCs w:val="17"/>
          <w:color w:val="auto"/>
        </w:rPr>
        <w:t>We define average monthly connectivity service revenue per ATG</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3" w:lineRule="exact"/>
        <w:rPr>
          <w:rFonts w:ascii="Arial" w:cs="Arial" w:eastAsia="Arial" w:hAnsi="Arial"/>
          <w:sz w:val="17"/>
          <w:szCs w:val="17"/>
          <w:color w:val="auto"/>
        </w:rPr>
      </w:pPr>
    </w:p>
    <w:p>
      <w:pPr>
        <w:jc w:val="both"/>
        <w:ind w:left="1000" w:right="200" w:hanging="493"/>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ATG or satellite units for which we recognized revenue during the period.</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62" w:lineRule="exact"/>
        <w:rPr>
          <w:rFonts w:ascii="Arial" w:cs="Arial" w:eastAsia="Arial" w:hAnsi="Arial"/>
          <w:sz w:val="18"/>
          <w:szCs w:val="18"/>
          <w:color w:val="auto"/>
        </w:rPr>
      </w:pPr>
    </w:p>
    <w:p>
      <w:pPr>
        <w:ind w:left="1000" w:right="24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right="720" w:firstLine="510"/>
        <w:spacing w:after="0" w:line="308" w:lineRule="auto"/>
        <w:rPr>
          <w:sz w:val="20"/>
          <w:szCs w:val="20"/>
          <w:color w:val="auto"/>
        </w:rPr>
      </w:pPr>
      <w:r>
        <w:rPr>
          <w:rFonts w:ascii="Arial" w:cs="Arial" w:eastAsia="Arial" w:hAnsi="Arial"/>
          <w:sz w:val="17"/>
          <w:szCs w:val="17"/>
          <w:color w:val="auto"/>
        </w:rPr>
        <w:t>There have been no material changes to our key components of unaudited condensed consolidated statements of operations as described in “Management’s Discussion and Analysis of Financial Condition and Results of Operations” (“MD&amp;A”) in our 2020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obligations that meet the definition of an off-balance sheet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We believe that the assumptions and estimates associated with revenue recognition, long-lived assets, indefinite-lived assets and stock-based compensation have the greatest potential impact on our unaudited condensed consolidated financial statements. Therefore, we consider these to be our critical accounting policies and estimates.</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MD&amp;A in our 2020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3, “Recent Accounting Pronouncements,” to our unaudited condensed consolidated financial statements for additional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For the Three Months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Ended 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55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FF0FC"/>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Service revenue</w:t>
            </w:r>
          </w:p>
        </w:tc>
        <w:tc>
          <w:tcPr>
            <w:tcW w:w="166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59,355</w:t>
            </w:r>
          </w:p>
        </w:tc>
        <w:tc>
          <w:tcPr>
            <w:tcW w:w="100" w:type="dxa"/>
            <w:vAlign w:val="bottom"/>
          </w:tcPr>
          <w:p>
            <w:pPr>
              <w:spacing w:after="0"/>
              <w:rPr>
                <w:sz w:val="19"/>
                <w:szCs w:val="19"/>
                <w:color w:val="auto"/>
              </w:rPr>
            </w:pPr>
          </w:p>
        </w:tc>
        <w:tc>
          <w:tcPr>
            <w:tcW w:w="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57,726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Equipment revenue</w:t>
            </w:r>
          </w:p>
        </w:tc>
        <w:tc>
          <w:tcPr>
            <w:tcW w:w="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14,514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revenue</w:t>
            </w:r>
          </w:p>
        </w:tc>
        <w:tc>
          <w:tcPr>
            <w:tcW w:w="7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73,869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tcBorders>
              <w:bottom w:val="single" w:sz="8" w:color="CFF0FC"/>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tcPr>
          <w:p>
            <w:pPr>
              <w:ind w:left="460"/>
              <w:spacing w:after="0"/>
              <w:rPr>
                <w:sz w:val="20"/>
                <w:szCs w:val="20"/>
                <w:color w:val="auto"/>
              </w:rPr>
            </w:pPr>
            <w:r>
              <w:rPr>
                <w:rFonts w:ascii="Arial" w:cs="Arial" w:eastAsia="Arial" w:hAnsi="Arial"/>
                <w:sz w:val="18"/>
                <w:szCs w:val="18"/>
                <w:color w:val="auto"/>
              </w:rPr>
              <w:t>Cost of service revenue (exclusive of items shown below)</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5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Cost of equipment revenue (exclusive of items shown below)</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Engineering, design and development</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10,373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80" w:type="dxa"/>
            <w:vAlign w:val="bottom"/>
            <w:tcBorders>
              <w:bottom w:val="single" w:sz="8" w:color="CFF0FC"/>
            </w:tcBorders>
          </w:tcPr>
          <w:p>
            <w:pPr>
              <w:ind w:left="980"/>
              <w:spacing w:after="0"/>
              <w:rPr>
                <w:sz w:val="20"/>
                <w:szCs w:val="20"/>
                <w:color w:val="auto"/>
              </w:rPr>
            </w:pPr>
            <w:r>
              <w:rPr>
                <w:rFonts w:ascii="Arial" w:cs="Arial" w:eastAsia="Arial" w:hAnsi="Arial"/>
                <w:sz w:val="18"/>
                <w:szCs w:val="18"/>
                <w:b w:val="1"/>
                <w:bCs w:val="1"/>
                <w:color w:val="auto"/>
              </w:rPr>
              <w:t>Total operating expenses</w:t>
            </w:r>
          </w:p>
        </w:tc>
        <w:tc>
          <w:tcPr>
            <w:tcW w:w="7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46,089</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49,610</w:t>
            </w:r>
          </w:p>
        </w:tc>
        <w:tc>
          <w:tcPr>
            <w:tcW w:w="100" w:type="dxa"/>
            <w:vAlign w:val="bottom"/>
            <w:tcBorders>
              <w:bottom w:val="single" w:sz="8" w:color="CFF0FC"/>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27,780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21,317</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860"/>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9"/>
              <w:spacing w:after="0" w:line="230" w:lineRule="exact"/>
              <w:rPr>
                <w:sz w:val="20"/>
                <w:szCs w:val="20"/>
                <w:color w:val="auto"/>
              </w:rPr>
            </w:pPr>
            <w:r>
              <w:rPr>
                <w:rFonts w:ascii="Arial" w:cs="Arial" w:eastAsia="Arial" w:hAnsi="Arial"/>
                <w:sz w:val="17"/>
                <w:szCs w:val="17"/>
                <w:color w:val="auto"/>
              </w:rPr>
              <w:t>(57</w:t>
            </w:r>
            <w:r>
              <w:rPr>
                <w:rFonts w:ascii="Arial" w:cs="Arial" w:eastAsia="Arial" w:hAnsi="Arial"/>
                <w:sz w:val="26"/>
                <w:szCs w:val="26"/>
                <w:color w:val="auto"/>
                <w:vertAlign w:val="subscript"/>
              </w:rPr>
              <w:t>)</w:t>
            </w: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9"/>
              <w:spacing w:after="0" w:line="230" w:lineRule="exact"/>
              <w:rPr>
                <w:sz w:val="20"/>
                <w:szCs w:val="20"/>
                <w:color w:val="auto"/>
              </w:rPr>
            </w:pPr>
            <w:r>
              <w:rPr>
                <w:rFonts w:ascii="Arial" w:cs="Arial" w:eastAsia="Arial" w:hAnsi="Arial"/>
                <w:sz w:val="17"/>
                <w:szCs w:val="17"/>
                <w:color w:val="auto"/>
              </w:rPr>
              <w:t>(578</w:t>
            </w:r>
            <w:r>
              <w:rPr>
                <w:rFonts w:ascii="Arial" w:cs="Arial" w:eastAsia="Arial" w:hAnsi="Arial"/>
                <w:sz w:val="26"/>
                <w:szCs w:val="26"/>
                <w:color w:val="auto"/>
                <w:vertAlign w:val="subscript"/>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29,294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on settlement of convertible notes</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19"/>
              <w:spacing w:after="0" w:line="230" w:lineRule="exact"/>
              <w:rPr>
                <w:sz w:val="20"/>
                <w:szCs w:val="20"/>
                <w:color w:val="auto"/>
              </w:rPr>
            </w:pPr>
            <w:r>
              <w:rPr>
                <w:rFonts w:ascii="Arial" w:cs="Arial" w:eastAsia="Arial" w:hAnsi="Arial"/>
                <w:sz w:val="17"/>
                <w:szCs w:val="17"/>
                <w:color w:val="auto"/>
              </w:rPr>
              <w:t>(5</w:t>
            </w:r>
            <w:r>
              <w:rPr>
                <w:rFonts w:ascii="Arial" w:cs="Arial" w:eastAsia="Arial" w:hAnsi="Arial"/>
                <w:sz w:val="26"/>
                <w:szCs w:val="26"/>
                <w:color w:val="auto"/>
                <w:vertAlign w:val="subscript"/>
              </w:rPr>
              <w: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2"/>
          </w:tcPr>
          <w:p>
            <w:pPr>
              <w:jc w:val="right"/>
              <w:ind w:right="19"/>
              <w:spacing w:after="0" w:line="230" w:lineRule="exact"/>
              <w:rPr>
                <w:sz w:val="20"/>
                <w:szCs w:val="20"/>
                <w:color w:val="auto"/>
              </w:rPr>
            </w:pPr>
            <w:r>
              <w:rPr>
                <w:rFonts w:ascii="Arial" w:cs="Arial" w:eastAsia="Arial" w:hAnsi="Arial"/>
                <w:sz w:val="17"/>
                <w:szCs w:val="17"/>
                <w:color w:val="auto"/>
              </w:rPr>
              <w:t>(1</w:t>
            </w:r>
            <w:r>
              <w:rPr>
                <w:rFonts w:ascii="Arial" w:cs="Arial" w:eastAsia="Arial" w:hAnsi="Arial"/>
                <w:sz w:val="26"/>
                <w:szCs w:val="26"/>
                <w:color w:val="auto"/>
                <w:vertAlign w:val="subscript"/>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other expense</w:t>
            </w:r>
          </w:p>
        </w:tc>
        <w:tc>
          <w:tcPr>
            <w:tcW w:w="7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33,629</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30,564</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86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provision</w:t>
            </w:r>
          </w:p>
        </w:tc>
        <w:tc>
          <w:tcPr>
            <w:tcW w:w="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860"/>
              <w:spacing w:after="0"/>
              <w:rPr>
                <w:sz w:val="20"/>
                <w:szCs w:val="20"/>
                <w:color w:val="auto"/>
              </w:rPr>
            </w:pPr>
            <w:r>
              <w:rPr>
                <w:rFonts w:ascii="Arial" w:cs="Arial" w:eastAsia="Arial" w:hAnsi="Arial"/>
                <w:sz w:val="18"/>
                <w:szCs w:val="18"/>
                <w:b w:val="1"/>
                <w:bCs w:val="1"/>
                <w:color w:val="auto"/>
              </w:rPr>
              <w:t>Net loss from continuing operations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(1,801)</w:t>
            </w: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(75,390)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Net loss</w:t>
            </w:r>
          </w:p>
        </w:tc>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gridSpan w:val="2"/>
            <w:vMerge w:val="continue"/>
          </w:tcPr>
          <w:p>
            <w:pPr>
              <w:spacing w:after="0"/>
              <w:rPr>
                <w:sz w:val="19"/>
                <w:szCs w:val="19"/>
                <w:color w:val="auto"/>
              </w:rPr>
            </w:pPr>
          </w:p>
        </w:tc>
        <w:tc>
          <w:tcPr>
            <w:tcW w:w="166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9"/>
              <w:spacing w:after="0"/>
              <w:rPr>
                <w:sz w:val="20"/>
                <w:szCs w:val="20"/>
                <w:color w:val="auto"/>
              </w:rPr>
            </w:pPr>
            <w:r>
              <w:rPr>
                <w:rFonts w:ascii="Arial" w:cs="Arial" w:eastAsia="Arial" w:hAnsi="Arial"/>
                <w:sz w:val="14"/>
                <w:szCs w:val="14"/>
                <w:color w:val="auto"/>
              </w:rPr>
              <w:t>(7,685)</w:t>
            </w:r>
          </w:p>
        </w:tc>
        <w:tc>
          <w:tcPr>
            <w:tcW w:w="7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(84,778)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ind w:left="5540"/>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Revenue and percent change for the three-month periods ended March 31, 2021 and 2020 were as follows </w:t>
      </w:r>
      <w:r>
        <w:rPr>
          <w:rFonts w:ascii="Arial" w:cs="Arial" w:eastAsia="Arial" w:hAnsi="Arial"/>
          <w:sz w:val="16"/>
          <w:szCs w:val="16"/>
          <w:i w:val="1"/>
          <w:iCs w:val="1"/>
          <w:color w:val="auto"/>
        </w:rPr>
        <w:t>(in thousands, except for percent change)</w:t>
      </w:r>
      <w:r>
        <w:rPr>
          <w:rFonts w:ascii="Arial" w:cs="Arial" w:eastAsia="Arial" w:hAnsi="Arial"/>
          <w:sz w:val="16"/>
          <w:szCs w:val="16"/>
          <w:color w:val="auto"/>
        </w:rPr>
        <w:t>:</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For the Three Months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67"/>
              <w:spacing w:after="0" w:line="155" w:lineRule="exact"/>
              <w:rPr>
                <w:sz w:val="20"/>
                <w:szCs w:val="20"/>
                <w:color w:val="auto"/>
              </w:rPr>
            </w:pPr>
            <w:r>
              <w:rPr>
                <w:rFonts w:ascii="Arial" w:cs="Arial" w:eastAsia="Arial" w:hAnsi="Arial"/>
                <w:sz w:val="14"/>
                <w:szCs w:val="14"/>
                <w:b w:val="1"/>
                <w:bCs w:val="1"/>
                <w:color w:val="auto"/>
              </w:rPr>
              <w:t>Ended March 31,</w:t>
            </w: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2021 over</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57,726</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20"/>
                <w:szCs w:val="20"/>
                <w:color w:val="auto"/>
              </w:rPr>
            </w:pPr>
            <w:r>
              <w:rPr>
                <w:rFonts w:ascii="Arial" w:cs="Arial" w:eastAsia="Arial" w:hAnsi="Arial"/>
                <w:sz w:val="18"/>
                <w:szCs w:val="18"/>
                <w:color w:val="auto"/>
              </w:rPr>
              <w:t>Equipment revenue</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14,514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13,201</w:t>
            </w:r>
          </w:p>
        </w:tc>
        <w:tc>
          <w:tcPr>
            <w:tcW w:w="2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30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73,869</w:t>
            </w:r>
          </w:p>
        </w:tc>
        <w:tc>
          <w:tcPr>
            <w:tcW w:w="24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70,927</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Revenue increased to $73.9 million for the three-month period ended March 31, 2021, as compared with $70.9 million for the prior-year period, due to increases in service revenue and equipment revenue.</w:t>
      </w:r>
    </w:p>
    <w:p>
      <w:pPr>
        <w:spacing w:after="0" w:line="170"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Service revenue increased to $59.4 million for the three-month period ended March 31, 2021, as compared with $57.7 million for the prior-year period, primarily due to an increase in ATG aircraft online and the revenue share earned from the ATG Network Sharing Agreement with Intelsat.</w:t>
      </w:r>
    </w:p>
    <w:p>
      <w:pPr>
        <w:spacing w:after="0" w:line="12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Equipment revenue increased to $14.5 million for the three-month period ended March 31, 2021, as compared with $13.2 million for the prior-year period, primarily due to increases in the number of ATG units sold, with 135 units sold during the three months ended March 31, 2021, as compared with 125 units for the prior-year period.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service and equipment revenue to increase in the future as additional ATG aircraft come online.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 xml:space="preserve">Cost of revenue and percent change for the three-month periods ended March 31, 2021 and 2020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2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87"/>
              <w:spacing w:after="0" w:line="155" w:lineRule="exact"/>
              <w:rPr>
                <w:sz w:val="20"/>
                <w:szCs w:val="20"/>
                <w:color w:val="auto"/>
              </w:rPr>
            </w:pPr>
            <w:r>
              <w:rPr>
                <w:rFonts w:ascii="Arial" w:cs="Arial" w:eastAsia="Arial" w:hAnsi="Arial"/>
                <w:sz w:val="14"/>
                <w:szCs w:val="14"/>
                <w:b w:val="1"/>
                <w:bCs w:val="1"/>
                <w:color w:val="auto"/>
              </w:rPr>
              <w:t>Ended March 31,</w:t>
            </w:r>
          </w:p>
        </w:tc>
        <w:tc>
          <w:tcPr>
            <w:tcW w:w="9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 over</w:t>
            </w:r>
          </w:p>
        </w:tc>
        <w:tc>
          <w:tcPr>
            <w:tcW w:w="320" w:type="dxa"/>
            <w:vAlign w:val="bottom"/>
          </w:tcPr>
          <w:p>
            <w:pPr>
              <w:spacing w:after="0"/>
              <w:rPr>
                <w:sz w:val="13"/>
                <w:szCs w:val="13"/>
                <w:color w:val="auto"/>
              </w:rPr>
            </w:pPr>
          </w:p>
        </w:tc>
      </w:tr>
      <w:tr>
        <w:trPr>
          <w:trHeight w:val="155"/>
        </w:trPr>
        <w:tc>
          <w:tcPr>
            <w:tcW w:w="29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FF0FC"/>
            </w:tcBorders>
          </w:tcPr>
          <w:p>
            <w:pPr>
              <w:spacing w:after="0"/>
              <w:rPr>
                <w:sz w:val="13"/>
                <w:szCs w:val="13"/>
                <w:color w:val="auto"/>
              </w:rPr>
            </w:pP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w:t>
            </w: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13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8,282</w:t>
            </w:r>
          </w:p>
        </w:tc>
        <w:tc>
          <w:tcPr>
            <w:tcW w:w="80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8,511</w:t>
            </w: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bl>
    <w:p>
      <w:pPr>
        <w:spacing w:after="0" w:line="241"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Cost of service revenue increased to $14.1 million for the three-month period ended March 31, 2021, as compared with $11.0 million for the prior-year period, primarily due to an increase in ATG network costs as these costs are no longer shared with the divested CA business.</w:t>
      </w:r>
    </w:p>
    <w:p>
      <w:pPr>
        <w:spacing w:after="0" w:line="146"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w:t>
      </w:r>
    </w:p>
    <w:p>
      <w:pPr>
        <w:spacing w:after="0" w:line="13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Cost of equipment revenue decreased to $8.3 million for the three-month period ended March 31, 2021, as compared with $8.5 million for the prior-year period, primarily due to lower overhead costs and changes in product mix, partially offset by an increase in ATG units sold.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cost of equipment revenue will vary with changes in equipment revenue and unit sold.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Engineering, design and development expenses decreased to $5.5 million for the three-month period ended March 31, 2021, as compared with $7.4 million for the prior-year period, primarily due to a decrease in Gogo 5G development costs.</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expect engineering, design and development expenses to remain flat or increase slightly as a percentage of service revenue in the near term, driven by Gogo 5G development costs, and decrease as a percentage of service revenue over the long term as the level of investment decreases and revenue increases.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Sales and marketing expenses decreased to $3.7 million for the three-month period ended March 31, 2021, as compared with $4.5 million for the prior-year period, primarily due to decreased travel, advertising, and personnel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sales and marketing expenses to remain relatively flat as a percentage of service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General and administrative expenses decreased to $10.4 million for the three-month period ended March 31, 2021, as compared with $14.7 million for the prior-year period, primarily due to lower outside services costs and decreased personnel expenses.</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expect general and administrative expenses to decrease as a percentage of service revenue over time as we identify efficiencies and drive down costs and as the business grows given the fixed cost nature of this category.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Depreciation and amortization expense increased to $4.1 million for the three-month period ended March 31, 2021, as compared with $3.6 million for the prior-year period, primarily due to the amortization of capitalized software.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 xml:space="preserve">Other (income) expense and percent change for the three-month periods ended March 31, 2021 and 2020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For the Three Months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87"/>
              <w:spacing w:after="0" w:line="155" w:lineRule="exact"/>
              <w:rPr>
                <w:sz w:val="20"/>
                <w:szCs w:val="20"/>
                <w:color w:val="auto"/>
              </w:rPr>
            </w:pPr>
            <w:r>
              <w:rPr>
                <w:rFonts w:ascii="Arial" w:cs="Arial" w:eastAsia="Arial" w:hAnsi="Arial"/>
                <w:sz w:val="14"/>
                <w:szCs w:val="14"/>
                <w:b w:val="1"/>
                <w:bCs w:val="1"/>
                <w:color w:val="auto"/>
              </w:rPr>
              <w:t>Ended March 31,</w:t>
            </w:r>
          </w:p>
        </w:tc>
        <w:tc>
          <w:tcPr>
            <w:tcW w:w="9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2021 over</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29,294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31,143</w:t>
            </w:r>
          </w:p>
        </w:tc>
        <w:tc>
          <w:tcPr>
            <w:tcW w:w="26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Loss on settlement of convertible notes</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Other expense</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46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33,629</w:t>
            </w:r>
          </w:p>
        </w:tc>
        <w:tc>
          <w:tcPr>
            <w:tcW w:w="16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30,564</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Total other expense increased to $33.6 million for the three-month period ended March 31, 2021, as compared with $30.6 million for the prior-year period, primarily due to the loss on settlement of convertible notes, partially offset by a decrease in interest expense.</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expect our interest expense to decrease in the future as a result of the refinancing and the conversions and exchanges of 2022 Convertible Notes that have occurred to date and the maturity or earlier conversion of the remaining 2022 Convertible Notes. See Note 10, “Long-Term Debt and Other Liabilities” to our unaudited condensed consolidated financial statements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effective income tax rates for the three-month periods ended March 31, 2021 and 2020 were (0.6)% and (1.5)%, respectively. For the three-month periods ended March 31, 2021 and 2020, our income tax expense was not significant primarily due to the full valuation allowance against our net deferred tax assets.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37" w:name="page38"/>
    <w:bookmarkEnd w:id="37"/>
    <w:p>
      <w:pPr>
        <w:spacing w:after="0" w:line="254" w:lineRule="auto"/>
        <w:rPr>
          <w:sz w:val="20"/>
          <w:szCs w:val="20"/>
          <w:color w:val="auto"/>
        </w:rPr>
      </w:pPr>
      <w:r>
        <w:rPr>
          <w:rFonts w:ascii="Arial" w:cs="Arial" w:eastAsia="Arial" w:hAnsi="Arial"/>
          <w:sz w:val="18"/>
          <w:szCs w:val="18"/>
          <w:color w:val="auto"/>
        </w:rPr>
        <w:t>operational and unusual or non-recurring items. These supplemental performance measures may vary from and may not be comparable to similarly titled measures used by other companies. Adjusted EBITDA and Free Cash Flow are not recognized measurements under accounting principles generally accepted in the United States, or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loss attributable to common stock as a measure of operating results and (iii) use Free Cash Flow in addition to, and not as an alternative to, consolidated net cash provided by (used in) operating activities when evaluating our liquidity.</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u w:val="single" w:color="auto"/>
          <w:color w:val="auto"/>
        </w:rPr>
        <w:t>Adjusted EBITDA</w:t>
      </w:r>
      <w:r>
        <w:rPr>
          <w:rFonts w:ascii="Arial" w:cs="Arial" w:eastAsia="Arial" w:hAnsi="Arial"/>
          <w:sz w:val="18"/>
          <w:szCs w:val="18"/>
          <w:color w:val="auto"/>
        </w:rPr>
        <w:t xml:space="preserve"> represents EBITDA adjusted for (i) stock-based compensation expense included in the results of continuing operations, (ii) the results of discontinued operations, including stock-based compensation expense, (iii) loss on settlement of convertible notes and (iv) 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9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65"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170"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loss on settlement of convertible notes from Adjusted EBITDA because of the infrequently occurring nature of this activity.</w:t>
      </w:r>
    </w:p>
    <w:p>
      <w:pPr>
        <w:spacing w:after="0" w:line="170"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separation costs related to the sale of CA from Adjusted EBITDA because of the non-recurring nature of this activity.</w:t>
      </w:r>
    </w:p>
    <w:p>
      <w:pPr>
        <w:spacing w:after="0" w:line="170"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76" w:lineRule="exact"/>
        <w:rPr>
          <w:sz w:val="20"/>
          <w:szCs w:val="20"/>
          <w:color w:val="auto"/>
        </w:rPr>
      </w:pPr>
    </w:p>
    <w:p>
      <w:pPr>
        <w:ind w:right="360" w:firstLine="562"/>
        <w:spacing w:after="0" w:line="277"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operating activities, less purchases of property and equipment and the acquisition of intangible assets. We believe that Free Cash Flow provides meaningful information regarding our liquidity.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4"/>
          <w:szCs w:val="14"/>
          <w:b w:val="1"/>
          <w:bCs w:val="1"/>
          <w:color w:val="auto"/>
        </w:rPr>
        <w:t>Gogo Inc.</w:t>
      </w:r>
    </w:p>
    <w:p>
      <w:pPr>
        <w:jc w:val="center"/>
        <w:ind w:right="-99"/>
        <w:spacing w:after="0" w:line="226" w:lineRule="auto"/>
        <w:rPr>
          <w:sz w:val="20"/>
          <w:szCs w:val="20"/>
          <w:color w:val="auto"/>
        </w:rPr>
      </w:pPr>
      <w:r>
        <w:rPr>
          <w:rFonts w:ascii="Arial" w:cs="Arial" w:eastAsia="Arial" w:hAnsi="Arial"/>
          <w:sz w:val="14"/>
          <w:szCs w:val="14"/>
          <w:b w:val="1"/>
          <w:bCs w:val="1"/>
          <w:color w:val="auto"/>
        </w:rPr>
        <w:t>and Subsidiaries</w:t>
      </w:r>
    </w:p>
    <w:p>
      <w:pPr>
        <w:jc w:val="center"/>
        <w:ind w:right="-99"/>
        <w:spacing w:after="0" w:line="221" w:lineRule="auto"/>
        <w:rPr>
          <w:sz w:val="20"/>
          <w:szCs w:val="20"/>
          <w:color w:val="auto"/>
        </w:rPr>
      </w:pPr>
      <w:r>
        <w:rPr>
          <w:rFonts w:ascii="Arial" w:cs="Arial" w:eastAsia="Arial" w:hAnsi="Arial"/>
          <w:sz w:val="14"/>
          <w:szCs w:val="14"/>
          <w:b w:val="1"/>
          <w:bCs w:val="1"/>
          <w:color w:val="auto"/>
        </w:rPr>
        <w:t>Reconciliation of GAAP to Non-GAAP Measures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(in thousands, unaudited)</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83"/>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Net loss attributable to common stock (GAAP)</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(7,685)</w:t>
            </w:r>
          </w:p>
        </w:tc>
        <w:tc>
          <w:tcPr>
            <w:tcW w:w="660" w:type="dxa"/>
            <w:vAlign w:val="bottom"/>
            <w:gridSpan w:val="2"/>
          </w:tcPr>
          <w:p>
            <w:pPr>
              <w:jc w:val="right"/>
              <w:ind w:right="48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(84,778)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rPr>
              <w:t>Loss on settlement of convertible notes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Separation costs related to CA sale</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33,896</w:t>
            </w: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 xml:space="preserve">Net cash provided by operating activities (GAAP) </w:t>
            </w:r>
            <w:r>
              <w:rPr>
                <w:rFonts w:ascii="Arial" w:cs="Arial" w:eastAsia="Arial" w:hAnsi="Arial"/>
                <w:sz w:val="15"/>
                <w:szCs w:val="15"/>
                <w:i w:val="1"/>
                <w:iCs w:val="1"/>
                <w:color w:val="auto"/>
                <w:w w:val="99"/>
              </w:rPr>
              <w:t>(1)</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24,574</w:t>
            </w:r>
          </w:p>
        </w:tc>
        <w:tc>
          <w:tcPr>
            <w:tcW w:w="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460"/>
              <w:spacing w:after="0"/>
              <w:rPr>
                <w:sz w:val="20"/>
                <w:szCs w:val="20"/>
                <w:color w:val="auto"/>
              </w:rPr>
            </w:pPr>
            <w:r>
              <w:rPr>
                <w:rFonts w:ascii="Arial" w:cs="Arial" w:eastAsia="Arial" w:hAnsi="Arial"/>
                <w:sz w:val="18"/>
                <w:szCs w:val="18"/>
                <w:color w:val="auto"/>
              </w:rPr>
              <w:t xml:space="preserve">Consolidated capital expenditures </w:t>
            </w:r>
            <w:r>
              <w:rPr>
                <w:rFonts w:ascii="Arial" w:cs="Arial" w:eastAsia="Arial" w:hAnsi="Arial"/>
                <w:sz w:val="15"/>
                <w:szCs w:val="15"/>
                <w:i w:val="1"/>
                <w:iCs w:val="1"/>
                <w:color w:val="auto"/>
              </w:rPr>
              <w:t>(1)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See unaudited condensed consolidated statements of cashflows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Although EBITDA and Adjusted EBITDA are measurements frequently used by investors and securities analysts in their evaluations of companies, EBITDA and Adjusted EBITDA each have limitations as an analytical tool, and you should not consider them in isolation or as a substitute for, or more meaningful than, amounts determined in accordance with GAAP.</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the results of discontinued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the separation costs related to the sale of CA;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does not reflect the loss on settlement of convertible notes;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our cash balance for the period; and</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Continuing operations cash flow activity:</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24,574</w:t>
            </w:r>
          </w:p>
        </w:tc>
        <w:tc>
          <w:tcPr>
            <w:tcW w:w="200" w:type="dxa"/>
            <w:vAlign w:val="bottom"/>
          </w:tcPr>
          <w:p>
            <w:pPr>
              <w:spacing w:after="0"/>
              <w:rPr>
                <w:sz w:val="19"/>
                <w:szCs w:val="19"/>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 cash flow activity</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 on cash</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Cash, cash equivalents and restricted cash at the beginning of period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455,677</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219,390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455,677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Less: current restricted cash</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non-current restricted cash</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historically financed our growth and cash needs primarily through the issuance of common stock, non-convertible debt, senior convertible preferred stock, convertible debt, credit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Excluding the impact of our initial public offering, other debt and equity offerings and our prior credit facilities, to date we have not generated positive cash flows on a consolidated basis. However, based on our current plans, including the consummation of the Refinancing, we believe that our cash and cash equivalents and cash flows provided by operating activities will be sufficient to meet our operating obligations, including our committed capital expenditure requirements, for at least the next twelve months.</w:t>
      </w:r>
    </w:p>
    <w:p>
      <w:pPr>
        <w:spacing w:after="0" w:line="79"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68"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For additional information on the 2021 Credit Agreement, see Note 10, “Long-Term Debt and Other Liabilities,” to our unaudited condensed consolidated financial statements.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For the Three Months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Ended March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11,452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1700"/>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vMerge w:val="restart"/>
          </w:tcPr>
          <w:p>
            <w:pPr>
              <w:jc w:val="right"/>
              <w:ind w:right="125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right="120" w:firstLine="510"/>
        <w:spacing w:after="0" w:line="342" w:lineRule="auto"/>
        <w:rPr>
          <w:sz w:val="20"/>
          <w:szCs w:val="20"/>
          <w:color w:val="auto"/>
        </w:rPr>
      </w:pPr>
      <w:r>
        <w:rPr>
          <w:rFonts w:ascii="Arial" w:cs="Arial" w:eastAsia="Arial" w:hAnsi="Arial"/>
          <w:sz w:val="16"/>
          <w:szCs w:val="16"/>
          <w:color w:val="auto"/>
        </w:rPr>
        <w:t>For the three-month period ended March 31, 2021, net cash provided by operating activities was $24.6 million as compared with net cash provided by operating activities of $23.9 million in the prior-year period. The principal contributors to the year-over-year change in operating cash flows were:</w:t>
      </w:r>
    </w:p>
    <w:p>
      <w:pPr>
        <w:spacing w:after="0" w:line="16"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$4.2 million improvement in net loss and non-cash charges and credits, as noted above under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$3.5 million decrease in cash flows related to operating assets and liabilities resulting from:</w:t>
      </w:r>
    </w:p>
    <w:p>
      <w:pPr>
        <w:spacing w:after="0" w:line="117" w:lineRule="exact"/>
        <w:rPr>
          <w:rFonts w:ascii="Arial" w:cs="Arial" w:eastAsia="Arial" w:hAnsi="Arial"/>
          <w:sz w:val="18"/>
          <w:szCs w:val="18"/>
          <w:color w:val="auto"/>
        </w:rPr>
      </w:pPr>
    </w:p>
    <w:p>
      <w:pPr>
        <w:ind w:left="1020" w:right="76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decrease in cash flows due to changes in accounts payable and accrued liabilities primarily due to the timing of payments.</w:t>
      </w:r>
      <w:r>
        <w:rPr>
          <w:rFonts w:ascii="Courier New" w:cs="Courier New" w:eastAsia="Courier New" w:hAnsi="Courier New"/>
          <w:sz w:val="18"/>
          <w:szCs w:val="18"/>
          <w:color w:val="auto"/>
        </w:rPr>
        <w:t xml:space="preserve"> o </w:t>
      </w:r>
      <w:r>
        <w:rPr>
          <w:rFonts w:ascii="Arial" w:cs="Arial" w:eastAsia="Arial" w:hAnsi="Arial"/>
          <w:sz w:val="18"/>
          <w:szCs w:val="18"/>
          <w:color w:val="auto"/>
        </w:rPr>
        <w:t>Partially offset by an increase in cash flows due to the following:</w:t>
      </w:r>
    </w:p>
    <w:p>
      <w:pPr>
        <w:spacing w:after="0" w:line="94" w:lineRule="exact"/>
        <w:rPr>
          <w:rFonts w:ascii="Arial" w:cs="Arial" w:eastAsia="Arial" w:hAnsi="Arial"/>
          <w:sz w:val="18"/>
          <w:szCs w:val="18"/>
          <w:color w:val="auto"/>
        </w:rPr>
      </w:pPr>
    </w:p>
    <w:p>
      <w:pPr>
        <w:ind w:left="2240" w:hanging="369"/>
        <w:spacing w:after="0"/>
        <w:tabs>
          <w:tab w:leader="none" w:pos="2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prepaid expenses due to the timing of payments;</w:t>
      </w:r>
    </w:p>
    <w:p>
      <w:pPr>
        <w:spacing w:after="0" w:line="117" w:lineRule="exact"/>
        <w:rPr>
          <w:rFonts w:ascii="Arial" w:cs="Arial" w:eastAsia="Arial" w:hAnsi="Arial"/>
          <w:sz w:val="18"/>
          <w:szCs w:val="18"/>
          <w:color w:val="auto"/>
        </w:rPr>
      </w:pPr>
    </w:p>
    <w:p>
      <w:pPr>
        <w:ind w:left="2240" w:hanging="369"/>
        <w:spacing w:after="0"/>
        <w:tabs>
          <w:tab w:leader="none" w:pos="2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inventories primarily due to the timing of inventory purchases; and</w:t>
      </w:r>
    </w:p>
    <w:p>
      <w:pPr>
        <w:spacing w:after="0" w:line="117" w:lineRule="exact"/>
        <w:rPr>
          <w:rFonts w:ascii="Arial" w:cs="Arial" w:eastAsia="Arial" w:hAnsi="Arial"/>
          <w:sz w:val="18"/>
          <w:szCs w:val="18"/>
          <w:color w:val="auto"/>
        </w:rPr>
      </w:pPr>
    </w:p>
    <w:p>
      <w:pPr>
        <w:ind w:left="2240" w:right="100" w:hanging="369"/>
        <w:spacing w:after="0" w:line="277" w:lineRule="auto"/>
        <w:tabs>
          <w:tab w:leader="none" w:pos="2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accrued interest primarily due to additional debt outstanding resulting from the 2020 Additional Notes issued in November 2020.</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Cash used in investing activities is primarily for capital expenditures related to cell site construction, software development, and data center upgrades. See “— Capital Expenditures”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jc w:val="both"/>
        <w:ind w:right="360" w:firstLine="510"/>
        <w:spacing w:after="0" w:line="277" w:lineRule="auto"/>
        <w:rPr>
          <w:sz w:val="20"/>
          <w:szCs w:val="20"/>
          <w:color w:val="auto"/>
        </w:rPr>
      </w:pPr>
      <w:r>
        <w:rPr>
          <w:rFonts w:ascii="Arial" w:cs="Arial" w:eastAsia="Arial" w:hAnsi="Arial"/>
          <w:sz w:val="18"/>
          <w:szCs w:val="18"/>
          <w:color w:val="auto"/>
        </w:rPr>
        <w:t>Cash used in financing activities for the three-month period ended March 31, 2021 was $3.3 million primarily due to stock-based compensation activities.</w:t>
      </w:r>
    </w:p>
    <w:p>
      <w:pPr>
        <w:spacing w:after="0" w:line="62"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Cash provided by financing activities for the three month period ended March 31, 2020 was $19.1 million primarily due to the $22.0 million of proceeds from the ABL Credit Facility offset in part by the repayment on maturity of the outstanding $2.5 million in aggregate principal amount of the 2020 Convertible Notes on March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expenditures for the three month periods ended March 31, 2021 and 2020 were $0.7 million and $0.9 million, respectively.</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expect that our capital expenditures will vary in the future depending on the timing of network-related capital expenditures as we build out Gogo 5G and further invest in capitalized software.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12, “Leases,” to our unaudited condensed consolidated financial statements for additional information.</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41" w:name="page42"/>
    <w:bookmarkEnd w:id="41"/>
    <w:p>
      <w:pPr>
        <w:ind w:right="300" w:firstLine="510"/>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March 31, 2021 and December 31, 2020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166" w:lineRule="exact"/>
        <w:rPr>
          <w:sz w:val="20"/>
          <w:szCs w:val="20"/>
          <w:color w:val="auto"/>
        </w:rPr>
      </w:pPr>
    </w:p>
    <w:p>
      <w:pPr>
        <w:jc w:val="both"/>
        <w:ind w:right="420" w:firstLine="510"/>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5"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Our earnings are affected by changes in interest rates due to the impact those changes have on interest income generated from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and short-term investments. Our cash and cash equivalents as of both March 31, 2021 and December 31, 2020 included amounts in bank deposit accounts and money market funds. We believe we have minimal interest rate risk as a 10% decrease in the average interest rate on our portfolio would have reduced interest income for the three-month periods ended March 31, 2021 and 2020 by immaterial amounts.</w:t>
      </w:r>
    </w:p>
    <w:p>
      <w:pPr>
        <w:spacing w:after="0" w:line="15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March 31, 2021. Based upon this evaluation, our Chief Executive Officer and the Chief Financial Officer have concluded that our disclosure controls and procedures were effective as of March 31, 2021.</w:t>
      </w:r>
    </w:p>
    <w:p>
      <w:pPr>
        <w:spacing w:after="0" w:line="79"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42" w:name="page43"/>
    <w:bookmarkEnd w:id="42"/>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satellite-based</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certifications and development services. Such commitments will become payable as we receive the equipment or certifications, or as development services are provided.</w:t>
      </w:r>
    </w:p>
    <w:p>
      <w:pPr>
        <w:spacing w:after="0" w:line="176" w:lineRule="exact"/>
        <w:rPr>
          <w:sz w:val="20"/>
          <w:szCs w:val="20"/>
          <w:color w:val="auto"/>
        </w:rPr>
      </w:pPr>
    </w:p>
    <w:p>
      <w:pPr>
        <w:ind w:right="80" w:firstLine="510"/>
        <w:spacing w:after="0" w:line="261"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7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b w:val="1"/>
          <w:bCs w:val="1"/>
          <w:color w:val="auto"/>
        </w:rPr>
        <w:t xml:space="preserve">Linksmart Litigation </w:t>
      </w:r>
      <w:r>
        <w:rPr>
          <w:rFonts w:ascii="Arial" w:cs="Arial" w:eastAsia="Arial" w:hAnsi="Arial"/>
          <w:sz w:val="16"/>
          <w:szCs w:val="16"/>
          <w:color w:val="auto"/>
        </w:rPr>
        <w:t>- On April 20, 2018, Linksmart Wireless Technology, LLC filed suit against Gogo Inc., Gogo LLC, our former subsidiary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entity that operated our CA business (“Gogo LLC”), and eight CA airline partners in the U.S. District Court for the Central District of California alleging that CA’s redirection server and login portal infringe a patent owned by the plaintiff. The suits seek an unspecified amount of damages. Intelsat is required under its contracts with these airlines, which it assumed in the Transaction, to indemnify them for defense costs and any liabilities resulting from the suit. The Court has stayed the suits against the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against the asserted patent in the U.S. Patent and Trademark Office, the Court stayed the litigation against such other defendant, Gogo Inc. and Gogo LLC, but such stay was lifted in July 2019 when the U.S. Patent and Trademark Office determined that the petitioner had not met the standard of proof required to commence the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Since the stay was lifted, discovery has been completed and motion practice continues. No date has been set for trial.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plaintiff’s claims are without merit and intend to continue to defend them vigorously. The outcome of this litigation is inherently uncertain. No amounts have been accrued for any potential losses under this matter, as we cannot reasonably predict the outcome of the litigation or any potential losses.</w:t>
      </w:r>
    </w:p>
    <w:p>
      <w:pPr>
        <w:spacing w:after="0" w:line="163"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amendment complaint, which was granted by the Court. Plaintiffs proceeded to file the third amended complaint in July 2020 and we filed a motion to dismiss in September 2020. In April 2021, the Court denied our motion to dismiss.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0" w:lineRule="exact"/>
        <w:rPr>
          <w:sz w:val="20"/>
          <w:szCs w:val="20"/>
          <w:color w:val="auto"/>
        </w:rPr>
      </w:pPr>
    </w:p>
    <w:p>
      <w:pPr>
        <w:ind w:firstLine="510"/>
        <w:spacing w:after="0" w:line="258" w:lineRule="auto"/>
        <w:rPr>
          <w:sz w:val="20"/>
          <w:szCs w:val="20"/>
          <w:color w:val="auto"/>
        </w:rPr>
      </w:pPr>
      <w:r>
        <w:rPr>
          <w:rFonts w:ascii="Arial" w:cs="Arial" w:eastAsia="Arial" w:hAnsi="Arial"/>
          <w:sz w:val="18"/>
          <w:szCs w:val="18"/>
          <w:b w:val="1"/>
          <w:bCs w:val="1"/>
          <w:color w:val="auto"/>
        </w:rPr>
        <w:t xml:space="preserve">Derivative Litigation </w:t>
      </w:r>
      <w:r>
        <w:rPr>
          <w:rFonts w:ascii="Arial" w:cs="Arial" w:eastAsia="Arial" w:hAnsi="Arial"/>
          <w:sz w:val="18"/>
          <w:szCs w:val="18"/>
          <w:color w:val="auto"/>
        </w:rPr>
        <w:t>- On September 25, 2018 and September 26, 2018, two purported stockholders of the Company filed substantively identical</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ind w:right="20"/>
        <w:spacing w:after="0" w:line="255" w:lineRule="auto"/>
        <w:rPr>
          <w:sz w:val="20"/>
          <w:szCs w:val="20"/>
          <w:color w:val="auto"/>
        </w:rPr>
      </w:pPr>
      <w:r>
        <w:rPr>
          <w:rFonts w:ascii="Arial" w:cs="Arial" w:eastAsia="Arial" w:hAnsi="Arial"/>
          <w:sz w:val="18"/>
          <w:szCs w:val="18"/>
          <w:color w:val="auto"/>
        </w:rPr>
        <w:t>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two lawsuits were consolidated and were stayed pending a final disposition of the motion to dismiss in the class action suit. Since, as discussed above, the court in the class action suit denied the motion to dismiss, we expect the stay to be lifted and the litigation to resume.</w:t>
      </w:r>
    </w:p>
    <w:p>
      <w:pPr>
        <w:spacing w:after="0" w:line="84"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We believe that the claims are without merit and intend to defend them vigorously.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79" w:lineRule="exact"/>
        <w:rPr>
          <w:sz w:val="20"/>
          <w:szCs w:val="20"/>
          <w:color w:val="auto"/>
        </w:rPr>
      </w:pPr>
    </w:p>
    <w:p>
      <w:pPr>
        <w:jc w:val="both"/>
        <w:ind w:right="140" w:firstLine="374"/>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firstLine="374"/>
        <w:spacing w:after="0" w:line="263" w:lineRule="auto"/>
        <w:rPr>
          <w:sz w:val="20"/>
          <w:szCs w:val="20"/>
          <w:color w:val="auto"/>
        </w:rPr>
      </w:pPr>
      <w:r>
        <w:rPr>
          <w:rFonts w:ascii="Arial" w:cs="Arial" w:eastAsia="Arial" w:hAnsi="Arial"/>
          <w:sz w:val="18"/>
          <w:szCs w:val="18"/>
          <w:color w:val="auto"/>
        </w:rPr>
        <w:t>“Item 1A. Risk Factors” of our Form 10-K includes a discussion of our risk factors. The information presented below updates, and should be read in conjunction with, the risk factors and information disclosed in our 2020 10-K. Except as set forth below, there have been no material changes to the risk factors previously disclosed in our 2020 10-K.</w:t>
      </w:r>
    </w:p>
    <w:p>
      <w:pPr>
        <w:spacing w:after="0" w:line="76" w:lineRule="exact"/>
        <w:rPr>
          <w:sz w:val="20"/>
          <w:szCs w:val="20"/>
          <w:color w:val="auto"/>
        </w:rPr>
      </w:pPr>
    </w:p>
    <w:p>
      <w:pPr>
        <w:ind w:right="540" w:firstLine="374"/>
        <w:spacing w:after="0" w:line="277"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have had, and may continue to have, a material adverse effect on our business.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On March 13, 2020, the U.S. government declared a national emergency and on March 19, 2020, the U.S. Department of State issued a global Level 4 “do not travel” advisory advising U.S. citizens to avoid all international travel due to the global impact of COVID-19. The U.S. government has also implemented enhanced screenings, mandatory quarantine requirements and other travel restrictions in connection with the COVID-19 pandemic, including restrictions on travel from Asia, Europe, Mexico and Canada, and many foreign and U.S. state governments have instituted similar measures (including travel restrictions to and within the European Union) and declared states of emergency. At various points, most states and U.S. territories have issued instructions for their residents to stay home or “shelter in place” and to avoid any non-essential travel for varied durations of time and may lift, have lifted or will be lifting or easing these instructions at varied times, often with certain restrictions still in place. In addition, depending on the results of any easing or lifting of instructions and other restrictions, federal, state or local governments or authorities may determine to reinstate, enhance or enforce the same or other instructions or restrictions in the future. Governments, non-governmental organizations and entities in the private sector have also issued and may continue to issue non-binding advisories or recommendations regarding air travel or other social distancing measures, including limitations on the number of persons that should be present at public gatherings.</w:t>
      </w:r>
    </w:p>
    <w:p>
      <w:pPr>
        <w:spacing w:after="0" w:line="60"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 increase in downgrades to pay-as-you-go plans, and a decrease in new plan activations. Though we continue to see strong signs of recovery from the lows we experienced in mid-April 2020, there can be no assurance that such recovery will continue at the current pace. The impact of the pandemic has varied across different parts of our customer base – for example corporate flight departments, charter operators and commercial aircraft (under the ATG Network Sharing Agreement) – and we expect the pace of recovery to vary by type of customer. The negative impact of COVID-19 on demand for commercial air travel could have an adverse effect on the revenue share payable to us by Intelsat under the ATG Network Sharing Agreement.</w:t>
      </w:r>
    </w:p>
    <w:p>
      <w:pPr>
        <w:spacing w:after="0" w:line="58"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We expect COVID-19 to continue to negatively impact our business and we are unable to predict how long or with what degree of severity that impact will continue. The extent of the impact of COVID-19 on our financial and operational performance will depend on future developments, including the duration, spread and severity of the outbreak, the timetable for administering and efficacy of vaccines, the duration and geographic scope of related travel advisories and restrictions and the extent of the impact of COVID-19 on overall demand for commercial and business aviation travel, all of which are highly uncertain and cannot be predicted.</w:t>
      </w:r>
    </w:p>
    <w:p>
      <w:pPr>
        <w:spacing w:after="0" w:line="80"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170" w:lineRule="exact"/>
        <w:rPr>
          <w:sz w:val="20"/>
          <w:szCs w:val="20"/>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100" w:firstLine="510"/>
        <w:spacing w:after="0" w:line="273" w:lineRule="auto"/>
        <w:rPr>
          <w:sz w:val="20"/>
          <w:szCs w:val="20"/>
          <w:color w:val="auto"/>
        </w:rPr>
      </w:pPr>
      <w:r>
        <w:rPr>
          <w:rFonts w:ascii="Arial" w:cs="Arial" w:eastAsia="Arial" w:hAnsi="Arial"/>
          <w:sz w:val="17"/>
          <w:szCs w:val="17"/>
          <w:color w:val="auto"/>
        </w:rPr>
        <w:t>In addition, COVID-19 could have an adverse effect on our supply chain. Many manufacturers of electronic components reduced their capacity in response to the reduced demand that accompanied the pandemic. While manufacturers have begun to increase manufacturing capacity as demand recovers from the impact of COVID, demand has exceeded supply in certain areas, and shortages of electronic components have occurred. We have experienced longer lead times and encountered delays in obtaining electronic components used in the airborne equipment that we manufacture. While we believe that we have adequate inventory or will be able to acquire sufficient electronic components to meet customer demand as currently forecasted, a continued shortage of electronic components could cause product delays or shortages.</w:t>
      </w:r>
    </w:p>
    <w:p>
      <w:pPr>
        <w:spacing w:after="0" w:line="70"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w:t>
      </w:r>
      <w:r>
        <w:rPr>
          <w:rFonts w:ascii="Arial" w:cs="Arial" w:eastAsia="Arial" w:hAnsi="Arial"/>
          <w:sz w:val="18"/>
          <w:szCs w:val="18"/>
          <w:color w:val="212529"/>
        </w:rPr>
        <w:t>.</w:t>
      </w:r>
      <w:r>
        <w:rPr>
          <w:rFonts w:ascii="Arial" w:cs="Arial" w:eastAsia="Arial" w:hAnsi="Arial"/>
          <w:sz w:val="18"/>
          <w:szCs w:val="18"/>
          <w:color w:val="auto"/>
        </w:rPr>
        <w:t xml:space="preserve"> The full extent of the ongoing impact of COVID-19 on our longer-term operational and financial performance will depend on future developments, many of which are outside of our control.</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Gogo 5G or other next generation technologies.</w:t>
      </w:r>
    </w:p>
    <w:p>
      <w:pPr>
        <w:spacing w:after="0" w:line="117"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We are currently developing a next generation ATG network using 5G technology and unlicensed spectrum which we intend to deploy on a nationwide basis in 2022. Gogo 5G will be capable of working with different spectrums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w:t>
      </w:r>
    </w:p>
    <w:p>
      <w:pPr>
        <w:spacing w:after="0" w:line="4" w:lineRule="exact"/>
        <w:rPr>
          <w:sz w:val="20"/>
          <w:szCs w:val="20"/>
          <w:color w:val="auto"/>
        </w:rPr>
      </w:pPr>
    </w:p>
    <w:p>
      <w:pPr>
        <w:ind w:firstLine="8"/>
        <w:spacing w:after="0" w:line="267" w:lineRule="auto"/>
        <w:tabs>
          <w:tab w:leader="none" w:pos="3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As disclosed above in this Item 1A under the caption “—</w:t>
      </w:r>
      <w:r>
        <w:rPr>
          <w:rFonts w:ascii="Arial" w:cs="Arial" w:eastAsia="Arial" w:hAnsi="Arial"/>
          <w:sz w:val="17"/>
          <w:szCs w:val="17"/>
          <w:b w:val="1"/>
          <w:bCs w:val="1"/>
          <w:i w:val="1"/>
          <w:iCs w:val="1"/>
          <w:color w:val="auto"/>
        </w:rPr>
        <w:t>The COVID-19 pandemic and 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measures implemented to combat it have had, and may continue to have, a material adverse effect on our business,</w:t>
      </w:r>
      <w:r>
        <w:rPr>
          <w:rFonts w:ascii="Arial" w:cs="Arial" w:eastAsia="Arial" w:hAnsi="Arial"/>
          <w:sz w:val="17"/>
          <w:szCs w:val="17"/>
          <w:color w:val="auto"/>
        </w:rPr>
        <w:t>” manufacturing capacity is lagging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behind demand as the economy recovers from COVID-19, and we have experienced longer lead times and encountered delays in obtaining certain electronic components used in our business. A supplier of a Gogo 5G component has identified a manufacturing issue with respect to such component which has necessitated manufacturing process revisions and additional testing which is scheduled to occur in May 2021. We believe that we can accommodate the supplier’s current expectations for the delivery date for this component without affecting our service launch, but the resulting compression in our schedule could limit our ability to preserve the current schedule should other significant issues arise. If Gogo 5G or any other next generation technology fails to perform as expected or its commercial availability is significantly delayed as compared to the timelines we establish, our business, financial condition and results of operations may be materially adversely affected.</w:t>
      </w:r>
    </w:p>
    <w:p>
      <w:pPr>
        <w:spacing w:after="0" w:line="184"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76" w:lineRule="exact"/>
        <w:rPr>
          <w:sz w:val="20"/>
          <w:szCs w:val="20"/>
          <w:color w:val="auto"/>
        </w:rPr>
      </w:pPr>
    </w:p>
    <w:p>
      <w:pPr>
        <w:ind w:right="140" w:firstLine="374"/>
        <w:spacing w:after="0" w:line="301" w:lineRule="auto"/>
        <w:rPr>
          <w:sz w:val="20"/>
          <w:szCs w:val="20"/>
          <w:color w:val="auto"/>
        </w:rPr>
      </w:pPr>
      <w:r>
        <w:rPr>
          <w:rFonts w:ascii="Arial" w:cs="Arial" w:eastAsia="Arial" w:hAnsi="Arial"/>
          <w:sz w:val="16"/>
          <w:szCs w:val="16"/>
          <w:color w:val="auto"/>
        </w:rPr>
        <w:t>As of March 31, 2021, we had total consolidated indebtedness of approximately $1.2 billion, including $975.0 million outstanding of our 9.875% senior secured notes due 2024 (the “2024 Senior Secured Notes”), and $208.5 million outstanding of the 2022 Convertible Notes. As of May 1, 2021, following the Refinancing and our entry into the Facilities, we had total consolidated indebtedness of approximately $828 million, including $725 million outstanding under the Term Loan Facility and $103 million aggregate principal amount outstanding of our 2022 Convertible Notes.</w:t>
      </w:r>
    </w:p>
    <w:p>
      <w:pPr>
        <w:spacing w:after="0" w:line="49"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We and our subsidiaries may incur additional debt in the future, including up to $100.0 million, under the Revolving Facility, which could increase the risks described below and lead to other risks. The amount of our debt or such other obligations could have important consequences for holders of our common stock, including, but not limited to:</w:t>
      </w:r>
    </w:p>
    <w:p>
      <w:pPr>
        <w:spacing w:after="0" w:line="76" w:lineRule="exact"/>
        <w:rPr>
          <w:sz w:val="20"/>
          <w:szCs w:val="20"/>
          <w:color w:val="auto"/>
        </w:rPr>
      </w:pPr>
    </w:p>
    <w:p>
      <w:pPr>
        <w:ind w:left="440" w:right="580" w:hanging="247"/>
        <w:spacing w:after="0" w:line="258"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must be dedicated to the payment of principal and interest on our indebtedness, thereby reducing the funds available to us for other purposes;</w:t>
      </w:r>
    </w:p>
    <w:p>
      <w:pPr>
        <w:spacing w:after="0" w:line="1" w:lineRule="exact"/>
        <w:rPr>
          <w:rFonts w:ascii="Arial" w:cs="Arial" w:eastAsia="Arial" w:hAnsi="Arial"/>
          <w:sz w:val="18"/>
          <w:szCs w:val="18"/>
          <w:color w:val="auto"/>
        </w:rPr>
      </w:pPr>
    </w:p>
    <w:p>
      <w:pPr>
        <w:ind w:left="440" w:right="520" w:hanging="247"/>
        <w:spacing w:after="0" w:line="265"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obtain additional financing for working capital, capital expenditures, acquisitions, debt service requirements or general corporate purposes is limited, and our ability to satisfy our obligations with respect to our indebtedness may be impaired in the future;</w:t>
      </w:r>
    </w:p>
    <w:p>
      <w:pPr>
        <w:ind w:left="440" w:right="600" w:hanging="247"/>
        <w:spacing w:after="0" w:line="250"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ind w:left="440" w:hanging="247"/>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spacing w:after="0" w:line="9" w:lineRule="exact"/>
        <w:rPr>
          <w:rFonts w:ascii="Arial" w:cs="Arial" w:eastAsia="Arial" w:hAnsi="Arial"/>
          <w:sz w:val="18"/>
          <w:szCs w:val="18"/>
          <w:color w:val="auto"/>
        </w:rPr>
      </w:pPr>
    </w:p>
    <w:p>
      <w:pPr>
        <w:ind w:left="440" w:hanging="247"/>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engage in acquisitions without raising additional equity or obtaining additional debt financing may be impaired in the future;</w:t>
      </w:r>
    </w:p>
    <w:p>
      <w:pPr>
        <w:spacing w:after="0" w:line="9" w:lineRule="exact"/>
        <w:rPr>
          <w:rFonts w:ascii="Arial" w:cs="Arial" w:eastAsia="Arial" w:hAnsi="Arial"/>
          <w:sz w:val="18"/>
          <w:szCs w:val="18"/>
          <w:color w:val="auto"/>
        </w:rPr>
      </w:pPr>
    </w:p>
    <w:p>
      <w:pPr>
        <w:ind w:left="440" w:hanging="247"/>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it may be more difficult for us to satisfy our obligations to our creditors, resulting in possible defaults on and acceleration of such indebtedness;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ind w:left="440" w:hanging="247"/>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spacing w:after="0" w:line="23" w:lineRule="exact"/>
        <w:rPr>
          <w:rFonts w:ascii="Arial" w:cs="Arial" w:eastAsia="Arial" w:hAnsi="Arial"/>
          <w:sz w:val="18"/>
          <w:szCs w:val="18"/>
          <w:color w:val="auto"/>
        </w:rPr>
      </w:pPr>
    </w:p>
    <w:p>
      <w:pPr>
        <w:ind w:left="440" w:right="520" w:hanging="247"/>
        <w:spacing w:after="0" w:line="255"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growth strategy and efforts to improve operating margins of our business units.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We may have future capital needs and may not be able to obtain additional financing to fund our capital needs on acceptable terms, or at all.</w:t>
      </w:r>
    </w:p>
    <w:p>
      <w:pPr>
        <w:spacing w:after="0" w:line="140"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We have from time to time evaluated, and we continue to evaluate, our potential capital needs in light of increasing demand for our services, limitations on bandwidth capacity and performance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Since our IPO, we have obtained debt financing through our entry into our previous credit facilities, issuances of convertible notes and issuances of senior secured notes. In addition, our ability to generate positive cash flows from operating activities and the extent and timing of certain capital and other necessary expenditures are subject to numerous variables, such as costs related to execution of our current technology roadmap, including continuing development and deployment of Gogo 5G and other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 may be insufficient to satisfy our financial obligations under the indenture governing the 2022 Convertible Notes, the Facilities and other indebtedness outstanding from time to time.</w:t>
      </w:r>
    </w:p>
    <w:p>
      <w:pPr>
        <w:spacing w:after="0" w:line="60"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Our ability to obtain additional financing for working capital, capital expenditures, acquisitions, debt service requirements or general corporate purposes is limited by the 2021 Credit Agreement. In the future, if our subsidiaries are in compliance with certain incurrence ratios or other covenant exceptions set forth in the 2021 Credit Agreement, our subsidiaries may be able to incur additional indebtedness, which indebtedness may be secured or unsecured, the incurrence of which may increase the risks created by our current substantial indebtedness. Events beyond our control can affect our ability to comply with these requirements. The 2021 Credit Agreement also limits the ability of Gogo Inc. to incur additional indebtedness under certain circumstances and limits the amount of cash that our subsidiaries may dividend, transfer or otherwise distribute to us.</w:t>
      </w:r>
    </w:p>
    <w:p>
      <w:pPr>
        <w:spacing w:after="0" w:line="70"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 obtain additional financing, we may be required to use the proceeds from any such financing to repay a portion of our outstanding debt.</w:t>
      </w:r>
    </w:p>
    <w:p>
      <w:pPr>
        <w:spacing w:after="0" w:line="84"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If we raise additional funds or seek to reduce our current levels of indebtedness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substantial debt.</w:t>
      </w:r>
    </w:p>
    <w:p>
      <w:pPr>
        <w:spacing w:after="0" w:line="152" w:lineRule="exact"/>
        <w:rPr>
          <w:sz w:val="20"/>
          <w:szCs w:val="20"/>
          <w:color w:val="auto"/>
        </w:rPr>
      </w:pPr>
    </w:p>
    <w:p>
      <w:pPr>
        <w:ind w:right="100" w:firstLine="374"/>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indebtedness or future indebtedness will depend on the capital markets and our financial condition at such time. We may not be able to engage in any of these activities on desirable terms or at all, and such alternative measures may not be successful and may not permit us to meet our scheduled debt service obligations, which could result in a default on existing indebtedness or future indebtedness.</w:t>
      </w:r>
    </w:p>
    <w:p>
      <w:pPr>
        <w:spacing w:after="0" w:line="5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We cannot make assurances that we will be able to refinance any of our indebtedness or obtain additional financing, particularly because of our high levels of debt and the debt incurrence restrictions imposed by the agreements and instruments governing our debt. In the absence of such sources of capital, we could face substantial liquidity problems and might be required to dispose of material assets or operations to meet our debt service and other obligations. The 2021 Credit Agreement restricts our ability to dispose of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and how we use the proceeds from any such dispositions.</w:t>
      </w:r>
    </w:p>
    <w:p>
      <w:pPr>
        <w:spacing w:after="0" w:line="225"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significantly impact our ability to operate our business.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2021 Credit Agreement contains covenants that, among other things, limit the ability of our subsidiaries and, in certain circumstances, us to:</w:t>
      </w:r>
    </w:p>
    <w:p>
      <w:pPr>
        <w:spacing w:after="0" w:line="129" w:lineRule="exact"/>
        <w:rPr>
          <w:sz w:val="20"/>
          <w:szCs w:val="20"/>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redeem stock or make other distributions;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merge or consolidate with other companies;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00" w:lineRule="exact"/>
        <w:rPr>
          <w:sz w:val="20"/>
          <w:szCs w:val="20"/>
          <w:color w:val="auto"/>
        </w:rPr>
      </w:pPr>
    </w:p>
    <w:p>
      <w:pPr>
        <w:spacing w:after="0" w:line="349"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Our ability to comply with the covenants and restrictions contained in the 2021 Credit Agreement may be affected by economic, financial and industry 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 increase in interest rates would increase the cost of servicing our indebtedness and could reduce our profitability.</w:t>
      </w:r>
    </w:p>
    <w:p>
      <w:pPr>
        <w:spacing w:after="0" w:line="117" w:lineRule="exact"/>
        <w:rPr>
          <w:sz w:val="20"/>
          <w:szCs w:val="20"/>
          <w:color w:val="auto"/>
        </w:rPr>
      </w:pPr>
    </w:p>
    <w:p>
      <w:pPr>
        <w:ind w:right="160" w:firstLine="374"/>
        <w:spacing w:after="0" w:line="342" w:lineRule="auto"/>
        <w:rPr>
          <w:sz w:val="20"/>
          <w:szCs w:val="20"/>
          <w:color w:val="auto"/>
        </w:rPr>
      </w:pPr>
      <w:r>
        <w:rPr>
          <w:rFonts w:ascii="Arial" w:cs="Arial" w:eastAsia="Arial" w:hAnsi="Arial"/>
          <w:sz w:val="16"/>
          <w:szCs w:val="16"/>
          <w:color w:val="auto"/>
        </w:rPr>
        <w:t>Our debt outstanding under the Term Loan Facility bears interest, and any indebtedness under our Revolving Facility would bear interest, at variable rates. As a result, increases in interest rates would increase the cost of servicing our debt and could materially reduce our profitability and cash flows.</w:t>
      </w:r>
    </w:p>
    <w:p>
      <w:pPr>
        <w:spacing w:after="0" w:line="16" w:lineRule="exact"/>
        <w:rPr>
          <w:sz w:val="20"/>
          <w:szCs w:val="20"/>
          <w:color w:val="auto"/>
        </w:rPr>
      </w:pPr>
    </w:p>
    <w:p>
      <w:pPr>
        <w:ind w:right="120" w:firstLine="374"/>
        <w:spacing w:after="0" w:line="287" w:lineRule="auto"/>
        <w:rPr>
          <w:sz w:val="20"/>
          <w:szCs w:val="20"/>
          <w:color w:val="auto"/>
        </w:rPr>
      </w:pPr>
      <w:r>
        <w:rPr>
          <w:rFonts w:ascii="Arial" w:cs="Arial" w:eastAsia="Arial" w:hAnsi="Arial"/>
          <w:sz w:val="16"/>
          <w:szCs w:val="16"/>
          <w:color w:val="auto"/>
        </w:rPr>
        <w:t>Any indebtedness under our 2021 Credit Agreement may bear interest at rates that use the London inter-bank offered rate (“LIBOR”). The upcoming cessation of the availability of LIBOR may adversely affect our business, financial position, results of operations and cash flows. On July 27, 2017, the United Kingdom's Financial Conduct Authority (the “FCA”), which regulates LIBOR, announced that it intends to stop encouraging or compelling banks to submit LIBOR quotations after 2021 (the “FCA Announcement”). The FCA Announcement indicates that the continuation of LIBOR on the current basis is not guaranteed after 2021 and, based on the foregoing, it appears likely that LIBOR will be discontinued or modified before the end of 2021. On March 5, 2021, the ICE Benchmark Administration, which administers LIBOR, and FCA announced that all LIBOR settings will either cease to be provided by any administrator, or no longer be representative immediately after December 31, 2021, for all non-U.S. dollar LIBOR settings and one-week and two-month U.S. dollar LIBOR settings, and immediately after June 30, 2023 for the remaining U.S. dollar LIBOR settings (the “LIBOR Announcement”). It is not possible to predict the effect that the LIBOR Announcement, the discontinuation of LIBOR or the establishment of alternative reference rates may have on LIBOR, but financial products with interest rates tied to LIBOR may be adversely affected. Once LIBOR ceases to be published, it is uncertain whether it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168"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b w:val="1"/>
          <w:bCs w:val="1"/>
          <w:i w:val="1"/>
          <w:iCs w:val="1"/>
          <w:color w:val="auto"/>
        </w:rPr>
        <w:t>Indebtedness under the Facilities is secured by substantially all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79"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Indebtedness under the Facilities is secured by a lien on substantially all of our assets. Accordingly, if an event of default were to occur under the 2021 Credit Agreement, to the extent amounts were outstanding under the Facilities, the lenders party to the 2021 Credit Agreement would have a prior right to our assets, to the exclusion of our general creditors in the event of our bankruptcy, insolvency, liquidation, or reorganization. In that event, our assets would first be used to repay in full all indebtedness and other obligations under the indenture governing the 2021 Credit Agreement, resulting in all or a portion of our assets being unavailable to satisfy the claims of our unsecured indebtedness. Only after satisfying the claims of our unsecured creditors and our subsidiaries’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right="360"/>
        <w:spacing w:after="0" w:line="311" w:lineRule="auto"/>
        <w:rPr>
          <w:sz w:val="20"/>
          <w:szCs w:val="20"/>
          <w:color w:val="auto"/>
        </w:rPr>
      </w:pPr>
      <w:r>
        <w:rPr>
          <w:rFonts w:ascii="Arial" w:cs="Arial" w:eastAsia="Arial" w:hAnsi="Arial"/>
          <w:sz w:val="16"/>
          <w:szCs w:val="16"/>
          <w:color w:val="auto"/>
        </w:rPr>
        <w:t>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149" w:lineRule="exact"/>
        <w:rPr>
          <w:sz w:val="20"/>
          <w:szCs w:val="20"/>
          <w:color w:val="auto"/>
        </w:rPr>
      </w:pPr>
    </w:p>
    <w:p>
      <w:pPr>
        <w:ind w:right="280" w:firstLine="374"/>
        <w:spacing w:after="0" w:line="308" w:lineRule="auto"/>
        <w:rPr>
          <w:sz w:val="20"/>
          <w:szCs w:val="20"/>
          <w:color w:val="auto"/>
        </w:rPr>
      </w:pPr>
      <w:r>
        <w:rPr>
          <w:rFonts w:ascii="Arial" w:cs="Arial" w:eastAsia="Arial" w:hAnsi="Arial"/>
          <w:sz w:val="17"/>
          <w:szCs w:val="17"/>
          <w:b w:val="1"/>
          <w:bCs w:val="1"/>
          <w:i w:val="1"/>
          <w:iCs w:val="1"/>
          <w:color w:val="auto"/>
        </w:rPr>
        <w:t>We may not have sufficient cash flow or the ability to raise the funds necessary to settle conversions of the 2022 Convertible Notes, to repay the 2022 Convertible Notes at maturity or to purchase the 2022 Convertible Notes upon a fundamental change.</w:t>
      </w:r>
    </w:p>
    <w:p>
      <w:pPr>
        <w:spacing w:after="0" w:line="38" w:lineRule="exact"/>
        <w:rPr>
          <w:sz w:val="20"/>
          <w:szCs w:val="20"/>
          <w:color w:val="auto"/>
        </w:rPr>
      </w:pPr>
    </w:p>
    <w:p>
      <w:pPr>
        <w:ind w:right="60" w:firstLine="374"/>
        <w:spacing w:after="0" w:line="268" w:lineRule="auto"/>
        <w:rPr>
          <w:sz w:val="20"/>
          <w:szCs w:val="20"/>
          <w:color w:val="auto"/>
        </w:rPr>
      </w:pPr>
      <w:r>
        <w:rPr>
          <w:rFonts w:ascii="Arial" w:cs="Arial" w:eastAsia="Arial" w:hAnsi="Arial"/>
          <w:sz w:val="17"/>
          <w:szCs w:val="17"/>
          <w:color w:val="auto"/>
        </w:rPr>
        <w:t>Holders of the 2022 Convertible Notes will have the right to require us to purchase their 2022 Convertible Notes upon the occurrence of a fundamental change at a purchase price equal to 100% of the principal amount of the 2022 Convertible Notes to be purchased, plus accrued and unpaid interest, if any, to, but not including, the fundamental change purchase date. In addition, in the event the conditional conversion feature of the 2022 Convertible Notes remains triggered, holders of the 2022 Convertible Notes are entitled to convert the 2022 Convertible Notes at any time during specified periods at their option. The 2022 Convertible Notes became eligible for conversion at the election of holders on October 1, 2020 and are currently convertible until at least June 30, 2021. Upon conversion of the 2022 Convertible Notes, we will be required to make cash payments in respect of the 2022 Convertible Notes being converted, unless we elect to deliver solely shares of our common stock to settle such conversion (other than cash in lieu of any fractional share). Moreover, we will be required to repay the 2022 Convertible Notes in cash on May 15, 2022, their maturity date, unless earlier converted or repurchased. We may not have enough available cash or be able to obtain financing at the time we are required to make purchases of 2022 Convertible Notes surrendered therefor or repay the 2022 Convertible Notes at maturity or upon 2022 Convertible Notes being converted. While we have reserved a portion of the net proceeds from the issuance of the 2022 Convertible Notes to fund a portion of future interest payments on the 2022 Convertible Notes, the amount of such funds, together with funds up-streamed from subsidiaries and from other potential sources of liquidity (if any) may not be adequate to fund any future liquidity shortfall. See “—</w:t>
      </w:r>
      <w:r>
        <w:rPr>
          <w:rFonts w:ascii="Arial" w:cs="Arial" w:eastAsia="Arial" w:hAnsi="Arial"/>
          <w:sz w:val="17"/>
          <w:szCs w:val="17"/>
          <w:i w:val="1"/>
          <w:iCs w:val="1"/>
          <w:color w:val="auto"/>
        </w:rPr>
        <w:t>We may have future capital needs and may not be able to obtain additional financing to fund our capital needs</w:t>
      </w:r>
      <w:r>
        <w:rPr>
          <w:rFonts w:ascii="Arial" w:cs="Arial" w:eastAsia="Arial" w:hAnsi="Arial"/>
          <w:sz w:val="17"/>
          <w:szCs w:val="17"/>
          <w:color w:val="auto"/>
        </w:rPr>
        <w:t xml:space="preserve"> </w:t>
      </w:r>
      <w:r>
        <w:rPr>
          <w:rFonts w:ascii="Arial" w:cs="Arial" w:eastAsia="Arial" w:hAnsi="Arial"/>
          <w:sz w:val="17"/>
          <w:szCs w:val="17"/>
          <w:i w:val="1"/>
          <w:iCs w:val="1"/>
          <w:color w:val="auto"/>
        </w:rPr>
        <w:t>on acceptable terms, or at all</w:t>
      </w:r>
      <w:r>
        <w:rPr>
          <w:rFonts w:ascii="Arial" w:cs="Arial" w:eastAsia="Arial" w:hAnsi="Arial"/>
          <w:sz w:val="17"/>
          <w:szCs w:val="17"/>
          <w:color w:val="auto"/>
        </w:rPr>
        <w:t>.”</w:t>
      </w:r>
    </w:p>
    <w:p>
      <w:pPr>
        <w:spacing w:after="0" w:line="76"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Our failure to purchase 2022 Convertible Notes as required by the indenture governing the 2022 Convertible Notes or to pay cash payable upon future conversions of the 2022 Convertible Notes as required by the indenture governing the 2022 Convertible Notes would constitute a default under the indenture governing the 2022 Convertible Notes. A default under the indenture governing the 2022 Convertible Notes or the fundamental change itself could also lead to a default under the agreements and instruments governing our other indebtedness and the acceleration of amounts outstanding thereunder, including the 2021 Credit Agreement. If the repayment of the related indebtedness were to be accelerated after any applicable notice or grace periods, we may not have sufficient funds to repay the indebtedness and purchase the 2022 Convertible Notes or make cash payments upon conversions thereof. A default under the indenture governing the 2022 Convertible Notes may have a material adverse effect on our financial condition and results of operations and could cause us to become bankrupt or otherwise insolvent.</w:t>
      </w:r>
    </w:p>
    <w:p>
      <w:pPr>
        <w:spacing w:after="0" w:line="178"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62"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Our Term Loan has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of Unregistered Securities</w:t>
      </w:r>
    </w:p>
    <w:p>
      <w:pPr>
        <w:spacing w:after="0" w:line="117" w:lineRule="exact"/>
        <w:rPr>
          <w:sz w:val="20"/>
          <w:szCs w:val="20"/>
          <w:color w:val="auto"/>
        </w:rPr>
      </w:pPr>
    </w:p>
    <w:p>
      <w:pPr>
        <w:jc w:val="both"/>
        <w:ind w:left="760" w:firstLine="349"/>
        <w:spacing w:after="0" w:line="263" w:lineRule="auto"/>
        <w:rPr>
          <w:sz w:val="20"/>
          <w:szCs w:val="20"/>
          <w:color w:val="auto"/>
        </w:rPr>
      </w:pPr>
      <w:r>
        <w:rPr>
          <w:rFonts w:ascii="Arial" w:cs="Arial" w:eastAsia="Arial" w:hAnsi="Arial"/>
          <w:sz w:val="18"/>
          <w:szCs w:val="18"/>
          <w:color w:val="auto"/>
        </w:rPr>
        <w:t>The information disclosed in Item 3.02 of the Company’s Form 8-K filed on March 18, 2021 (File Number 001-35975), Form 8-K/A filed on March 23, 2021 (File Number 001-35975) and Form 8-K filed on April 13, 2021 (File Number 001-35975) is incorporated by reference herein.</w:t>
      </w:r>
    </w:p>
    <w:p>
      <w:pPr>
        <w:spacing w:after="0" w:line="76"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2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960" w:type="dxa"/>
            <w:vAlign w:val="bottom"/>
          </w:tcPr>
          <w:p>
            <w:pPr>
              <w:jc w:val="center"/>
              <w:ind w:left="92"/>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bottom w:val="single" w:sz="8" w:color="auto"/>
            </w:tcBorders>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tcBorders>
              <w:bottom w:val="single" w:sz="8" w:color="0000EE"/>
            </w:tcBorders>
            <w:gridSpan w:val="10"/>
          </w:tcPr>
          <w:p>
            <w:pPr>
              <w:ind w:left="20"/>
              <w:spacing w:after="0"/>
              <w:rPr>
                <w:rFonts w:ascii="Arial" w:cs="Arial" w:eastAsia="Arial" w:hAnsi="Arial"/>
                <w:sz w:val="18"/>
                <w:szCs w:val="18"/>
                <w:color w:val="0000EE"/>
                <w:w w:val="92"/>
              </w:rPr>
            </w:pPr>
            <w:hyperlink r:id="rId67">
              <w:r>
                <w:rPr>
                  <w:rFonts w:ascii="Arial" w:cs="Arial" w:eastAsia="Arial" w:hAnsi="Arial"/>
                  <w:sz w:val="18"/>
                  <w:szCs w:val="18"/>
                  <w:color w:val="0000EE"/>
                  <w:w w:val="92"/>
                </w:rPr>
                <w:t>Registration Rights Agreement, dated as of April 9, 2021, by and among Gogo Inc., Silver (XII) Holdings, LLC and Silver (Equity)</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Holdings, LP (incorporated by reference to Exhibit 10.2 to Form 8-K filed on April 14, 2021 (File Number 001-35975))</w:t>
              </w:r>
            </w:hyperlink>
          </w:p>
        </w:tc>
        <w:tc>
          <w:tcPr>
            <w:tcW w:w="1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4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Amendment to the Registration Rights Agreement, dated as of April 9, 2021, by and between Gogo Inc. (f/k/a AC HoldCo Inc.) and</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Thorndale Farm Gogo, LLC (as assignee to the interests of the Thorne Investors, as defined therein) (incorporated by reference to Exhibit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3</w:t>
              </w:r>
              <w:r>
                <w:rPr>
                  <w:rFonts w:ascii="Arial" w:cs="Arial" w:eastAsia="Arial" w:hAnsi="Arial"/>
                  <w:sz w:val="18"/>
                  <w:szCs w:val="18"/>
                  <w:color w:val="0000EE"/>
                  <w:w w:val="93"/>
                </w:rPr>
                <w:t xml:space="preserve"> to Form 8-K filed on April 14, 2021 (File Number 001-35975))</w:t>
              </w:r>
            </w:hyperlink>
          </w:p>
        </w:tc>
        <w:tc>
          <w:tcPr>
            <w:tcW w:w="4980" w:type="dxa"/>
            <w:vAlign w:val="bottom"/>
            <w:tcBorders>
              <w:top w:val="single" w:sz="8" w:color="0000EE"/>
            </w:tcBorders>
            <w:gridSpan w:val="1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Borders>
              <w:bottom w:val="single" w:sz="8" w:color="0000EE"/>
            </w:tcBorders>
            <w:gridSpan w:val="18"/>
          </w:tcPr>
          <w:p>
            <w:pPr>
              <w:ind w:left="20"/>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Exchange Agreement, dated as of April 1, 2021, by and between Gogo Inc. and Silver (XII) Holdings, LLC (incorporated by reference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Exhibit 10.1 to Form 8-K filed on April 14, 2021 (File Number 001-35975))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Commitment Letter, dated as of March 31, 2021, by and among Gogo Inc., Morgan Stanley Senior Funding, Inc., Credit Suisse AG,</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Cayman Islands Branch, Credit Suisse Loan Funding LLC, Deutsche Bank AG New York Branch and Deutsche Bank Securities Inc.</w:t>
              </w:r>
            </w:hyperlink>
          </w:p>
        </w:tc>
        <w:tc>
          <w:tcPr>
            <w:tcW w:w="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Credit Agreement, dated as of April 30, 2021, among Gogo Inc., Gogo Intermediate Holdings LLC, the lenders and issuing banks party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60" w:type="dxa"/>
            <w:vAlign w:val="bottom"/>
            <w:gridSpan w:val="8"/>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thereto and Morgan Stanley Senior Funding, Inc., as administrative agent (incorporated by reference to Exhibit 10.1 to Form 8-K filed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8"/>
          </w:tcPr>
          <w:p>
            <w:pPr>
              <w:ind w:left="20"/>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May 3, 2021 (File Number 001-35975))</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Guarantee Agreement, dated as of April 30, 2021, among Gogo Inc., Gogo Intermediate Holdings LLC and certain of its subsidiaries, and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Morgan Stanley Senior Funding, Inc., as collateral agent. (incorporated by reference to Exhibit 10.2 to Form 8-K filed on May 3, 2021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(File Number 001-35975))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1"/>
              </w:rPr>
              <w:t>10.5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Collateral Agreement, dated as of April 30, 2021, among Gogo Inc., Gogo Intermediate Holdings LLC and certain of its subsidiaries,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4"/>
          </w:tcPr>
          <w:p>
            <w:pPr>
              <w:ind w:left="20"/>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Morgan Stanley Senior Funding, Inc., as collateral agent (incorporated by reference to Exhibit 10.3 to Form 8-K filed on May 3, 2021</w:t>
              </w:r>
            </w:hyperlink>
          </w:p>
        </w:tc>
        <w:tc>
          <w:tcPr>
            <w:tcW w:w="24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(File Number 001-35975))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rFonts w:ascii="Arial" w:cs="Arial" w:eastAsia="Arial" w:hAnsi="Arial"/>
                <w:sz w:val="18"/>
                <w:szCs w:val="18"/>
                <w:color w:val="0000EE"/>
              </w:rPr>
            </w:pPr>
            <w:hyperlink w:anchor="page72">
              <w:r>
                <w:rPr>
                  <w:rFonts w:ascii="Arial" w:cs="Arial" w:eastAsia="Arial" w:hAnsi="Arial"/>
                  <w:sz w:val="18"/>
                  <w:szCs w:val="18"/>
                  <w:color w:val="0000EE"/>
                </w:rPr>
                <w:t>Director Compensation Policy, effective March 4,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Certification of Chief Executive Officer pursuant to Exchange Act Rules 13a-14(a) and 15d-14(a), as adopted pursuant to Section 302 of</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the Sarbanes-Oxley Act 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Certification of Chief Financial Officer pursuant to Exchange Act Rules 13a-14(a) and 15d-14(a), as adopted pursuant to Section 302 of</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6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3"/>
              </w:rPr>
              <w:t>32.1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21"/>
          </w:tcPr>
          <w:p>
            <w:pPr>
              <w:ind w:left="20"/>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1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3"/>
              </w:rPr>
              <w:t>32.2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7"/>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90"/>
              </w:rPr>
              <w:t>101.SCH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38"/>
        </w:trPr>
        <w:tc>
          <w:tcPr>
            <w:tcW w:w="960" w:type="dxa"/>
            <w:vAlign w:val="bottom"/>
          </w:tcPr>
          <w:p>
            <w:pPr>
              <w:jc w:val="center"/>
              <w:ind w:left="112"/>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960" w:type="dxa"/>
            <w:vAlign w:val="bottom"/>
          </w:tcPr>
          <w:p>
            <w:pPr>
              <w:jc w:val="center"/>
              <w:ind w:left="92"/>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hanging="820"/>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sz w:val="20"/>
          <w:szCs w:val="20"/>
          <w:color w:val="auto"/>
        </w:rPr>
      </w:pPr>
    </w:p>
    <w:p>
      <w:pPr>
        <w:jc w:val="both"/>
        <w:ind w:left="500" w:right="80" w:hanging="492"/>
        <w:spacing w:after="0" w:line="302"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Gogo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553" w:right="5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3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60" w:type="dxa"/>
            <w:vAlign w:val="bottom"/>
          </w:tcPr>
          <w:p>
            <w:pPr>
              <w:jc w:val="right"/>
              <w:spacing w:after="0"/>
              <w:rPr>
                <w:sz w:val="20"/>
                <w:szCs w:val="20"/>
                <w:color w:val="auto"/>
              </w:rPr>
            </w:pPr>
            <w:r>
              <w:rPr>
                <w:rFonts w:ascii="Arial" w:cs="Arial" w:eastAsia="Arial" w:hAnsi="Arial"/>
                <w:sz w:val="22"/>
                <w:szCs w:val="22"/>
                <w:b w:val="1"/>
                <w:bCs w:val="1"/>
                <w:color w:val="auto"/>
              </w:rPr>
              <w:t>Exhibit 10.2</w:t>
            </w:r>
          </w:p>
        </w:tc>
        <w:tc>
          <w:tcPr>
            <w:tcW w:w="0" w:type="dxa"/>
            <w:vAlign w:val="bottom"/>
          </w:tcPr>
          <w:p>
            <w:pPr>
              <w:spacing w:after="0"/>
              <w:rPr>
                <w:sz w:val="1"/>
                <w:szCs w:val="1"/>
                <w:color w:val="auto"/>
              </w:rPr>
            </w:pPr>
          </w:p>
        </w:tc>
      </w:tr>
      <w:tr>
        <w:trPr>
          <w:trHeight w:val="229"/>
        </w:trPr>
        <w:tc>
          <w:tcPr>
            <w:tcW w:w="3720" w:type="dxa"/>
            <w:vAlign w:val="bottom"/>
          </w:tcPr>
          <w:p>
            <w:pPr>
              <w:jc w:val="center"/>
              <w:ind w:left="241"/>
              <w:spacing w:after="0"/>
              <w:rPr>
                <w:sz w:val="20"/>
                <w:szCs w:val="20"/>
                <w:color w:val="auto"/>
              </w:rPr>
            </w:pPr>
            <w:r>
              <w:rPr>
                <w:rFonts w:ascii="Arial" w:cs="Arial" w:eastAsia="Arial" w:hAnsi="Arial"/>
                <w:sz w:val="20"/>
                <w:szCs w:val="20"/>
                <w:b w:val="1"/>
                <w:bCs w:val="1"/>
                <w:color w:val="auto"/>
                <w:w w:val="99"/>
              </w:rPr>
              <w:t>MORGAN STANLEY SENIOR</w:t>
            </w:r>
          </w:p>
        </w:tc>
        <w:tc>
          <w:tcPr>
            <w:tcW w:w="1120" w:type="dxa"/>
            <w:vAlign w:val="bottom"/>
          </w:tcPr>
          <w:p>
            <w:pPr>
              <w:spacing w:after="0"/>
              <w:rPr>
                <w:sz w:val="19"/>
                <w:szCs w:val="19"/>
                <w:color w:val="auto"/>
              </w:rPr>
            </w:pPr>
          </w:p>
        </w:tc>
        <w:tc>
          <w:tcPr>
            <w:tcW w:w="2940" w:type="dxa"/>
            <w:vAlign w:val="bottom"/>
            <w:gridSpan w:val="4"/>
          </w:tcPr>
          <w:p>
            <w:pPr>
              <w:jc w:val="center"/>
              <w:ind w:right="940"/>
              <w:spacing w:after="0"/>
              <w:rPr>
                <w:sz w:val="20"/>
                <w:szCs w:val="20"/>
                <w:color w:val="auto"/>
              </w:rPr>
            </w:pPr>
            <w:r>
              <w:rPr>
                <w:rFonts w:ascii="Arial" w:cs="Arial" w:eastAsia="Arial" w:hAnsi="Arial"/>
                <w:sz w:val="20"/>
                <w:szCs w:val="20"/>
                <w:b w:val="1"/>
                <w:bCs w:val="1"/>
                <w:color w:val="auto"/>
                <w:w w:val="97"/>
              </w:rPr>
              <w:t>CREDIT SUISSE AG</w:t>
            </w:r>
          </w:p>
        </w:tc>
        <w:tc>
          <w:tcPr>
            <w:tcW w:w="3460" w:type="dxa"/>
            <w:vAlign w:val="bottom"/>
          </w:tcPr>
          <w:p>
            <w:pPr>
              <w:jc w:val="center"/>
              <w:ind w:right="59"/>
              <w:spacing w:after="0"/>
              <w:rPr>
                <w:sz w:val="20"/>
                <w:szCs w:val="20"/>
                <w:color w:val="auto"/>
              </w:rPr>
            </w:pPr>
            <w:r>
              <w:rPr>
                <w:rFonts w:ascii="Arial" w:cs="Arial" w:eastAsia="Arial" w:hAnsi="Arial"/>
                <w:sz w:val="20"/>
                <w:szCs w:val="20"/>
                <w:b w:val="1"/>
                <w:bCs w:val="1"/>
                <w:color w:val="auto"/>
                <w:w w:val="98"/>
              </w:rPr>
              <w:t>DEUTSCHE BANK AG NEW</w:t>
            </w:r>
          </w:p>
        </w:tc>
        <w:tc>
          <w:tcPr>
            <w:tcW w:w="0" w:type="dxa"/>
            <w:vAlign w:val="bottom"/>
          </w:tcPr>
          <w:p>
            <w:pPr>
              <w:spacing w:after="0"/>
              <w:rPr>
                <w:sz w:val="1"/>
                <w:szCs w:val="1"/>
                <w:color w:val="auto"/>
              </w:rPr>
            </w:pPr>
          </w:p>
        </w:tc>
      </w:tr>
      <w:tr>
        <w:trPr>
          <w:trHeight w:val="256"/>
        </w:trPr>
        <w:tc>
          <w:tcPr>
            <w:tcW w:w="3720" w:type="dxa"/>
            <w:vAlign w:val="bottom"/>
          </w:tcPr>
          <w:p>
            <w:pPr>
              <w:jc w:val="center"/>
              <w:ind w:left="221"/>
              <w:spacing w:after="0"/>
              <w:rPr>
                <w:sz w:val="20"/>
                <w:szCs w:val="20"/>
                <w:color w:val="auto"/>
              </w:rPr>
            </w:pPr>
            <w:r>
              <w:rPr>
                <w:rFonts w:ascii="Arial" w:cs="Arial" w:eastAsia="Arial" w:hAnsi="Arial"/>
                <w:sz w:val="20"/>
                <w:szCs w:val="20"/>
                <w:b w:val="1"/>
                <w:bCs w:val="1"/>
                <w:color w:val="auto"/>
              </w:rPr>
              <w:t>FUNDING, INC.</w:t>
            </w:r>
          </w:p>
        </w:tc>
        <w:tc>
          <w:tcPr>
            <w:tcW w:w="4060" w:type="dxa"/>
            <w:vAlign w:val="bottom"/>
            <w:gridSpan w:val="5"/>
            <w:vMerge w:val="restart"/>
          </w:tcPr>
          <w:p>
            <w:pPr>
              <w:jc w:val="center"/>
              <w:ind w:left="81"/>
              <w:spacing w:after="0"/>
              <w:rPr>
                <w:sz w:val="20"/>
                <w:szCs w:val="20"/>
                <w:color w:val="auto"/>
              </w:rPr>
            </w:pPr>
            <w:r>
              <w:rPr>
                <w:rFonts w:ascii="Arial" w:cs="Arial" w:eastAsia="Arial" w:hAnsi="Arial"/>
                <w:sz w:val="20"/>
                <w:szCs w:val="20"/>
                <w:b w:val="1"/>
                <w:bCs w:val="1"/>
                <w:color w:val="auto"/>
                <w:w w:val="99"/>
              </w:rPr>
              <w:t>CREDIT SUISSE LOAN FUNDING LLC</w:t>
            </w:r>
          </w:p>
        </w:tc>
        <w:tc>
          <w:tcPr>
            <w:tcW w:w="3460" w:type="dxa"/>
            <w:vAlign w:val="bottom"/>
          </w:tcPr>
          <w:p>
            <w:pPr>
              <w:jc w:val="center"/>
              <w:ind w:right="59"/>
              <w:spacing w:after="0"/>
              <w:rPr>
                <w:sz w:val="20"/>
                <w:szCs w:val="20"/>
                <w:color w:val="auto"/>
              </w:rPr>
            </w:pPr>
            <w:r>
              <w:rPr>
                <w:rFonts w:ascii="Arial" w:cs="Arial" w:eastAsia="Arial" w:hAnsi="Arial"/>
                <w:sz w:val="20"/>
                <w:szCs w:val="20"/>
                <w:b w:val="1"/>
                <w:bCs w:val="1"/>
                <w:color w:val="auto"/>
                <w:w w:val="99"/>
              </w:rPr>
              <w:t>YORK BRANCH</w:t>
            </w:r>
          </w:p>
        </w:tc>
        <w:tc>
          <w:tcPr>
            <w:tcW w:w="0" w:type="dxa"/>
            <w:vAlign w:val="bottom"/>
          </w:tcPr>
          <w:p>
            <w:pPr>
              <w:spacing w:after="0"/>
              <w:rPr>
                <w:sz w:val="1"/>
                <w:szCs w:val="1"/>
                <w:color w:val="auto"/>
              </w:rPr>
            </w:pPr>
          </w:p>
        </w:tc>
      </w:tr>
      <w:tr>
        <w:trPr>
          <w:trHeight w:val="216"/>
        </w:trPr>
        <w:tc>
          <w:tcPr>
            <w:tcW w:w="3720" w:type="dxa"/>
            <w:vAlign w:val="bottom"/>
            <w:vMerge w:val="restart"/>
          </w:tcPr>
          <w:p>
            <w:pPr>
              <w:jc w:val="center"/>
              <w:ind w:left="241"/>
              <w:spacing w:after="0"/>
              <w:rPr>
                <w:sz w:val="20"/>
                <w:szCs w:val="20"/>
                <w:color w:val="auto"/>
              </w:rPr>
            </w:pPr>
            <w:r>
              <w:rPr>
                <w:rFonts w:ascii="Arial" w:cs="Arial" w:eastAsia="Arial" w:hAnsi="Arial"/>
                <w:sz w:val="20"/>
                <w:szCs w:val="20"/>
                <w:b w:val="1"/>
                <w:bCs w:val="1"/>
                <w:color w:val="auto"/>
                <w:w w:val="89"/>
              </w:rPr>
              <w:t>1585 Broadway</w:t>
            </w:r>
          </w:p>
        </w:tc>
        <w:tc>
          <w:tcPr>
            <w:tcW w:w="4060" w:type="dxa"/>
            <w:vAlign w:val="bottom"/>
            <w:gridSpan w:val="5"/>
            <w:vMerge w:val="continue"/>
          </w:tcPr>
          <w:p>
            <w:pPr>
              <w:spacing w:after="0"/>
              <w:rPr>
                <w:sz w:val="18"/>
                <w:szCs w:val="18"/>
                <w:color w:val="auto"/>
              </w:rPr>
            </w:pPr>
          </w:p>
        </w:tc>
        <w:tc>
          <w:tcPr>
            <w:tcW w:w="3460" w:type="dxa"/>
            <w:vAlign w:val="bottom"/>
            <w:vMerge w:val="restart"/>
          </w:tcPr>
          <w:p>
            <w:pPr>
              <w:jc w:val="center"/>
              <w:ind w:right="39"/>
              <w:spacing w:after="0"/>
              <w:rPr>
                <w:sz w:val="20"/>
                <w:szCs w:val="20"/>
                <w:color w:val="auto"/>
              </w:rPr>
            </w:pPr>
            <w:r>
              <w:rPr>
                <w:rFonts w:ascii="Arial" w:cs="Arial" w:eastAsia="Arial" w:hAnsi="Arial"/>
                <w:sz w:val="20"/>
                <w:szCs w:val="20"/>
                <w:b w:val="1"/>
                <w:bCs w:val="1"/>
                <w:color w:val="auto"/>
                <w:w w:val="99"/>
              </w:rPr>
              <w:t>DEUTSCHE BANK SECURITIES</w:t>
            </w:r>
          </w:p>
        </w:tc>
        <w:tc>
          <w:tcPr>
            <w:tcW w:w="0" w:type="dxa"/>
            <w:vAlign w:val="bottom"/>
          </w:tcPr>
          <w:p>
            <w:pPr>
              <w:spacing w:after="0"/>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4060" w:type="dxa"/>
            <w:vAlign w:val="bottom"/>
            <w:gridSpan w:val="5"/>
            <w:vMerge w:val="restart"/>
          </w:tcPr>
          <w:p>
            <w:pPr>
              <w:jc w:val="center"/>
              <w:ind w:left="81"/>
              <w:spacing w:after="0"/>
              <w:rPr>
                <w:sz w:val="20"/>
                <w:szCs w:val="20"/>
                <w:color w:val="auto"/>
              </w:rPr>
            </w:pPr>
            <w:r>
              <w:rPr>
                <w:rFonts w:ascii="Arial" w:cs="Arial" w:eastAsia="Arial" w:hAnsi="Arial"/>
                <w:sz w:val="20"/>
                <w:szCs w:val="20"/>
                <w:b w:val="1"/>
                <w:bCs w:val="1"/>
                <w:color w:val="auto"/>
                <w:w w:val="89"/>
              </w:rPr>
              <w:t>Eleven Madison Avenue</w:t>
            </w:r>
          </w:p>
        </w:tc>
        <w:tc>
          <w:tcPr>
            <w:tcW w:w="3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20" w:type="dxa"/>
            <w:vAlign w:val="bottom"/>
            <w:vMerge w:val="restart"/>
          </w:tcPr>
          <w:p>
            <w:pPr>
              <w:jc w:val="center"/>
              <w:ind w:left="241"/>
              <w:spacing w:after="0"/>
              <w:rPr>
                <w:sz w:val="20"/>
                <w:szCs w:val="20"/>
                <w:color w:val="auto"/>
              </w:rPr>
            </w:pPr>
            <w:r>
              <w:rPr>
                <w:rFonts w:ascii="Arial" w:cs="Arial" w:eastAsia="Arial" w:hAnsi="Arial"/>
                <w:sz w:val="20"/>
                <w:szCs w:val="20"/>
                <w:b w:val="1"/>
                <w:bCs w:val="1"/>
                <w:color w:val="auto"/>
                <w:w w:val="93"/>
              </w:rPr>
              <w:t>New York, NY 10036</w:t>
            </w:r>
          </w:p>
        </w:tc>
        <w:tc>
          <w:tcPr>
            <w:tcW w:w="4060" w:type="dxa"/>
            <w:vAlign w:val="bottom"/>
            <w:gridSpan w:val="5"/>
            <w:vMerge w:val="continue"/>
          </w:tcPr>
          <w:p>
            <w:pPr>
              <w:spacing w:after="0"/>
              <w:rPr>
                <w:sz w:val="22"/>
                <w:szCs w:val="22"/>
                <w:color w:val="auto"/>
              </w:rPr>
            </w:pPr>
          </w:p>
        </w:tc>
        <w:tc>
          <w:tcPr>
            <w:tcW w:w="3460" w:type="dxa"/>
            <w:vAlign w:val="bottom"/>
          </w:tcPr>
          <w:p>
            <w:pPr>
              <w:jc w:val="center"/>
              <w:ind w:right="39"/>
              <w:spacing w:after="0"/>
              <w:rPr>
                <w:sz w:val="20"/>
                <w:szCs w:val="20"/>
                <w:color w:val="auto"/>
              </w:rPr>
            </w:pPr>
            <w:r>
              <w:rPr>
                <w:rFonts w:ascii="Arial" w:cs="Arial" w:eastAsia="Arial" w:hAnsi="Arial"/>
                <w:sz w:val="20"/>
                <w:szCs w:val="20"/>
                <w:b w:val="1"/>
                <w:bCs w:val="1"/>
                <w:color w:val="auto"/>
                <w:w w:val="99"/>
              </w:rPr>
              <w:t>INC.</w:t>
            </w:r>
          </w:p>
        </w:tc>
        <w:tc>
          <w:tcPr>
            <w:tcW w:w="0" w:type="dxa"/>
            <w:vAlign w:val="bottom"/>
          </w:tcPr>
          <w:p>
            <w:pPr>
              <w:spacing w:after="0"/>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940" w:type="dxa"/>
            <w:vAlign w:val="bottom"/>
            <w:gridSpan w:val="4"/>
            <w:vMerge w:val="restart"/>
          </w:tcPr>
          <w:p>
            <w:pPr>
              <w:jc w:val="center"/>
              <w:ind w:right="940"/>
              <w:spacing w:after="0"/>
              <w:rPr>
                <w:sz w:val="20"/>
                <w:szCs w:val="20"/>
                <w:color w:val="auto"/>
              </w:rPr>
            </w:pPr>
            <w:r>
              <w:rPr>
                <w:rFonts w:ascii="Arial" w:cs="Arial" w:eastAsia="Arial" w:hAnsi="Arial"/>
                <w:sz w:val="20"/>
                <w:szCs w:val="20"/>
                <w:b w:val="1"/>
                <w:bCs w:val="1"/>
                <w:color w:val="auto"/>
                <w:w w:val="92"/>
              </w:rPr>
              <w:t>New York, NY 10010</w:t>
            </w:r>
          </w:p>
        </w:tc>
        <w:tc>
          <w:tcPr>
            <w:tcW w:w="3460" w:type="dxa"/>
            <w:vAlign w:val="bottom"/>
            <w:vMerge w:val="restart"/>
          </w:tcPr>
          <w:p>
            <w:pPr>
              <w:jc w:val="center"/>
              <w:ind w:right="39"/>
              <w:spacing w:after="0"/>
              <w:rPr>
                <w:sz w:val="20"/>
                <w:szCs w:val="20"/>
                <w:color w:val="auto"/>
              </w:rPr>
            </w:pPr>
            <w:r>
              <w:rPr>
                <w:rFonts w:ascii="Arial" w:cs="Arial" w:eastAsia="Arial" w:hAnsi="Arial"/>
                <w:sz w:val="20"/>
                <w:szCs w:val="20"/>
                <w:b w:val="1"/>
                <w:bCs w:val="1"/>
                <w:color w:val="auto"/>
                <w:w w:val="91"/>
              </w:rPr>
              <w:t>60 Wall Street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40" w:type="dxa"/>
            <w:vAlign w:val="bottom"/>
            <w:gridSpan w:val="4"/>
            <w:vMerge w:val="continue"/>
          </w:tcPr>
          <w:p>
            <w:pPr>
              <w:spacing w:after="0"/>
              <w:rPr>
                <w:sz w:val="19"/>
                <w:szCs w:val="19"/>
                <w:color w:val="auto"/>
              </w:rPr>
            </w:pP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60" w:type="dxa"/>
            <w:vAlign w:val="bottom"/>
          </w:tcPr>
          <w:p>
            <w:pPr>
              <w:jc w:val="center"/>
              <w:ind w:right="39"/>
              <w:spacing w:after="0"/>
              <w:rPr>
                <w:sz w:val="20"/>
                <w:szCs w:val="20"/>
                <w:color w:val="auto"/>
              </w:rPr>
            </w:pPr>
            <w:r>
              <w:rPr>
                <w:rFonts w:ascii="Arial" w:cs="Arial" w:eastAsia="Arial" w:hAnsi="Arial"/>
                <w:sz w:val="20"/>
                <w:szCs w:val="20"/>
                <w:b w:val="1"/>
                <w:bCs w:val="1"/>
                <w:color w:val="auto"/>
                <w:w w:val="92"/>
              </w:rPr>
              <w:t>New York, NY 10005</w:t>
            </w:r>
          </w:p>
        </w:tc>
        <w:tc>
          <w:tcPr>
            <w:tcW w:w="0" w:type="dxa"/>
            <w:vAlign w:val="bottom"/>
          </w:tcPr>
          <w:p>
            <w:pPr>
              <w:spacing w:after="0"/>
              <w:rPr>
                <w:sz w:val="1"/>
                <w:szCs w:val="1"/>
                <w:color w:val="auto"/>
              </w:rPr>
            </w:pPr>
          </w:p>
        </w:tc>
      </w:tr>
      <w:tr>
        <w:trPr>
          <w:trHeight w:val="891"/>
        </w:trPr>
        <w:tc>
          <w:tcPr>
            <w:tcW w:w="3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20"/>
                <w:szCs w:val="20"/>
                <w:b w:val="1"/>
                <w:bCs w:val="1"/>
                <w:color w:val="auto"/>
              </w:rPr>
              <w:t>CONFIDENTIAL</w:t>
            </w:r>
          </w:p>
        </w:tc>
        <w:tc>
          <w:tcPr>
            <w:tcW w:w="0" w:type="dxa"/>
            <w:vAlign w:val="bottom"/>
          </w:tcPr>
          <w:p>
            <w:pPr>
              <w:spacing w:after="0"/>
              <w:rPr>
                <w:sz w:val="1"/>
                <w:szCs w:val="1"/>
                <w:color w:val="auto"/>
              </w:rPr>
            </w:pPr>
          </w:p>
        </w:tc>
      </w:tr>
      <w:tr>
        <w:trPr>
          <w:trHeight w:val="465"/>
        </w:trPr>
        <w:tc>
          <w:tcPr>
            <w:tcW w:w="3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March 31</w:t>
            </w:r>
            <w:r>
              <w:rPr>
                <w:rFonts w:ascii="Arial" w:cs="Arial" w:eastAsia="Arial" w:hAnsi="Arial"/>
                <w:sz w:val="19"/>
                <w:szCs w:val="19"/>
                <w:color w:val="auto"/>
              </w:rPr>
              <w:t>, 2021</w:t>
            </w:r>
          </w:p>
        </w:tc>
        <w:tc>
          <w:tcPr>
            <w:tcW w:w="0" w:type="dxa"/>
            <w:vAlign w:val="bottom"/>
          </w:tcPr>
          <w:p>
            <w:pPr>
              <w:spacing w:after="0"/>
              <w:rPr>
                <w:sz w:val="1"/>
                <w:szCs w:val="1"/>
                <w:color w:val="auto"/>
              </w:rPr>
            </w:pPr>
          </w:p>
        </w:tc>
      </w:tr>
      <w:tr>
        <w:trPr>
          <w:trHeight w:val="419"/>
        </w:trPr>
        <w:tc>
          <w:tcPr>
            <w:tcW w:w="3720" w:type="dxa"/>
            <w:vAlign w:val="bottom"/>
          </w:tcPr>
          <w:p>
            <w:pPr>
              <w:spacing w:after="0"/>
              <w:rPr>
                <w:sz w:val="20"/>
                <w:szCs w:val="20"/>
                <w:color w:val="auto"/>
              </w:rPr>
            </w:pPr>
            <w:r>
              <w:rPr>
                <w:rFonts w:ascii="Arial" w:cs="Arial" w:eastAsia="Arial" w:hAnsi="Arial"/>
                <w:sz w:val="20"/>
                <w:szCs w:val="20"/>
                <w:color w:val="auto"/>
              </w:rPr>
              <w:t>Gogo Inc.</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20"/>
                <w:szCs w:val="20"/>
                <w:color w:val="auto"/>
              </w:rPr>
              <w:t>111 N. Canal St.</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20"/>
                <w:szCs w:val="20"/>
                <w:color w:val="auto"/>
              </w:rPr>
              <w:t>Chicago, IL 60606</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Arial" w:cs="Arial" w:eastAsia="Arial" w:hAnsi="Arial"/>
                <w:sz w:val="20"/>
                <w:szCs w:val="20"/>
                <w:color w:val="auto"/>
              </w:rPr>
              <w:t>Attention: Barry Rowan</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6"/>
        </w:trPr>
        <w:tc>
          <w:tcPr>
            <w:tcW w:w="3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gridSpan w:val="3"/>
          </w:tcPr>
          <w:p>
            <w:pPr>
              <w:jc w:val="center"/>
              <w:ind w:right="1780"/>
              <w:spacing w:after="0"/>
              <w:rPr>
                <w:sz w:val="20"/>
                <w:szCs w:val="20"/>
                <w:color w:val="auto"/>
              </w:rPr>
            </w:pPr>
            <w:r>
              <w:rPr>
                <w:rFonts w:ascii="Arial" w:cs="Arial" w:eastAsia="Arial" w:hAnsi="Arial"/>
                <w:sz w:val="20"/>
                <w:szCs w:val="20"/>
                <w:color w:val="auto"/>
                <w:w w:val="91"/>
              </w:rPr>
              <w:t>Project G</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940" w:type="dxa"/>
            <w:vAlign w:val="bottom"/>
            <w:gridSpan w:val="4"/>
          </w:tcPr>
          <w:p>
            <w:pPr>
              <w:jc w:val="center"/>
              <w:ind w:right="1380"/>
              <w:spacing w:after="0" w:line="209" w:lineRule="exact"/>
              <w:rPr>
                <w:sz w:val="20"/>
                <w:szCs w:val="20"/>
                <w:color w:val="auto"/>
              </w:rPr>
            </w:pPr>
            <w:r>
              <w:rPr>
                <w:rFonts w:ascii="Arial" w:cs="Arial" w:eastAsia="Arial" w:hAnsi="Arial"/>
                <w:sz w:val="20"/>
                <w:szCs w:val="20"/>
                <w:color w:val="auto"/>
                <w:w w:val="91"/>
              </w:rPr>
              <w:t>Commitment Letter</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3720" w:type="dxa"/>
            <w:vAlign w:val="bottom"/>
          </w:tcPr>
          <w:p>
            <w:pPr>
              <w:spacing w:after="0"/>
              <w:rPr>
                <w:sz w:val="20"/>
                <w:szCs w:val="20"/>
                <w:color w:val="auto"/>
              </w:rPr>
            </w:pPr>
            <w:r>
              <w:rPr>
                <w:rFonts w:ascii="Arial" w:cs="Arial" w:eastAsia="Arial" w:hAnsi="Arial"/>
                <w:sz w:val="20"/>
                <w:szCs w:val="20"/>
                <w:color w:val="auto"/>
              </w:rPr>
              <w:t>Ladies and Gentlemen:</w:t>
            </w:r>
          </w:p>
        </w:tc>
        <w:tc>
          <w:tcPr>
            <w:tcW w:w="1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You have advised Morgan Stanley Senior Funding, Inc. (“</w:t>
      </w:r>
      <w:r>
        <w:rPr>
          <w:rFonts w:ascii="Arial" w:cs="Arial" w:eastAsia="Arial" w:hAnsi="Arial"/>
          <w:sz w:val="18"/>
          <w:szCs w:val="18"/>
          <w:b w:val="1"/>
          <w:bCs w:val="1"/>
          <w:i w:val="1"/>
          <w:iCs w:val="1"/>
          <w:color w:val="auto"/>
        </w:rPr>
        <w:t>MSSF</w:t>
      </w:r>
      <w:r>
        <w:rPr>
          <w:rFonts w:ascii="Arial" w:cs="Arial" w:eastAsia="Arial" w:hAnsi="Arial"/>
          <w:sz w:val="18"/>
          <w:szCs w:val="18"/>
          <w:color w:val="auto"/>
        </w:rPr>
        <w:t>”), Credit Suisse AG (acting through any of its affiliates or branches as it deems appropriate “</w:t>
      </w:r>
      <w:r>
        <w:rPr>
          <w:rFonts w:ascii="Arial" w:cs="Arial" w:eastAsia="Arial" w:hAnsi="Arial"/>
          <w:sz w:val="18"/>
          <w:szCs w:val="18"/>
          <w:b w:val="1"/>
          <w:bCs w:val="1"/>
          <w:i w:val="1"/>
          <w:iCs w:val="1"/>
          <w:color w:val="auto"/>
        </w:rPr>
        <w:t>CS</w:t>
      </w:r>
      <w:r>
        <w:rPr>
          <w:rFonts w:ascii="Arial" w:cs="Arial" w:eastAsia="Arial" w:hAnsi="Arial"/>
          <w:sz w:val="18"/>
          <w:szCs w:val="18"/>
          <w:color w:val="auto"/>
        </w:rPr>
        <w:t>”), Credit Suisse Loan Funding LLC (“</w:t>
      </w:r>
      <w:r>
        <w:rPr>
          <w:rFonts w:ascii="Arial" w:cs="Arial" w:eastAsia="Arial" w:hAnsi="Arial"/>
          <w:sz w:val="18"/>
          <w:szCs w:val="18"/>
          <w:b w:val="1"/>
          <w:bCs w:val="1"/>
          <w:i w:val="1"/>
          <w:iCs w:val="1"/>
          <w:color w:val="auto"/>
        </w:rPr>
        <w:t>CSLF</w:t>
      </w:r>
      <w:r>
        <w:rPr>
          <w:rFonts w:ascii="Arial" w:cs="Arial" w:eastAsia="Arial" w:hAnsi="Arial"/>
          <w:sz w:val="18"/>
          <w:szCs w:val="18"/>
          <w:color w:val="auto"/>
        </w:rPr>
        <w:t>” and together with CS, “</w:t>
      </w:r>
      <w:r>
        <w:rPr>
          <w:rFonts w:ascii="Arial" w:cs="Arial" w:eastAsia="Arial" w:hAnsi="Arial"/>
          <w:sz w:val="18"/>
          <w:szCs w:val="18"/>
          <w:b w:val="1"/>
          <w:bCs w:val="1"/>
          <w:i w:val="1"/>
          <w:iCs w:val="1"/>
          <w:color w:val="auto"/>
        </w:rPr>
        <w:t>Credit Suisse</w:t>
      </w:r>
      <w:r>
        <w:rPr>
          <w:rFonts w:ascii="Arial" w:cs="Arial" w:eastAsia="Arial" w:hAnsi="Arial"/>
          <w:sz w:val="18"/>
          <w:szCs w:val="18"/>
          <w:color w:val="auto"/>
        </w:rPr>
        <w:t>”), and Deutsche Bank AG New York Branch (“</w:t>
      </w:r>
      <w:r>
        <w:rPr>
          <w:rFonts w:ascii="Arial" w:cs="Arial" w:eastAsia="Arial" w:hAnsi="Arial"/>
          <w:sz w:val="18"/>
          <w:szCs w:val="18"/>
          <w:b w:val="1"/>
          <w:bCs w:val="1"/>
          <w:i w:val="1"/>
          <w:iCs w:val="1"/>
          <w:color w:val="auto"/>
        </w:rPr>
        <w:t>DBNY</w:t>
      </w:r>
      <w:r>
        <w:rPr>
          <w:rFonts w:ascii="Arial" w:cs="Arial" w:eastAsia="Arial" w:hAnsi="Arial"/>
          <w:sz w:val="18"/>
          <w:szCs w:val="18"/>
          <w:color w:val="auto"/>
        </w:rPr>
        <w:t>”) and Deutsche Bank Securities, Inc. (“</w:t>
      </w:r>
      <w:r>
        <w:rPr>
          <w:rFonts w:ascii="Arial" w:cs="Arial" w:eastAsia="Arial" w:hAnsi="Arial"/>
          <w:sz w:val="18"/>
          <w:szCs w:val="18"/>
          <w:b w:val="1"/>
          <w:bCs w:val="1"/>
          <w:i w:val="1"/>
          <w:iCs w:val="1"/>
          <w:color w:val="auto"/>
        </w:rPr>
        <w:t>DBSI</w:t>
      </w:r>
      <w:r>
        <w:rPr>
          <w:rFonts w:ascii="Arial" w:cs="Arial" w:eastAsia="Arial" w:hAnsi="Arial"/>
          <w:sz w:val="18"/>
          <w:szCs w:val="18"/>
          <w:color w:val="auto"/>
        </w:rPr>
        <w:t>” and together with DBNY, “</w:t>
      </w:r>
      <w:r>
        <w:rPr>
          <w:rFonts w:ascii="Arial" w:cs="Arial" w:eastAsia="Arial" w:hAnsi="Arial"/>
          <w:sz w:val="18"/>
          <w:szCs w:val="18"/>
          <w:b w:val="1"/>
          <w:bCs w:val="1"/>
          <w:i w:val="1"/>
          <w:iCs w:val="1"/>
          <w:color w:val="auto"/>
        </w:rPr>
        <w:t>DB</w:t>
      </w:r>
      <w:r>
        <w:rPr>
          <w:rFonts w:ascii="Arial" w:cs="Arial" w:eastAsia="Arial" w:hAnsi="Arial"/>
          <w:sz w:val="18"/>
          <w:szCs w:val="18"/>
          <w:color w:val="auto"/>
        </w:rPr>
        <w:t>”; MSSF, Credit Suisse and DB are collectively referred to herein as “</w:t>
      </w:r>
      <w:r>
        <w:rPr>
          <w:rFonts w:ascii="Arial" w:cs="Arial" w:eastAsia="Arial" w:hAnsi="Arial"/>
          <w:sz w:val="18"/>
          <w:szCs w:val="18"/>
          <w:b w:val="1"/>
          <w:bCs w:val="1"/>
          <w:i w:val="1"/>
          <w:iCs w:val="1"/>
          <w:color w:val="auto"/>
        </w:rPr>
        <w:t>we</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Commitment Party</w:t>
      </w:r>
      <w:r>
        <w:rPr>
          <w:rFonts w:ascii="Arial" w:cs="Arial" w:eastAsia="Arial" w:hAnsi="Arial"/>
          <w:sz w:val="18"/>
          <w:szCs w:val="18"/>
          <w:color w:val="auto"/>
        </w:rPr>
        <w:t>”, and together with any Additional Commitment Parties appointed in accordance with Section 2, the “</w:t>
      </w:r>
      <w:r>
        <w:rPr>
          <w:rFonts w:ascii="Arial" w:cs="Arial" w:eastAsia="Arial" w:hAnsi="Arial"/>
          <w:sz w:val="18"/>
          <w:szCs w:val="18"/>
          <w:b w:val="1"/>
          <w:bCs w:val="1"/>
          <w:i w:val="1"/>
          <w:iCs w:val="1"/>
          <w:color w:val="auto"/>
        </w:rPr>
        <w:t>Commitment Parties</w:t>
      </w:r>
      <w:r>
        <w:rPr>
          <w:rFonts w:ascii="Arial" w:cs="Arial" w:eastAsia="Arial" w:hAnsi="Arial"/>
          <w:sz w:val="18"/>
          <w:szCs w:val="18"/>
          <w:color w:val="auto"/>
        </w:rPr>
        <w:t>”) that Gogo Inc., a Delaware corporation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w:t>
      </w:r>
      <w:r>
        <w:rPr>
          <w:rFonts w:ascii="Arial" w:cs="Arial" w:eastAsia="Arial" w:hAnsi="Arial"/>
          <w:sz w:val="18"/>
          <w:szCs w:val="18"/>
          <w:color w:val="auto"/>
        </w:rPr>
        <w:t>”), and Gogo Intermediate Holdings LLC, a Delaware limited liability company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intend to consummate the Transactions described and defined in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Capitalized terms used but not defined herein shall have the meanings assigned to them in the Summary of Principal Terms and Conditions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Term Sheet</w:t>
      </w:r>
      <w:r>
        <w:rPr>
          <w:rFonts w:ascii="Arial" w:cs="Arial" w:eastAsia="Arial" w:hAnsi="Arial"/>
          <w:sz w:val="18"/>
          <w:szCs w:val="18"/>
          <w:color w:val="auto"/>
        </w:rPr>
        <w:t xml:space="preserve">”, this commitment letter, the Term Sheet and the Summary of Additional Conditions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Commitment Letter</w:t>
      </w:r>
      <w:r>
        <w:rPr>
          <w:rFonts w:ascii="Arial" w:cs="Arial" w:eastAsia="Arial" w:hAnsi="Arial"/>
          <w:sz w:val="18"/>
          <w:szCs w:val="18"/>
          <w:color w:val="auto"/>
        </w:rPr>
        <w:t>”). All references to “</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w:t>
      </w:r>
      <w:r>
        <w:rPr>
          <w:rFonts w:ascii="Arial" w:cs="Arial" w:eastAsia="Arial" w:hAnsi="Arial"/>
          <w:sz w:val="18"/>
          <w:szCs w:val="18"/>
          <w:color w:val="auto"/>
        </w:rPr>
        <w:t>” in this Commitment Letter and the Fee Letter are references to United States dollars. Commitments.</w:t>
      </w:r>
    </w:p>
    <w:p>
      <w:pPr>
        <w:spacing w:after="0" w:line="174"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0"/>
          <w:szCs w:val="20"/>
          <w:color w:val="auto"/>
        </w:rPr>
        <w:t>In connection with the Transactions, each of MSSF, CS and DBNY (and any other Initial Lender appointed in accordance with Section 2 below, each an “</w:t>
      </w:r>
      <w:r>
        <w:rPr>
          <w:rFonts w:ascii="Arial" w:cs="Arial" w:eastAsia="Arial" w:hAnsi="Arial"/>
          <w:sz w:val="20"/>
          <w:szCs w:val="20"/>
          <w:b w:val="1"/>
          <w:bCs w:val="1"/>
          <w:i w:val="1"/>
          <w:iCs w:val="1"/>
          <w:color w:val="auto"/>
        </w:rPr>
        <w:t>Initial 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Initial Lenders</w:t>
      </w:r>
      <w:r>
        <w:rPr>
          <w:rFonts w:ascii="Arial" w:cs="Arial" w:eastAsia="Arial" w:hAnsi="Arial"/>
          <w:sz w:val="20"/>
          <w:szCs w:val="20"/>
          <w:color w:val="auto"/>
        </w:rPr>
        <w:t xml:space="preserve">”) hereby commits to provide the portion of the entire aggregate principal amount of the Senior Credit Facilities in the amount set forth opposite such Initial Lender’s name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hereto (as such schedule may be amended or supplemented in accordance with the terms of this Commitment Letter), in each case subject only to the satisfaction or waiver of the conditions referenced in Section 5 hereof. The commitments of the Initial Lenders and any Additional Commitment Party hereunder will be several and not joint.</w:t>
      </w:r>
    </w:p>
    <w:p>
      <w:pPr>
        <w:spacing w:after="0" w:line="196"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Titles and Roles.</w:t>
      </w:r>
    </w:p>
    <w:p>
      <w:pPr>
        <w:spacing w:after="0" w:line="216" w:lineRule="exact"/>
        <w:rPr>
          <w:sz w:val="20"/>
          <w:szCs w:val="20"/>
          <w:color w:val="auto"/>
        </w:rPr>
      </w:pPr>
    </w:p>
    <w:p>
      <w:pPr>
        <w:jc w:val="both"/>
        <w:ind w:firstLine="936"/>
        <w:spacing w:after="0" w:line="250" w:lineRule="auto"/>
        <w:rPr>
          <w:sz w:val="20"/>
          <w:szCs w:val="20"/>
          <w:color w:val="auto"/>
        </w:rPr>
      </w:pPr>
      <w:r>
        <w:rPr>
          <w:rFonts w:ascii="Arial" w:cs="Arial" w:eastAsia="Arial" w:hAnsi="Arial"/>
          <w:sz w:val="20"/>
          <w:szCs w:val="20"/>
          <w:color w:val="auto"/>
        </w:rPr>
        <w:t>It is agreed that (i) MSSF, CSLF and DBSI will act as lead arrangers for the Senior Credit Facilities (together with any other lead arranger appointed pursuant to this paragraph, each a “</w:t>
      </w:r>
      <w:r>
        <w:rPr>
          <w:rFonts w:ascii="Arial" w:cs="Arial" w:eastAsia="Arial" w:hAnsi="Arial"/>
          <w:sz w:val="20"/>
          <w:szCs w:val="20"/>
          <w:b w:val="1"/>
          <w:bCs w:val="1"/>
          <w:i w:val="1"/>
          <w:iCs w:val="1"/>
          <w:color w:val="auto"/>
        </w:rPr>
        <w:t>Lead Arranger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Lead Arrangers</w:t>
      </w:r>
      <w:r>
        <w:rPr>
          <w:rFonts w:ascii="Arial" w:cs="Arial" w:eastAsia="Arial" w:hAnsi="Arial"/>
          <w:sz w:val="20"/>
          <w:szCs w:val="20"/>
          <w:color w:val="auto"/>
        </w:rPr>
        <w:t>”), (ii) MSSF, CSLF and DBSI will act as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2" w:name="page53"/>
    <w:bookmarkEnd w:id="52"/>
    <w:p>
      <w:pPr>
        <w:jc w:val="both"/>
        <w:spacing w:after="0" w:line="268" w:lineRule="auto"/>
        <w:rPr>
          <w:sz w:val="20"/>
          <w:szCs w:val="20"/>
          <w:color w:val="auto"/>
        </w:rPr>
      </w:pPr>
      <w:r>
        <w:rPr>
          <w:rFonts w:ascii="Arial" w:cs="Arial" w:eastAsia="Arial" w:hAnsi="Arial"/>
          <w:sz w:val="18"/>
          <w:szCs w:val="18"/>
          <w:color w:val="auto"/>
        </w:rPr>
        <w:t>bookrunners for the Senior Credit Facilities (together with any other bookrunner appointed pursuant to this paragraph, each a “</w:t>
      </w:r>
      <w:r>
        <w:rPr>
          <w:rFonts w:ascii="Arial" w:cs="Arial" w:eastAsia="Arial" w:hAnsi="Arial"/>
          <w:sz w:val="18"/>
          <w:szCs w:val="18"/>
          <w:b w:val="1"/>
          <w:bCs w:val="1"/>
          <w:i w:val="1"/>
          <w:i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Bookrunner</w:t>
      </w:r>
      <w:r>
        <w:rPr>
          <w:rFonts w:ascii="Arial" w:cs="Arial" w:eastAsia="Arial" w:hAnsi="Arial"/>
          <w:sz w:val="18"/>
          <w:szCs w:val="18"/>
          <w:color w:val="auto"/>
        </w:rPr>
        <w:t>” and, collectively with the Lead Arrangers, the “</w:t>
      </w:r>
      <w:r>
        <w:rPr>
          <w:rFonts w:ascii="Arial" w:cs="Arial" w:eastAsia="Arial" w:hAnsi="Arial"/>
          <w:sz w:val="18"/>
          <w:szCs w:val="18"/>
          <w:b w:val="1"/>
          <w:bCs w:val="1"/>
          <w:i w:val="1"/>
          <w:iCs w:val="1"/>
          <w:color w:val="auto"/>
        </w:rPr>
        <w:t>Joint Bookrunners</w:t>
      </w:r>
      <w:r>
        <w:rPr>
          <w:rFonts w:ascii="Arial" w:cs="Arial" w:eastAsia="Arial" w:hAnsi="Arial"/>
          <w:sz w:val="18"/>
          <w:szCs w:val="18"/>
          <w:color w:val="auto"/>
        </w:rPr>
        <w:t>”), and (iii) MSSF will act as administrative agent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collateral agent for the Senior Credit Facilities (in such capacities,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It is further agreed that MSSF shall have “</w:t>
      </w:r>
      <w:r>
        <w:rPr>
          <w:rFonts w:ascii="Arial" w:cs="Arial" w:eastAsia="Arial" w:hAnsi="Arial"/>
          <w:sz w:val="18"/>
          <w:szCs w:val="18"/>
          <w:b w:val="1"/>
          <w:bCs w:val="1"/>
          <w:i w:val="1"/>
          <w:iCs w:val="1"/>
          <w:color w:val="auto"/>
        </w:rPr>
        <w:t>left side</w:t>
      </w:r>
      <w:r>
        <w:rPr>
          <w:rFonts w:ascii="Arial" w:cs="Arial" w:eastAsia="Arial" w:hAnsi="Arial"/>
          <w:sz w:val="18"/>
          <w:szCs w:val="18"/>
          <w:color w:val="auto"/>
        </w:rPr>
        <w:t xml:space="preserve">” designation and shall appear on the top left of any Information Materials (as defined below) and all other offering or marketing materials in respect of the Senior Credit Facilities. You agree that no other agents, co-agents, arrangers or bookrunners will be appointed, no other titles will be awarded and no compensation (other than compensation expressly contemplated by this Commitment Letter and the Fee Letter referred to below) will be required to be paid to any Lender (as defined below) expressly in order to obtain its commitment to participate in the Senior Credit Facilities unless you and we shall so agree;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seven (7) business days after the date of your acceptance of this Commitment Letter (the “</w:t>
      </w:r>
      <w:r>
        <w:rPr>
          <w:rFonts w:ascii="Arial" w:cs="Arial" w:eastAsia="Arial" w:hAnsi="Arial"/>
          <w:sz w:val="18"/>
          <w:szCs w:val="18"/>
          <w:b w:val="1"/>
          <w:bCs w:val="1"/>
          <w:i w:val="1"/>
          <w:iCs w:val="1"/>
          <w:color w:val="auto"/>
        </w:rPr>
        <w:t>Signing Date</w:t>
      </w:r>
      <w:r>
        <w:rPr>
          <w:rFonts w:ascii="Arial" w:cs="Arial" w:eastAsia="Arial" w:hAnsi="Arial"/>
          <w:sz w:val="18"/>
          <w:szCs w:val="18"/>
          <w:color w:val="auto"/>
        </w:rPr>
        <w:t>”) and prior to the Closing Date, you may appoint up to (i) 3 additional lead arrangers, joint bookrunners, agents or co-agents (the “</w:t>
      </w:r>
      <w:r>
        <w:rPr>
          <w:rFonts w:ascii="Arial" w:cs="Arial" w:eastAsia="Arial" w:hAnsi="Arial"/>
          <w:sz w:val="18"/>
          <w:szCs w:val="18"/>
          <w:b w:val="1"/>
          <w:bCs w:val="1"/>
          <w:i w:val="1"/>
          <w:iCs w:val="1"/>
          <w:color w:val="auto"/>
        </w:rPr>
        <w:t>Additional Commitment Parties</w:t>
      </w:r>
      <w:r>
        <w:rPr>
          <w:rFonts w:ascii="Arial" w:cs="Arial" w:eastAsia="Arial" w:hAnsi="Arial"/>
          <w:sz w:val="18"/>
          <w:szCs w:val="18"/>
          <w:color w:val="auto"/>
        </w:rPr>
        <w:t xml:space="preserve">”) with respect to the Senior Credit Facilities and such appointees shall receive no more than 10% of the aggregate economics of each of the Senior Credit Facilities (it being understood that, to the extent you appoint additional agents, co-agents, lenders or bookrunners or confer other titles in respect of any Senior Credit Facility, such financial institution or affiliates thereof shall commit to providing a percentage of the aggregate principal amount of the Senior Credit Facilities at least commensurate with the economics and fees awarded to such financial institution and its affiliates, shall assume a pro rata portion of the commitments across the Senior Credit Facilities, and the commitments of the Initial Lenders in respect of the Senior Credit Facilities will be reduced in aggregate by the amount of the commitments of such Additional Commitment Parties (or their relevant affiliates), with such reduction allocated to reduce the commitments of the Initial Lenders on the date hereof on a pro rata basis according to the respective amounts of their commitments, unless each of the Initial Lenders in respect of the Senior Credit Facilities otherwise consents in writing, and, upon the execution by such financial institution (and any relevant affiliate) of customary joinder documentation or an amendment to this Commitment Letter and the Fee Letter, thereafter, each such financial institution (and any relevant affiliate) shall constitute a “Commitment Party” and, “Joint Bookrunner” hereunder and thereunder and it or its relevant affiliate providing such commitment shall constitute an “Initial Lender” hereunder and thereunder);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no event shall the Initial Lenders party hereto on the date hereof receive a lesser percentage of the commitments in respect of the Senior Credit Facilities (in each case, and corresponding economics) than any Joint Bookrunner appointed after the date hereof. We agree to execute such customary joinder agreements and amendments to this Commitment Letter and the Fee Letter as you may reasonably request and that are reasonably acceptable to us in connection with your appointment rights pursuant to this Section 2.</w:t>
      </w:r>
    </w:p>
    <w:p>
      <w:pPr>
        <w:spacing w:after="0" w:line="174"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Syndication.</w:t>
      </w:r>
    </w:p>
    <w:p>
      <w:pPr>
        <w:spacing w:after="0" w:line="2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The Joint Bookrunners reserve the right, prior to, on or after the Closing Date (as defined below), but subject to the limitations set forth herein, to syndicate all or a portion of the Initial Lenders’ respective commitments hereunder to a group of banks, financial institutions and other institutional lenders and investors (together with the Initial Lenders, the “</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xml:space="preserve">”) identified by the Joint Bookrunners in consultation with you and reasonably acceptable to you;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(a) we agree not to syndicate our commitments to (i) competitors of you, the Borrower and your respective subsidiaries identified by you to us in writing from time to time, (ii) (x) any persons that are engaged as principals primarily in private equity, mezzanine financing or venture capital and (y) certain banks, financial institutions, other institutional lenders and other entities, in each case of (x) and (y) that have been specified to us by you in writing on or prior to the date hereof and (iii) as to any entity referenced in each case of clauses (i) and (ii) above (the “</w:t>
      </w:r>
      <w:r>
        <w:rPr>
          <w:rFonts w:ascii="Arial" w:cs="Arial" w:eastAsia="Arial" w:hAnsi="Arial"/>
          <w:sz w:val="19"/>
          <w:szCs w:val="19"/>
          <w:b w:val="1"/>
          <w:bCs w:val="1"/>
          <w:i w:val="1"/>
          <w:iCs w:val="1"/>
          <w:color w:val="auto"/>
        </w:rPr>
        <w:t>Primary Disqualified Institution</w:t>
      </w:r>
      <w:r>
        <w:rPr>
          <w:rFonts w:ascii="Arial" w:cs="Arial" w:eastAsia="Arial" w:hAnsi="Arial"/>
          <w:sz w:val="19"/>
          <w:szCs w:val="19"/>
          <w:color w:val="auto"/>
        </w:rPr>
        <w:t>”), any of such Primary Disqualified Institutions’s known affiliates or affiliates identified in writing to us or otherwise readily identifiable by name, but excluding any affiliate that is primarily engaged in, or that advises funds or other investment vehicles that are engaged in, making, purchasing, holding or otherwise investing in commercial loans, bonds and similar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3" w:name="page54"/>
    <w:bookmarkEnd w:id="53"/>
    <w:p>
      <w:pPr>
        <w:jc w:val="both"/>
        <w:spacing w:after="0" w:line="268" w:lineRule="auto"/>
        <w:rPr>
          <w:sz w:val="20"/>
          <w:szCs w:val="20"/>
          <w:color w:val="auto"/>
        </w:rPr>
      </w:pPr>
      <w:r>
        <w:rPr>
          <w:rFonts w:ascii="Arial" w:cs="Arial" w:eastAsia="Arial" w:hAnsi="Arial"/>
          <w:sz w:val="18"/>
          <w:szCs w:val="18"/>
          <w:color w:val="auto"/>
        </w:rPr>
        <w:t>extensions of credit or securities in the ordinary course and with respect to which the Primary Disqualified Institution does not, directly or indirectly, possess the power to direct or cause the direction of the investment policies of such entity (clauses (i), (ii) and (iii) above collectively, the “</w:t>
      </w:r>
      <w:r>
        <w:rPr>
          <w:rFonts w:ascii="Arial" w:cs="Arial" w:eastAsia="Arial" w:hAnsi="Arial"/>
          <w:sz w:val="18"/>
          <w:szCs w:val="18"/>
          <w:b w:val="1"/>
          <w:bCs w:val="1"/>
          <w:i w:val="1"/>
          <w:iCs w:val="1"/>
          <w:color w:val="auto"/>
        </w:rPr>
        <w:t>Disqualified Institutions</w:t>
      </w:r>
      <w:r>
        <w:rPr>
          <w:rFonts w:ascii="Arial" w:cs="Arial" w:eastAsia="Arial" w:hAnsi="Arial"/>
          <w:sz w:val="18"/>
          <w:szCs w:val="18"/>
          <w:color w:val="auto"/>
        </w:rPr>
        <w:t xml:space="preserve">”) and that no Disqualified Institutions may become Lenders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further</w:t>
      </w:r>
      <w:r>
        <w:rPr>
          <w:rFonts w:ascii="Arial" w:cs="Arial" w:eastAsia="Arial" w:hAnsi="Arial"/>
          <w:sz w:val="18"/>
          <w:szCs w:val="18"/>
          <w:color w:val="auto"/>
        </w:rPr>
        <w:t xml:space="preserve"> that any additional designation permitted by the foregoing shall not apply retroactively to any prior assignment to any Lender (or prior participation in the Senior Credit Facilities) permitted hereunder at the time of such assignment (or prior participation in the Senior Credit Facilities)) and (b) notwithstanding the Joint Bookrunners’ right to syndicate the Senior Credit Facilities and receive commitments with respect thereto, and other than, upon execution and delivery of a joinder agreement or an amendment to this Commitment Letter and/or the Fee Letter, in connection with any assignment to an Additional Commitment Party in respect of the amount allocated to such Additional Commitment Party pursuant to such joinder agreement or amendment, (i) no Initial Lender shall be relieved, released or novated from its obligations hereunder, including its obligation to fund the Senior Credit Facilities on the date of the consummation of the Transactions with the proceeds of the initial funding under the Senior Credit Facilities (the date of such funding,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in connection with any syndication, assignment or participation of the Senior Credit Facilities, including its commitments in respect thereof, until after the initial funding under the Senior Credit Facilities on the Closing Date has occurred, (ii) no assignment or novation shall become effective (as between you and the Initial Lenders) with respect to all or any portion of any Initial Lender’s commitments in respect of the Senior Credit Facility, as applicable, until the initial funding of the Senior Credit Facilities has occurred and (iii) unless you otherwise agree in writing, each Initial Lender shall retain exclusive control over all rights and obligations with respect to its commitments in respect of the Senior Credit Facilities, including all rights with respect to consents, modifications, supplements, waivers and amendments, until the initial funding under the Senior Credit Facilities on the Closing Date has occurred;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preceding clauses (b)(i) through (iii) shall not apply to any reduction of commitments in connection with the appointment of any additional bookrunner pursuant to Section 2 above.</w:t>
      </w:r>
    </w:p>
    <w:p>
      <w:pPr>
        <w:spacing w:after="0" w:line="18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Without limiting your obligations to assist with syndication efforts as set forth herein, it is understood that the Initial Lenders’ commitments hereunder are not conditioned upon the syndication of, or receipt of commitments in respect of, the Senior Credit Facilities and in no event shall the commencement or successful completion of syndication of the Senior Credit Facilities constitute a condition to the availability of the Senior Credit Facilities on the Closing Date. In consultation with you, the Joint Bookrunners shall commence syndication efforts with respect to the Senior Credit Facilities promptly after the date hereof and, as part of their syndication efforts, it is their intent to have Lenders commit to the Senior Credit Facilities as soon as possible after the Acceptance Date and prior to the Closing Date (subject to the limitations set forth in the preceding paragraph). Until the earlier of (i) the date upon which a Successful Syndication (as defined in the Fee Letter referred to below) is achieved and (ii) the date that is 30 days after the Closing Date (such earlier date, the “</w:t>
      </w:r>
      <w:r>
        <w:rPr>
          <w:rFonts w:ascii="Arial" w:cs="Arial" w:eastAsia="Arial" w:hAnsi="Arial"/>
          <w:sz w:val="18"/>
          <w:szCs w:val="18"/>
          <w:b w:val="1"/>
          <w:bCs w:val="1"/>
          <w:i w:val="1"/>
          <w:iCs w:val="1"/>
          <w:color w:val="auto"/>
        </w:rPr>
        <w:t>Syndication Date</w:t>
      </w:r>
      <w:r>
        <w:rPr>
          <w:rFonts w:ascii="Arial" w:cs="Arial" w:eastAsia="Arial" w:hAnsi="Arial"/>
          <w:sz w:val="18"/>
          <w:szCs w:val="18"/>
          <w:color w:val="auto"/>
        </w:rPr>
        <w:t>”), you agree to assist the Joint Bookrunners in completing a syndication that is reasonably satisfactory to us and you. Such assistance shall be limited to (a) your using commercially reasonable efforts to ensure that any syndication efforts benefit from your existing lending and investment banking relationships, (b) your providing direct contact (which may be telephonic) between appropriate members of senior management, certain representatives and certain non-legal advisors of you, on the one hand, and the proposed Lenders, on the other hand, in all such cases at times mutually agreed upon, (c) your assistance in the preparation of the Information Materials and other customary offering and marketing materials to be used in connection with the syndication, (d) using your commercially reasonable efforts, with our assistance, to procure prior to or concurrent with the launch of syndication, at your expense, public ratings (but not specific ratings) for the Senior Credit Facilities from each of Standard &amp; Poor’s Ratings Services (“</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and Moody’s, Investors Service, Inc. (“</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and a public corporate credit rating and a public corporate family rating (but not specific ratings in either case) in respect of the Borrower after giving effect to the Transactions from each of S&amp;P and Moody’s, respectively, (e) the hosting, with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Joint Bookrunners, of one meeting (which may be telephonic) of prospective Lenders at a time and location to be mutually agreed upon and</w:t>
      </w:r>
    </w:p>
    <w:p>
      <w:pPr>
        <w:spacing w:after="0" w:line="39" w:lineRule="exact"/>
        <w:rPr>
          <w:sz w:val="20"/>
          <w:szCs w:val="20"/>
          <w:color w:val="auto"/>
        </w:rPr>
      </w:pPr>
    </w:p>
    <w:p>
      <w:pPr>
        <w:jc w:val="both"/>
        <w:ind w:firstLine="8"/>
        <w:spacing w:after="0" w:line="267" w:lineRule="auto"/>
        <w:tabs>
          <w:tab w:leader="none" w:pos="2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prior to the later of Closing Date and the Syndication Date, there being no competing issues, offerings or placements of debt securities or commercial bank or other syndicated credit facilities by or on behalf of you or any of your subsidiaries being offered, placed or arranged (other than (1) the Senior Credit Facilities, (2) replacements, extensions and renewals of existing indebtedness that matures prior to the Closing Date, (3) intercompany indebtedness, deferred purchase price obligations and debt incurred in the ordinary course of business (including working capital facilities, capital leases, purchase money and equipment financings and letters of credit) and (4) indebtedness in respect of which a fee is payable pursuant to the Fee Letter) without the consent of the Joint Bookrunners, if such issuance, offering, placement or arrangement would reasonably be expected to materially impair the primary syndication of the Senior Credit Facilities (it being understood that working capital debt (including drawings under the Borrower’s existing asset based revolving credit facility) and ordinary course debt will not materially impair the syndication of the Senior Credit Facilities). Notwithstanding anything to the contrary contained in this Commitment Letter or the Fee Letter or any other letter agreement or undertaking concerning the financing of the Transactions to the contrary, neither the obtaining of the ratings referenced above nor the compliance with any of the other provisions set forth in this Commitment Letter (other than as set forth in paragraph 5 hereto or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constitute a condition to the commitments hereunder or the funding of the Senior Credit Facilities on the Closing Date. For the avoidance of doubt, you will not be required to provide any information to the extent that the provision thereof would violate any attorney-client privilege, law, rule or regulation, fiduciary duty, binding agreement or any obligation of confidentiality (not created in contemplation hereof) binding on you or your or its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you do not provide information in reliance on the exclusions in this sentence, you shall use your commercially reasonable efforts to provide notice to the Lead Arrangers promptly upon obtaining knowledge that such information is being withheld;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further</w:t>
      </w:r>
      <w:r>
        <w:rPr>
          <w:rFonts w:ascii="Arial" w:cs="Arial" w:eastAsia="Arial" w:hAnsi="Arial"/>
          <w:sz w:val="18"/>
          <w:szCs w:val="18"/>
          <w:color w:val="auto"/>
        </w:rPr>
        <w:t>, that none of the foregoing shall be construed to limit any of your or the Borrower’s representations and warranties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Section 4 of this Commitment Letter (and any corresponding representation in the Information Memorandum or the Senior Credit Facilities Documentation, as applicable).</w:t>
      </w:r>
    </w:p>
    <w:p>
      <w:pPr>
        <w:spacing w:after="0" w:line="18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The Joint Bookrunners, in their capacities as such, will manage, in frequent consultation with you, all aspects of any syndication of the Senior Credit Facilities, including decisions as to the selection of institutions to be approached and when they will be approached, when their commitments will be accepted, which institutions will participate, the allocation of the commitments among the Lenders and the amount and distribution of fees among the Lenders (subject, in each case, to your consent rights set forth in the second preceding paragraph and excluding Disqualified Institutions). To assist the Joint Bookrunners in their syndication efforts, you agree to promptly prepare and provide to us all customary and reasonably available information with respect to you and each of your and its respective subsidiaries and the Transactions, including customary financial information and projections prepared by the Borrower and reasonably available to you (including financial estimates, forecasts and other forward-looking information, 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xml:space="preserve">”), as the Joint Bookrunners may reasonably request in connection with the structuring, arrangement and syndication of the Senior Credit Facilities. For the avoidance of doubt, you will not be required to provide (i) any financial information (other than the financial statements referenced in numbered paragraph 2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that you do not maintain in the ordinary course of business, (ii) any other information not reasonably available to the Borrower under its current reporting systems or (iii) trade secrets or information to the extent that the provision thereof would violate any law, rule or regulation, or any obligation of confidentiality binding upon, or waive any privilege that may be asserted by you or any of your respective affiliates; </w:t>
      </w:r>
      <w:r>
        <w:rPr>
          <w:rFonts w:ascii="Arial" w:cs="Arial" w:eastAsia="Arial" w:hAnsi="Arial"/>
          <w:sz w:val="18"/>
          <w:szCs w:val="18"/>
          <w:b w:val="1"/>
          <w:bCs w:val="1"/>
          <w:i w:val="1"/>
          <w:iCs w:val="1"/>
          <w:color w:val="auto"/>
        </w:rPr>
        <w:t xml:space="preserve">provided </w:t>
      </w:r>
      <w:r>
        <w:rPr>
          <w:rFonts w:ascii="Arial" w:cs="Arial" w:eastAsia="Arial" w:hAnsi="Arial"/>
          <w:sz w:val="18"/>
          <w:szCs w:val="18"/>
          <w:color w:val="auto"/>
        </w:rPr>
        <w:t>that in the event you do not provide information pursuant to clause (iii) above in reliance on this sentence, you shall provide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the Joint Bookrunners that such information is being withheld to the extent you are able to do so without violating the applicable obligation or waiving privilege;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further</w:t>
      </w:r>
      <w:r>
        <w:rPr>
          <w:rFonts w:ascii="Arial" w:cs="Arial" w:eastAsia="Arial" w:hAnsi="Arial"/>
          <w:sz w:val="18"/>
          <w:szCs w:val="18"/>
          <w:color w:val="auto"/>
        </w:rPr>
        <w:t>, that none of the foregoing shall be construed to limit any of your or the Borrower’s representations and warranties set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5" w:name="page56"/>
    <w:bookmarkEnd w:id="55"/>
    <w:p>
      <w:pPr>
        <w:jc w:val="both"/>
        <w:spacing w:after="0" w:line="246" w:lineRule="auto"/>
        <w:rPr>
          <w:sz w:val="20"/>
          <w:szCs w:val="20"/>
          <w:color w:val="auto"/>
        </w:rPr>
      </w:pPr>
      <w:r>
        <w:rPr>
          <w:rFonts w:ascii="Arial" w:cs="Arial" w:eastAsia="Arial" w:hAnsi="Arial"/>
          <w:sz w:val="20"/>
          <w:szCs w:val="20"/>
          <w:color w:val="auto"/>
        </w:rPr>
        <w:t xml:space="preserve">forth in Section 4 of this Commitment Letter (and any corresponding representation in the Information Memorandum or the Senior Credit Facilities Documentation, as applicable). Notwithstanding anything herein to the contrary, the only financial statements that shall be required to be provided to the Commitment Parties in connection with the syndication of the Credit Facilities shall be those required to be delivered pursuant to clause 2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9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You hereby acknowledge that (a) the Joint Bookrunners will make available Information (as defined below), the Projections and other customary offering and marketing materials and presentations, including a confidential lender presentation to be used in connection with the syndication of the Senior Credit Facilities (the “</w:t>
      </w:r>
      <w:r>
        <w:rPr>
          <w:rFonts w:ascii="Arial" w:cs="Arial" w:eastAsia="Arial" w:hAnsi="Arial"/>
          <w:sz w:val="18"/>
          <w:szCs w:val="18"/>
          <w:b w:val="1"/>
          <w:bCs w:val="1"/>
          <w:i w:val="1"/>
          <w:iCs w:val="1"/>
          <w:color w:val="auto"/>
        </w:rPr>
        <w:t>Information Memorandum</w:t>
      </w:r>
      <w:r>
        <w:rPr>
          <w:rFonts w:ascii="Arial" w:cs="Arial" w:eastAsia="Arial" w:hAnsi="Arial"/>
          <w:sz w:val="18"/>
          <w:szCs w:val="18"/>
          <w:color w:val="auto"/>
        </w:rPr>
        <w:t>”) (such Information, Projections, other customary offering and marketing materials and the Information Memorandum (all of which, when taken as a whole, shall be in form and substance no less favorable to the Borrower and its affiliates than confidential information memoranda and other marketing materials for recent transactions of the Borrower and other affiliates of the Borrower, as modified to take into account the Transactions), collectively, with the Term Sheet, the “</w:t>
      </w:r>
      <w:r>
        <w:rPr>
          <w:rFonts w:ascii="Arial" w:cs="Arial" w:eastAsia="Arial" w:hAnsi="Arial"/>
          <w:sz w:val="18"/>
          <w:szCs w:val="18"/>
          <w:b w:val="1"/>
          <w:bCs w:val="1"/>
          <w:i w:val="1"/>
          <w:iCs w:val="1"/>
          <w:color w:val="auto"/>
        </w:rPr>
        <w:t>Information Materials</w:t>
      </w:r>
      <w:r>
        <w:rPr>
          <w:rFonts w:ascii="Arial" w:cs="Arial" w:eastAsia="Arial" w:hAnsi="Arial"/>
          <w:sz w:val="18"/>
          <w:szCs w:val="18"/>
          <w:color w:val="auto"/>
        </w:rPr>
        <w:t>”) on a confidential basis to the proposed syndicate of Lenders by posting the Information Materials on Intralinks, Debt X, SyndTrak Online or by similar electronic means and (b) certain of the Lenders may be “</w:t>
      </w:r>
      <w:r>
        <w:rPr>
          <w:rFonts w:ascii="Arial" w:cs="Arial" w:eastAsia="Arial" w:hAnsi="Arial"/>
          <w:sz w:val="18"/>
          <w:szCs w:val="18"/>
          <w:b w:val="1"/>
          <w:bCs w:val="1"/>
          <w:i w:val="1"/>
          <w:iCs w:val="1"/>
          <w:color w:val="auto"/>
        </w:rPr>
        <w:t>public side</w:t>
      </w:r>
      <w:r>
        <w:rPr>
          <w:rFonts w:ascii="Arial" w:cs="Arial" w:eastAsia="Arial" w:hAnsi="Arial"/>
          <w:sz w:val="18"/>
          <w:szCs w:val="18"/>
          <w:color w:val="auto"/>
        </w:rPr>
        <w:t>” Lenders who may be engaged in investment and other market-related activities with respect to you or your respective securities that do not wish to receive material information within the meaning of federal and state securities laws with respect to you or your or their securities that is not publicly available or is of a type that would customarily be publicly disclosed (as reasonably determined by you) and has not been made available on EDGAR (“</w:t>
      </w:r>
      <w:r>
        <w:rPr>
          <w:rFonts w:ascii="Arial" w:cs="Arial" w:eastAsia="Arial" w:hAnsi="Arial"/>
          <w:sz w:val="18"/>
          <w:szCs w:val="18"/>
          <w:b w:val="1"/>
          <w:bCs w:val="1"/>
          <w:i w:val="1"/>
          <w:iCs w:val="1"/>
          <w:color w:val="auto"/>
        </w:rPr>
        <w:t>MNPI</w:t>
      </w:r>
      <w:r>
        <w:rPr>
          <w:rFonts w:ascii="Arial" w:cs="Arial" w:eastAsia="Arial" w:hAnsi="Arial"/>
          <w:sz w:val="18"/>
          <w:szCs w:val="18"/>
          <w:color w:val="auto"/>
        </w:rPr>
        <w:t>”) (such Lenders each, a “</w:t>
      </w:r>
      <w:r>
        <w:rPr>
          <w:rFonts w:ascii="Arial" w:cs="Arial" w:eastAsia="Arial" w:hAnsi="Arial"/>
          <w:sz w:val="18"/>
          <w:szCs w:val="18"/>
          <w:b w:val="1"/>
          <w:bCs w:val="1"/>
          <w:i w:val="1"/>
          <w:iCs w:val="1"/>
          <w:color w:val="auto"/>
        </w:rPr>
        <w:t>Public Sider</w:t>
      </w:r>
      <w:r>
        <w:rPr>
          <w:rFonts w:ascii="Arial" w:cs="Arial" w:eastAsia="Arial" w:hAnsi="Arial"/>
          <w:sz w:val="18"/>
          <w:szCs w:val="18"/>
          <w:color w:val="auto"/>
        </w:rPr>
        <w:t>” and each Lender that is not a Public Sider, a “</w:t>
      </w:r>
      <w:r>
        <w:rPr>
          <w:rFonts w:ascii="Arial" w:cs="Arial" w:eastAsia="Arial" w:hAnsi="Arial"/>
          <w:sz w:val="18"/>
          <w:szCs w:val="18"/>
          <w:b w:val="1"/>
          <w:bCs w:val="1"/>
          <w:i w:val="1"/>
          <w:iCs w:val="1"/>
          <w:color w:val="auto"/>
        </w:rPr>
        <w:t>Private Sider</w:t>
      </w:r>
      <w:r>
        <w:rPr>
          <w:rFonts w:ascii="Arial" w:cs="Arial" w:eastAsia="Arial" w:hAnsi="Arial"/>
          <w:sz w:val="18"/>
          <w:szCs w:val="18"/>
          <w:color w:val="auto"/>
        </w:rPr>
        <w:t>”).</w:t>
      </w:r>
    </w:p>
    <w:p>
      <w:pPr>
        <w:spacing w:after="0" w:line="17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At the reasonable request of the Joint Bookrunners, you agree to assist us in preparing an additional version of the Information Materials to be used in connection with the syndication of the Senior Credit Facilities that does not include MNPI (all such information and documentation being “</w:t>
      </w:r>
      <w:r>
        <w:rPr>
          <w:rFonts w:ascii="Arial" w:cs="Arial" w:eastAsia="Arial" w:hAnsi="Arial"/>
          <w:sz w:val="19"/>
          <w:szCs w:val="19"/>
          <w:b w:val="1"/>
          <w:bCs w:val="1"/>
          <w:i w:val="1"/>
          <w:iCs w:val="1"/>
          <w:color w:val="auto"/>
        </w:rPr>
        <w:t>Public Information</w:t>
      </w:r>
      <w:r>
        <w:rPr>
          <w:rFonts w:ascii="Arial" w:cs="Arial" w:eastAsia="Arial" w:hAnsi="Arial"/>
          <w:sz w:val="19"/>
          <w:szCs w:val="19"/>
          <w:color w:val="auto"/>
        </w:rPr>
        <w:t>”) to be used by Public Siders. It is understood that in connection with your assistance described above, at our reasonable request, the Borrower shall provide us with customary authorization letters for inclusion in any Information Materials that authorize the distribution thereof to prospective Lenders and shall confirm that the additional version of the Information Materials does not include any information that would be MNPI (other than information about the Transactions or the Senior Credit Facilities) and the Information Materials shall exculpate you,the Borrower, the affiliates of the Borrower and us and our affiliates with respect to any liability related to the use or misuse of the contents of the Information Materials or related offering and marketing materials by the recipients thereof. Before distribution of any Information Materials, you agree to use commercially reasonable efforts to identify that portion of the Information Materials that may be distributed to the Public Siders as containing solely “</w:t>
      </w:r>
      <w:r>
        <w:rPr>
          <w:rFonts w:ascii="Arial" w:cs="Arial" w:eastAsia="Arial" w:hAnsi="Arial"/>
          <w:sz w:val="19"/>
          <w:szCs w:val="19"/>
          <w:b w:val="1"/>
          <w:bCs w:val="1"/>
          <w:i w:val="1"/>
          <w:iCs w:val="1"/>
          <w:color w:val="auto"/>
        </w:rPr>
        <w:t>Public Information</w:t>
      </w:r>
      <w:r>
        <w:rPr>
          <w:rFonts w:ascii="Arial" w:cs="Arial" w:eastAsia="Arial" w:hAnsi="Arial"/>
          <w:sz w:val="19"/>
          <w:szCs w:val="19"/>
          <w:b w:val="1"/>
          <w:bCs w:val="1"/>
          <w:color w:val="auto"/>
        </w:rPr>
        <w:t>,</w:t>
      </w:r>
      <w:r>
        <w:rPr>
          <w:rFonts w:ascii="Arial" w:cs="Arial" w:eastAsia="Arial" w:hAnsi="Arial"/>
          <w:sz w:val="19"/>
          <w:szCs w:val="19"/>
          <w:color w:val="auto"/>
        </w:rPr>
        <w:t>” which, at a minimum, shall mean that the word “</w:t>
      </w:r>
      <w:r>
        <w:rPr>
          <w:rFonts w:ascii="Arial" w:cs="Arial" w:eastAsia="Arial" w:hAnsi="Arial"/>
          <w:sz w:val="19"/>
          <w:szCs w:val="19"/>
          <w:b w:val="1"/>
          <w:bCs w:val="1"/>
          <w:i w:val="1"/>
          <w:iCs w:val="1"/>
          <w:color w:val="auto"/>
        </w:rPr>
        <w:t>PUBLIC</w:t>
      </w:r>
      <w:r>
        <w:rPr>
          <w:rFonts w:ascii="Arial" w:cs="Arial" w:eastAsia="Arial" w:hAnsi="Arial"/>
          <w:sz w:val="19"/>
          <w:szCs w:val="19"/>
          <w:color w:val="auto"/>
        </w:rPr>
        <w:t>” shall appear prominently on the first page thereof. By marking Information Materials as “</w:t>
      </w:r>
      <w:r>
        <w:rPr>
          <w:rFonts w:ascii="Arial" w:cs="Arial" w:eastAsia="Arial" w:hAnsi="Arial"/>
          <w:sz w:val="19"/>
          <w:szCs w:val="19"/>
          <w:b w:val="1"/>
          <w:bCs w:val="1"/>
          <w:i w:val="1"/>
          <w:iCs w:val="1"/>
          <w:color w:val="auto"/>
        </w:rPr>
        <w:t>PUBLIC</w:t>
      </w:r>
      <w:r>
        <w:rPr>
          <w:rFonts w:ascii="Arial" w:cs="Arial" w:eastAsia="Arial" w:hAnsi="Arial"/>
          <w:sz w:val="19"/>
          <w:szCs w:val="19"/>
          <w:b w:val="1"/>
          <w:bCs w:val="1"/>
          <w:color w:val="auto"/>
        </w:rPr>
        <w:t>,</w:t>
      </w:r>
      <w:r>
        <w:rPr>
          <w:rFonts w:ascii="Arial" w:cs="Arial" w:eastAsia="Arial" w:hAnsi="Arial"/>
          <w:sz w:val="19"/>
          <w:szCs w:val="19"/>
          <w:color w:val="auto"/>
        </w:rPr>
        <w:t>” you shall be deemed to have authorized the Commitment Parties and the proposed Lenders to treat such Information Materials as not containing any MNPI (it being understood that you shall not be under any obligation to mark any particular Information Materials “</w:t>
      </w:r>
      <w:r>
        <w:rPr>
          <w:rFonts w:ascii="Arial" w:cs="Arial" w:eastAsia="Arial" w:hAnsi="Arial"/>
          <w:sz w:val="19"/>
          <w:szCs w:val="19"/>
          <w:b w:val="1"/>
          <w:bCs w:val="1"/>
          <w:i w:val="1"/>
          <w:iCs w:val="1"/>
          <w:color w:val="auto"/>
        </w:rPr>
        <w:t>PUBLIC</w:t>
      </w:r>
      <w:r>
        <w:rPr>
          <w:rFonts w:ascii="Arial" w:cs="Arial" w:eastAsia="Arial" w:hAnsi="Arial"/>
          <w:sz w:val="19"/>
          <w:szCs w:val="19"/>
          <w:color w:val="auto"/>
        </w:rPr>
        <w:t>”). You agree that, unless expressly identified as “</w:t>
      </w:r>
      <w:r>
        <w:rPr>
          <w:rFonts w:ascii="Arial" w:cs="Arial" w:eastAsia="Arial" w:hAnsi="Arial"/>
          <w:sz w:val="19"/>
          <w:szCs w:val="19"/>
          <w:b w:val="1"/>
          <w:bCs w:val="1"/>
          <w:i w:val="1"/>
          <w:iCs w:val="1"/>
          <w:color w:val="auto"/>
        </w:rPr>
        <w:t>Public Information</w:t>
      </w:r>
      <w:r>
        <w:rPr>
          <w:rFonts w:ascii="Arial" w:cs="Arial" w:eastAsia="Arial" w:hAnsi="Arial"/>
          <w:sz w:val="19"/>
          <w:szCs w:val="19"/>
          <w:b w:val="1"/>
          <w:bCs w:val="1"/>
          <w:color w:val="auto"/>
        </w:rPr>
        <w:t>,</w:t>
      </w:r>
      <w:r>
        <w:rPr>
          <w:rFonts w:ascii="Arial" w:cs="Arial" w:eastAsia="Arial" w:hAnsi="Arial"/>
          <w:sz w:val="19"/>
          <w:szCs w:val="19"/>
          <w:color w:val="auto"/>
        </w:rPr>
        <w:t>” each document to be disseminated by the Joint Bookrunners (or any other agent) to any Lender in connection with the Senior Credit Facilities will be deemed to contain MNPI and we will not make any such materials available to Public Siders.</w:t>
      </w:r>
    </w:p>
    <w:p>
      <w:pPr>
        <w:spacing w:after="0" w:line="18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You acknowledge and agree that, subject to the confidentiality and other provisions of this Commitment Letter, the following documents may be distributed to both Private Siders and Public Siders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materials have been provided to you and your counsel for review a reasonable period of time prior thereto), unless you advise the Joint Bookrunners in writing (including by email) within a reasonable time prior to their intended distribution that such materials should only be distributed to Private Siders: (a) administrative materials prepared by the Joint Bookrunners for prospective Lenders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6" w:name="page57"/>
    <w:bookmarkEnd w:id="56"/>
    <w:p>
      <w:pPr>
        <w:jc w:val="both"/>
        <w:spacing w:after="0" w:line="274" w:lineRule="auto"/>
        <w:rPr>
          <w:sz w:val="20"/>
          <w:szCs w:val="20"/>
          <w:color w:val="auto"/>
        </w:rPr>
      </w:pPr>
      <w:r>
        <w:rPr>
          <w:rFonts w:ascii="Arial" w:cs="Arial" w:eastAsia="Arial" w:hAnsi="Arial"/>
          <w:sz w:val="18"/>
          <w:szCs w:val="18"/>
          <w:color w:val="auto"/>
        </w:rPr>
        <w:t>(such as a lender meeting invitation, bank allocation, if any, and funding and closing memoranda), (b) term sheets and notification of changes in the Senior Credit Facilities’ terms and conditions and (c) drafts and final versions of the Senior Credit Facilities documentation (the “</w:t>
      </w:r>
      <w:r>
        <w:rPr>
          <w:rFonts w:ascii="Arial" w:cs="Arial" w:eastAsia="Arial" w:hAnsi="Arial"/>
          <w:sz w:val="18"/>
          <w:szCs w:val="18"/>
          <w:b w:val="1"/>
          <w:bCs w:val="1"/>
          <w:i w:val="1"/>
          <w:iCs w:val="1"/>
          <w:color w:val="auto"/>
        </w:rPr>
        <w:t>Senior Credit Facilities Documentation</w:t>
      </w:r>
      <w:r>
        <w:rPr>
          <w:rFonts w:ascii="Arial" w:cs="Arial" w:eastAsia="Arial" w:hAnsi="Arial"/>
          <w:sz w:val="18"/>
          <w:szCs w:val="18"/>
          <w:color w:val="auto"/>
        </w:rPr>
        <w:t>”). If you so advise us in writing within a reasonable period of time (including by email) prior to dissemination that any of the foregoing should be distributed only to Private Siders, then Public Siders will not receive such materials from the Joint Bookrunners without your consent (which consent shall not be unreasonably withheld, delayed or conditioned). You will be solely responsible for the contents of the Information Memorandum and each of the Commitment Parties shall be entitled to use and rely upon the information contained therein without responsibility for independent verification thereof.</w:t>
      </w:r>
    </w:p>
    <w:p>
      <w:pPr>
        <w:spacing w:after="0" w:line="16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Neither the commencement nor the completion of any syndication of the Senior Credit Facilities (including a Successful Syndication), nor the receipt of the ratings described above, nor compliance with the foregoing provisions of this Section 2, will constitute a condition to the commitments of the Initial Lenders hereunder.</w:t>
      </w:r>
    </w:p>
    <w:p>
      <w:pPr>
        <w:spacing w:after="0" w:line="186"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Information.</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You hereby represent and warrant that, (a) all written factual information and written data (other than the Projections and other than information of a general economic or industry specific nature, the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that has been or will be made available to any Commitment Party by you or by any of your representatives on your behalf in connection with the Transactions contemplated hereby, when taken as a whole after giving effect to all supplements and updates provided thereto, is or will be, when furnished,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and (b) the Projections that have been or will be made available to any Commitment Party by you or by any of your representatives on your behalf in connection with the Transactions contemplated hereby have been, or will be, prepared in good faith based upon assumptions that are believed by you to be reasonable at the time prepared and at the time the related Projections are so furnished;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You agree that, if at any time prior to the later of the Closing Date and the Syndication Date, you become aware that any of the representations and warranties in the preceding sentence would be incorrect in any material respect if the Information and the Projections were being furnished, and such representations were being made, at such time, then you will promptly supplement the Information and the Projections such that such representations and warranties are correct in all material respects under those circumstances. The making or accuracy of the foregoing representation and warranties, whether or not cured, shall not be a condition to the obligations of the Commitment Parties hereunder. In arranging and syndicating the Senior Credit Facilities, each of the Commitment Parties (i) will be entitled to use and rely primarily on the Information and the Projections without responsibility for independent verification thereof and (ii) does not assume responsibility for the accuracy or completeness of the Information or the Projections.</w:t>
      </w:r>
    </w:p>
    <w:p>
      <w:pPr>
        <w:spacing w:after="0" w:line="183"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Fees.</w:t>
      </w:r>
    </w:p>
    <w:p>
      <w:pPr>
        <w:spacing w:after="0" w:line="216"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As consideration for the commitments of the Initial Lenders hereunder and for the agreement of the Administrative Agents and the Joint Bookrunners to perform the services described herein, you agree to pay (or cause to be paid) the fees set forth in the Term Sheet and in the Fee Letter dated the date hereof and delivered herewith with respect to the Senior Credit Facilities (the “</w:t>
      </w:r>
      <w:r>
        <w:rPr>
          <w:rFonts w:ascii="Arial" w:cs="Arial" w:eastAsia="Arial" w:hAnsi="Arial"/>
          <w:sz w:val="16"/>
          <w:szCs w:val="16"/>
          <w:b w:val="1"/>
          <w:bCs w:val="1"/>
          <w:i w:val="1"/>
          <w:iCs w:val="1"/>
          <w:color w:val="auto"/>
        </w:rPr>
        <w:t>Fee Letter</w:t>
      </w:r>
      <w:r>
        <w:rPr>
          <w:rFonts w:ascii="Arial" w:cs="Arial" w:eastAsia="Arial" w:hAnsi="Arial"/>
          <w:sz w:val="16"/>
          <w:szCs w:val="16"/>
          <w:color w:val="auto"/>
        </w:rPr>
        <w:t>”), if and to the extent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payable. Once paid, such fees shall not be refundable under any circumstances except as otherwise expressly agreed in writing.</w:t>
      </w:r>
    </w:p>
    <w:p>
      <w:pPr>
        <w:spacing w:after="0" w:line="227"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Conditions.</w:t>
      </w:r>
    </w:p>
    <w:p>
      <w:pPr>
        <w:spacing w:after="0" w:line="2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Notwithstanding anything in this Commitment Letter, the Fee Letter, the Senior Credit Facilities Documentation or any other letter agreement or other undertaking concerning the financing of the transactions contemplated hereby to the contrary, the commitments of the Initial Lenders hereunder to fund the Senior Credit Facilities on the Closing Date and the agreements of the Administrative Agent and the Joint Bookrunners to perform the services described herein are subject solely to (a) the conditions in the immediately following paragraph in this Section 5, (b) the conditions in the section entitled “</w:t>
      </w:r>
      <w:r>
        <w:rPr>
          <w:rFonts w:ascii="Arial" w:cs="Arial" w:eastAsia="Arial" w:hAnsi="Arial"/>
          <w:sz w:val="19"/>
          <w:szCs w:val="19"/>
          <w:b w:val="1"/>
          <w:bCs w:val="1"/>
          <w:i w:val="1"/>
          <w:iCs w:val="1"/>
          <w:color w:val="auto"/>
        </w:rPr>
        <w:t>Initial Conditions</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(c) the conditions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(clauses (a) - (c) collectively, the “</w:t>
      </w:r>
      <w:r>
        <w:rPr>
          <w:rFonts w:ascii="Arial" w:cs="Arial" w:eastAsia="Arial" w:hAnsi="Arial"/>
          <w:sz w:val="19"/>
          <w:szCs w:val="19"/>
          <w:b w:val="1"/>
          <w:bCs w:val="1"/>
          <w:i w:val="1"/>
          <w:iCs w:val="1"/>
          <w:color w:val="auto"/>
        </w:rPr>
        <w:t>Exclusive Funding Conditions</w:t>
      </w:r>
      <w:r>
        <w:rPr>
          <w:rFonts w:ascii="Arial" w:cs="Arial" w:eastAsia="Arial" w:hAnsi="Arial"/>
          <w:sz w:val="19"/>
          <w:szCs w:val="19"/>
          <w:color w:val="auto"/>
        </w:rPr>
        <w:t>”) and, upon satisfaction (or waiver by each Commitment Party) of such Exclusive Funding Conditions, the initial funding of the Senior Credit Facilities shall occur. There are no conditions (implied or otherwise) to the commitments hereunder, and there will be no conditions (implied or otherwise) under the Senior Credit Facilities Documentation to the initial funding of the Senior Credit Facilities on the Closing Date, including compliance with the terms (but not the conditions) of this Commitment Letter, the Fee Letter and the Senior Credit Facilities Documentation, other than the Exclusive Funding Conditions.</w:t>
      </w:r>
    </w:p>
    <w:p>
      <w:pPr>
        <w:spacing w:after="0" w:line="18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Subject to the Conditionality Provision (as defined below), in addition, the commitments of the Initial Lenders hereunder are subject to the execution and delivery by the Borrower and the Guarantors (as defined below), as applicable, of, (a) the Senior Credit Facilities Documentation, which shall be drafted by counsel to the Borrower and shall be consistent with Documentation Precedent (as defined below), the Commitment Letter, the Term Sheet and Fee Letter as described in the “</w:t>
      </w:r>
      <w:r>
        <w:rPr>
          <w:rFonts w:ascii="Arial" w:cs="Arial" w:eastAsia="Arial" w:hAnsi="Arial"/>
          <w:sz w:val="18"/>
          <w:szCs w:val="18"/>
          <w:b w:val="1"/>
          <w:bCs w:val="1"/>
          <w:i w:val="1"/>
          <w:iCs w:val="1"/>
          <w:color w:val="auto"/>
        </w:rPr>
        <w:t>Certain Documentation Matters</w:t>
      </w:r>
      <w:r>
        <w:rPr>
          <w:rFonts w:ascii="Arial" w:cs="Arial" w:eastAsia="Arial" w:hAnsi="Arial"/>
          <w:sz w:val="18"/>
          <w:szCs w:val="18"/>
          <w:color w:val="auto"/>
        </w:rPr>
        <w:t xml:space="preserve">” paragraph contained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with respect to the Senior Credit Facilities Documentation, subject to the Conditionality Provision, and (b) delivery of customary legal opinions, customary closing officer’s certificate (certifying as to authorizing resolutions, organizational documents and incumbency), good standing certificates of the jurisdiction of organization of the Borrower, Holdings and the other Guarantors, and a solvency certificate of a senior financial officer of Holdings or the Borrower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For purposes of this Commitment Letter, the Term Sheet and the Fee Letter, the Senior Credit Facilities Documentation shall be consistent with the Documentation Precedent and “</w:t>
      </w:r>
      <w:r>
        <w:rPr>
          <w:rFonts w:ascii="Arial" w:cs="Arial" w:eastAsia="Arial" w:hAnsi="Arial"/>
          <w:sz w:val="18"/>
          <w:szCs w:val="18"/>
          <w:b w:val="1"/>
          <w:bCs w:val="1"/>
          <w:i w:val="1"/>
          <w:iCs w:val="1"/>
          <w:color w:val="auto"/>
        </w:rPr>
        <w:t>Documentation Precedent</w:t>
      </w:r>
      <w:r>
        <w:rPr>
          <w:rFonts w:ascii="Arial" w:cs="Arial" w:eastAsia="Arial" w:hAnsi="Arial"/>
          <w:sz w:val="18"/>
          <w:szCs w:val="18"/>
          <w:color w:val="auto"/>
        </w:rPr>
        <w:t xml:space="preserve">” shall mean the definitive documentation for the senior secured first lien credit facilities incurred by CommerceHub, Inc., a Delaware corporation, dated December 29, 2020, with (a) modifications as are necessary to reflect the other terms set forth in this Commitment Letter and the Fee Letter and to give due regard to the Model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operational and strategic requirements of the Borrower and its subsidiaries in light of their industries, businesses, geographic locations, business practices, public securities, FCC matters, financial accounting and proposed business plan, (b) modifications to reflect changes in law or accounting standards since the date of such precedent, (c) with respect to basket amounts and leverage-based thresholds and subject to clause (a), with modifications to reflect the Closing Date leverage and Consolidated EBITDA of Borrower (defined consistent with Documentation Precedent) and (d) modifications to reflect administrative and operational requirements of the Administrative Agent.</w:t>
      </w:r>
    </w:p>
    <w:p>
      <w:pPr>
        <w:spacing w:after="0" w:line="17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Notwithstanding anything in this Commitment Letter (including each of the exhibits attached hereto), the Fee Letter, the Senior Credit Facilities Documentation or any other letter agreement or other undertaking concerning the financing of the Transactions to the contrary, (i) [reserved] and (ii) the terms of the Senior Credit Facilities Documentation shall be in a form such that they do not impair the availability of the Senior Credit Facilities on the Closing Date if the conditions set forth in this Section 5, in the section entitled “</w:t>
      </w:r>
      <w:r>
        <w:rPr>
          <w:rFonts w:ascii="Arial" w:cs="Arial" w:eastAsia="Arial" w:hAnsi="Arial"/>
          <w:sz w:val="20"/>
          <w:szCs w:val="20"/>
          <w:b w:val="1"/>
          <w:bCs w:val="1"/>
          <w:i w:val="1"/>
          <w:iCs w:val="1"/>
          <w:color w:val="auto"/>
        </w:rPr>
        <w:t>Conditions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to Initial Borrowing</w:t>
      </w:r>
      <w:r>
        <w:rPr>
          <w:rFonts w:ascii="Arial" w:cs="Arial" w:eastAsia="Arial" w:hAnsi="Arial"/>
          <w:sz w:val="20"/>
          <w:szCs w:val="20"/>
          <w:color w:val="auto"/>
        </w:rPr>
        <w:t>” in</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hereto, and in</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hereto 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8" w:name="page59"/>
    <w:bookmarkEnd w:id="58"/>
    <w:p>
      <w:pPr>
        <w:jc w:val="both"/>
        <w:spacing w:after="0" w:line="254" w:lineRule="auto"/>
        <w:rPr>
          <w:sz w:val="20"/>
          <w:szCs w:val="20"/>
          <w:color w:val="auto"/>
        </w:rPr>
      </w:pPr>
      <w:r>
        <w:rPr>
          <w:rFonts w:ascii="Arial" w:cs="Arial" w:eastAsia="Arial" w:hAnsi="Arial"/>
          <w:sz w:val="19"/>
          <w:szCs w:val="19"/>
          <w:color w:val="auto"/>
        </w:rPr>
        <w:t xml:space="preserve">satisfied or waived (it being understood that, to the extent any lien search, insurance certificate or endorsement or security interest in any Collateral is not or cannot be provided and/or perfected on the Closing Date (other than the pledge and perfection of the security interests in equity securities of the Borrower and its material, wholly owned domestic subsidiaries (to the extent required under the terms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B</w:t>
      </w:r>
      <w:r>
        <w:rPr>
          <w:rFonts w:ascii="Arial" w:cs="Arial" w:eastAsia="Arial" w:hAnsi="Arial"/>
          <w:sz w:val="19"/>
          <w:szCs w:val="19"/>
          <w:color w:val="auto"/>
        </w:rPr>
        <w:t xml:space="preserve"> hereto) and assets with respect to which a lien may be perfected by the filing of a financing statement under the Uniform Commercial Code)) after your use of commercially reasonable efforts to do so or without undue burden or expense, then the provision and/or delivery of any lien search, insurance certificate or endorsement or the provision and/or perfection of a security interest in such Collateral shall not constitute a condition precedent to the availability of the Senior Credit Facilities on the Closing Date, but instead shall be required to be provided and/or delivered within ninety (90) days after the Closing Date (or such later date as agreed by the Administrative Agent) pursuant to arrangements and timing to be mutually agreed by the Administrative Agent and the Borrower acting reasonably (or, in the case of any possessory collateral, within ninety (90) days after the Closing Date (or such later date as reasonably agreed by the Administrative Agent) giving due regard to stay at home, social distancing and other COVID-19 related measures limiting physical interaction (including any quarantine, “shelter in place,” “stay at home,” workforce reduction, facility capacity limitation, social distancing, shut down, closure, sequester, safety or similar applicable law, directive, guidelines or recommendations promulgated by any governmental authority, including the Centers for Disease Control and Prevention and the World Health Organization, in each case, in connection with or in response to the disease known as “COVID-19,” including the CARES Act and Families First Act). This paragraph, and the provisions herein, shall be referred to as the “</w:t>
      </w:r>
      <w:r>
        <w:rPr>
          <w:rFonts w:ascii="Arial" w:cs="Arial" w:eastAsia="Arial" w:hAnsi="Arial"/>
          <w:sz w:val="19"/>
          <w:szCs w:val="19"/>
          <w:b w:val="1"/>
          <w:bCs w:val="1"/>
          <w:i w:val="1"/>
          <w:iCs w:val="1"/>
          <w:color w:val="auto"/>
        </w:rPr>
        <w:t>Conditionality Provision.</w:t>
      </w:r>
      <w:r>
        <w:rPr>
          <w:rFonts w:ascii="Arial" w:cs="Arial" w:eastAsia="Arial" w:hAnsi="Arial"/>
          <w:sz w:val="19"/>
          <w:szCs w:val="19"/>
          <w:color w:val="auto"/>
        </w:rPr>
        <w:t>”</w:t>
      </w:r>
    </w:p>
    <w:p>
      <w:pPr>
        <w:spacing w:after="0" w:line="18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The Initial Lenders and the Joint Bookrunners will negotiate in good faith and cooperate with you as reasonably requested in coordinating the timing and procedures for the allocation and funding of the Senior Credit Facilities.</w:t>
      </w:r>
    </w:p>
    <w:p>
      <w:pPr>
        <w:spacing w:after="0" w:line="177"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Indemnity.</w:t>
      </w:r>
    </w:p>
    <w:p>
      <w:pPr>
        <w:spacing w:after="0" w:line="21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To induce the Commitment Parties to enter into this Commitment Letter and the Fee Letter and to proceed with the documentation of the Senior Credit Facilities, you agree (a) to indemnify and hold harmless each Commitment Party, its respective affiliates and the respective officers, members, partners, directors, employees, agents, advisors, controlling persons and other representatives of each of the foregoing, in each case other than an Excluded Party (each, an “</w:t>
      </w:r>
      <w:r>
        <w:rPr>
          <w:rFonts w:ascii="Arial" w:cs="Arial" w:eastAsia="Arial" w:hAnsi="Arial"/>
          <w:sz w:val="19"/>
          <w:szCs w:val="19"/>
          <w:b w:val="1"/>
          <w:bCs w:val="1"/>
          <w:i w:val="1"/>
          <w:iCs w:val="1"/>
          <w:color w:val="auto"/>
        </w:rPr>
        <w:t>Indemnified Person</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from and against any and all losses, claims, damages and liabilities of any kind or nature and reasonable and documented out-of-pocket fees and expenses, joint or several, to which any such Indemnified Person may become subject to the extent arising out of, resulting from or in connection with any claim, litigation, investigation or proceeding resulting from this Commitment Letter (including the Term Sheet), the Fee Letter, the Transactions, the Senior Credit Facilities or any use of the proceeds thereof (any of the foregoing, a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regardless of whether any such Indemnified Person is a party thereto, whether or not such Proceedings are brought by you, your equity holders, affiliates, creditors, or any other third person, and to reimburse each such Indemnified Person within thirty (30) days of written demand (together with reasonable supporting documentation) for any reasonable and documented out-of-pocket legal expenses of one firm of counsel for all such Indemnified Persons, taken as a whole and, if necessary, of a single local counsel in each appropriate jurisdiction (which may include a single special counsel acting in multiple jurisdictions) material to the interests of all such Indemnified Persons, taken as a whole (but limited in the case of fees and expenses of any other advisor or consultant, solely to the extent you have consented to the retention of such person (such consent not to be unreasonably withheld or delayed) and, in the case of an actual or potential conflict of interest where the Indemnified Person affected by such conflict retains its own counsel and informs you, of one other firm of counsel for such affected Indemnified Person) (or otherwise as agreed by Borrower) and other reasonable and documented (together with reasonable supporting documentation) out-of-pocket fees and expenses incurred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9" w:name="page60"/>
    <w:bookmarkEnd w:id="59"/>
    <w:p>
      <w:pPr>
        <w:jc w:val="both"/>
        <w:spacing w:after="0" w:line="268" w:lineRule="auto"/>
        <w:rPr>
          <w:sz w:val="20"/>
          <w:szCs w:val="20"/>
          <w:color w:val="auto"/>
        </w:rPr>
      </w:pPr>
      <w:r>
        <w:rPr>
          <w:rFonts w:ascii="Arial" w:cs="Arial" w:eastAsia="Arial" w:hAnsi="Arial"/>
          <w:sz w:val="18"/>
          <w:szCs w:val="18"/>
          <w:color w:val="auto"/>
        </w:rPr>
        <w:t xml:space="preserve">connection with investigating or defending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indemnity will not, as to any Indemnified Person, apply to losses, claims, damages, liabilities or related expenses to the extent that they arise from (i) the willful misconduct, bad faith or gross negligence of such Indemnified Person or any of such Indemnified Person’s affiliates or controlling persons or any of its or their respective officers, directors, employees, agents, advisors or other representatives (as determined by a court of competent jurisdiction in a final and non-appealable decision), (ii) a material breach of the obligations of such Indemnified Person or any of such Indemnified Person’s affiliates under this Commitment Letter, the Term Sheet or the Fee Letter by any Indemnified Person (or any such Indemnified Person’s affiliates or controlling persons or the respective directors, officers, employees, partners, advisors, trustees, agents or other representative of each of the foregoing) (as determined by a court of competent jurisdiction in a final and non-appealable decision) or (iii) any Proceeding that does not involve an act or omission by you or any of your affiliates and that is brought by an Indemnified Person against any other Indemnified Person (other than any claims against a Commitment Party in its capacity or in fulfilling its role as the Administrative Agent, arranger or any similar role under the Senior Credit Facilities) and (b) to the extent that the Closing Date occurs, to reimburse the Administrative Agent from time to time, upon presentation of a detailed statement (together with reasonable supporting documentation), for all reasonable and documented (together with reasonable supporting documentation) out-of-pocket expenses, syndication expenses, travel expenses and reasonable fees, disbursements and other charges of one firm of counsel to the Administrative Agent and the Commitment Parties, collectively, as specified in the Term Sheet and of a single local counsel to the Commitment Parties in each appropriate jurisdiction (which may include a single special counsel acting in multiple jurisdictions) (and, in the case of an actual or potential conflict of interest where the Indemnified Person affected by such conflict retains its own counsel and informs you, of one other firm of counsel for such affected Indemnified Person) (but limited to in the case of the fees and expenses of other advisors or consultants, solely to the extent you have consented to the retention of such person (such consent not to be unreasonably withheld or delayed) and of such other counsel retained with your prior written consent (which consent shall not be unreasonably withheld, delayed or conditioned) or retained in connection with enforcement of this Commitment Letter or the Fee Letter, in each case incurred in connection with the Senior Credit Facilities and the preparation, negotiation and enforcement of this Commitment Letter, the Fee Letter, the Senior Credit Facilities Documentation and any security arrangements in connection therewith (collectively, the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foregoing provisions in this paragraph shall be superseded by the applicable provisions contained in the Senior Credit Facilities Documentation upon execution thereof and thereafter shall have no further force and effect. It is further agreed that the Initial Lenders shall be severally liable in respect of their respective commitments to the Senior Credit Facilities on a several, and not joint, basis with any other Initial Lender, and no Initial Lender shall be responsible for the commitment of any other Initial Lender.</w:t>
      </w:r>
    </w:p>
    <w:p>
      <w:pPr>
        <w:spacing w:after="0" w:line="200" w:lineRule="exact"/>
        <w:rPr>
          <w:sz w:val="20"/>
          <w:szCs w:val="20"/>
          <w:color w:val="auto"/>
        </w:rPr>
      </w:pPr>
    </w:p>
    <w:p>
      <w:pPr>
        <w:spacing w:after="0" w:line="20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You shall not, without the prior written consent of any Indemnified Person (which consent shall not be unreasonably withheld, delayed or conditioned), effect any settlement of any pending or threatened proceedings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proceedings and (ii) does not include any statement as to or any admission of fault, culpability, wrongdoing or a failure to act by or on behalf of such Indemnified Person.</w:t>
      </w:r>
    </w:p>
    <w:p>
      <w:pPr>
        <w:spacing w:after="0" w:line="19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You shall not be liable for any settlement of any Proceeding effected without your consent (which consent shall not be unreasonably withheld, delayed or conditioned), but if settled with your written consent or if there is a final judgment by a court of competent jurisdiction in any such Proceeding, you agree to indemnify and hold harmless each Indemnified Person from and against any and all losses, claims, damages, liabilities and expenses by reason of such settlement or judgment in accordance with the other provisions of this Section 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0" w:name="page61"/>
    <w:bookmarkEnd w:id="60"/>
    <w:p>
      <w:pPr>
        <w:jc w:val="both"/>
        <w:ind w:firstLine="864"/>
        <w:spacing w:after="0" w:line="269" w:lineRule="auto"/>
        <w:rPr>
          <w:sz w:val="20"/>
          <w:szCs w:val="20"/>
          <w:color w:val="auto"/>
        </w:rPr>
      </w:pPr>
      <w:r>
        <w:rPr>
          <w:rFonts w:ascii="Arial" w:cs="Arial" w:eastAsia="Arial" w:hAnsi="Arial"/>
          <w:sz w:val="18"/>
          <w:szCs w:val="18"/>
          <w:color w:val="auto"/>
        </w:rPr>
        <w:t>Notwithstanding any other provision of this Commitment Letter or the Fee Letter, (i) no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gross negligence of, or a material breach of the obligations under this Commitment Letter, the Term Sheet or the Fee Letter by, such Indemnified Person or any of such Indemnified Person’s affiliates or any of its or their respective officers, directors, employees, agents, advisors, controlling persons or other representatives (as determined by a court of competent jurisdiction in a final and non-appealable decision) and</w:t>
      </w:r>
    </w:p>
    <w:p>
      <w:pPr>
        <w:spacing w:after="0" w:line="1" w:lineRule="exact"/>
        <w:rPr>
          <w:sz w:val="20"/>
          <w:szCs w:val="20"/>
          <w:color w:val="auto"/>
        </w:rPr>
      </w:pPr>
    </w:p>
    <w:p>
      <w:pPr>
        <w:jc w:val="both"/>
        <w:ind w:firstLine="8"/>
        <w:spacing w:after="0" w:line="254" w:lineRule="auto"/>
        <w:tabs>
          <w:tab w:leader="none" w:pos="3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none of we, you, your affiliates or any Indemnified Person shall be liable for any indirect, special, punitive or consequential damages in connection with this Commitment Letter, the Fee Letter or the Transactions (including the Senior Credit Facilities and the use of proceeds thereunder), or with respect to any activities related to the Senior Credit Facilities, including the preparation of this Commitment Letter, the Fee Letter and the Senior Credit Facilities Documentation; provided that nothing contained in this paragraph shall limit your indemnity and reimbursement obligations to the extent set forth in the third immediately preceding paragraph. Notwithstanding the foregoing each indemnified person will be obligated to refund and return promptly any and all amounts paid by you under this Section 6 to the extent it has been determined by a court of competent jurisdiction in a final and non-appealable decision that such indemnified person is not entitled to payment of such amounts in accordance with the terms hereof.</w:t>
      </w:r>
    </w:p>
    <w:p>
      <w:pPr>
        <w:spacing w:after="0" w:line="186"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Sharing of Information. Absence of Fiduciary Relationships. Affiliate Activities.</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You acknowledge that the Commitment Parties and their respective affiliates may be providing debt financing, equity capital or other services (including, without limitation, financial advisory services) to other persons in respect of which you and your affiliates may have conflicting interests regarding the transactions described herein and otherwise. The Commitment Parties and their respective affiliates will not use confidential information obtained from you by virtue of the transactions contemplated by this Commitment Letter or their other relationships with you in connection with the performance by them or their respective affiliates of services for, or the provision by them or their respective affiliates of debt or equity financing for, other persons, and none of the Commitment Parties or their respective affiliates will furnish any such information to other persons, except to the extent permitted below. You also acknowledge that none of the Commitment Parties or their respective affiliates has any obligation to use in connection with the transactions contemplated by this Commitment Letter, or to furnish to you, confidential information obtained by them from other persons.</w:t>
      </w:r>
    </w:p>
    <w:p>
      <w:pPr>
        <w:spacing w:after="0" w:line="17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As you know, certain of the Commitment Parties may be full service securities firms engaged, either directly or through their respective affiliates, in various activities, including securities trading, commodities trading, investment management, financing and brokerage activities and financial planning and benefits counseling for both companies and individuals. In the ordinary course of these activities, certain of the Commitment Parties or their respective affiliates may actively engage in commodities trading or trade the debt and equity securities (or related derivative securities) and financial instruments (including bank loans and other obligations) of you and other companies which may be the subject of the arrangements contemplated by this Commitment Letter for their own account and for the accounts of their customers and may at any time hold long and short positions in such securities. The Commitment Parties or their respective affiliates may also co-invest with, make direct investments in, and invest or co-invest client monies in or with funds or other investment vehicles managed by other parties, and such funds or other investment vehicles may trade or make investments in securities of you or other companies which may be the subject of the arrangements contemplated by this Commitment Letter or engage in commodities trading with any thereof.</w:t>
      </w:r>
    </w:p>
    <w:p>
      <w:pPr>
        <w:spacing w:after="0" w:line="17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The Commitment Parties and their respective affiliates may have economic interests that conflict with those of you. You agree that the Commitment Parties will each act under this letter as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9"/>
          <w:szCs w:val="19"/>
          <w:color w:val="auto"/>
        </w:rPr>
        <w:t>independent contractor and that nothing in this Commitment Letter or the Fee Letter will be deemed to create an advisory, fiduciary or agency relationship or fiduciary or other implied duty between the Commitment Parties and you, your equity holders or your affiliates. You acknowledge and agree that (i) the transactions contemplated by this Commitment Letter and the Fee Letter are arm’s-length commercial transactions between the Commitment Parties and their respective affiliates, on the one hand, and you, on the other, (ii) in connection therewith and with the process leading to such transaction, the Commitment Parties and their respective affiliates are acting solely as a principal and not as agents or fiduciaries of you, your and their management, equityholders, creditors, affiliates or any other person, (iii) the Commitment Parties and their respective affiliates have not assumed an advisory or fiduciary responsibility or any other obligation in favor of you or your affiliates with respect to the transactions contemplated hereby or the process leading thereto (irrespective of whether the Commitment Parties or any of their respective affiliates have advised or are currently advising you on other matters) except the obligations expressly set forth in this Commitment Letter and the Fee Letter and (iv) you have consulted your own legal and financial advisors to the extent you deemed appropriate. You further acknowledge and agree that neither we nor any of our affiliates are advising you as to any legal, tax, investment, accounting or regulatory matters in any jurisdiction and you are responsible for making your own independent judgment with respect to the transactions contemplated hereby and the process leading thereto. You agree that you will not claim that the Commitment Parties or their respective affiliates, as the case may be, have rendered advisory services in connection with the services provided pursuant to this Commitment Letter, or owe a fiduciary or similar duty to you or your affiliates, in connection with such transaction or the process leading thereto.</w:t>
      </w:r>
    </w:p>
    <w:p>
      <w:pPr>
        <w:spacing w:after="0" w:line="188"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Confidentiality.</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 xml:space="preserve">You agree that you will not disclose the Fee Letter and the contents thereof or this Commitment Letter, the Term Sheet, the other exhibits and attachments hereto and the contents of each thereof to any person or entity without prior written approval of the Commitment Parties (such approval not to be unreasonably withheld, conditioned or delayed), except (a) to your and any of your affiliates and your and their respective officers, directors, affiliates, agents, employees, attorneys, accountants, advisors, controlling persons or equity holders and to existing and potential equity investors who are informed of the confidential nature hereof and thereof (and, in each case, each of their attorneys) on a confidential and need-to-know basis, (b) if the Commitment Parties consent in writing to such proposed disclosure or (c) pursuant to the order of any court or administrative agency in any pending legal, judicial or administrative proceeding, or otherwise as required by applicable law or legal process or to the extent requested or required by governmental and/or regulatory authorities, in each case based on the reasonable advice of your legal counsel (in which case you agree, to the extent practicable and not prohibited by applicable law, rule or regulation to inform us promptly thereof prior to disclosure);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you may disclose (i) this Commitment Letter and its contents (but not the Fee Letter) in any syndication or other marketing materials in connection with the Senior Credit Facilities or in connection with any public release or filing relating to the Transactions, (ii) this Commitment Letter, Term Sheet and other exhibits and annexes to this Commitment Letter, and the contents thereof, to potential Lenders but not the Fee Letter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disclosure of the Fee Letter to potential Lenders shall be permitted to the extent in contemplation of adding such Lenders as additional agents, co-agents or bookrunners pursuant to Section 2 hereof (in each case on a confidential basis)) and to rating agencies in connection with obtaining ratings for the Borrower and the Senior Credit Facilities, (iii) the aggregate fee amounts contained in the Fee Letter as part of the Projections, pro forma information or a generic disclosure of aggregate sources and uses related to fee amounts related to the Transactions to the extent customary or required in offering and marketing materials for the Senior Credit Facilities or in any public release or filing relating to the Transactions, (iv) this Commitment Letter, the Term Sheet and other exhibits and annexes to this Commitment Letter, and the contents thereof, (but not the Fee Letter) to the extent that such information becomes publicly available other than by reason of improper disclosure by you in violation of any confidentiality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2" w:name="page63"/>
    <w:bookmarkEnd w:id="62"/>
    <w:p>
      <w:pPr>
        <w:jc w:val="both"/>
        <w:spacing w:after="0" w:line="269" w:lineRule="auto"/>
        <w:rPr>
          <w:sz w:val="20"/>
          <w:szCs w:val="20"/>
          <w:color w:val="auto"/>
        </w:rPr>
      </w:pPr>
      <w:r>
        <w:rPr>
          <w:rFonts w:ascii="Arial" w:cs="Arial" w:eastAsia="Arial" w:hAnsi="Arial"/>
          <w:sz w:val="18"/>
          <w:szCs w:val="18"/>
          <w:color w:val="auto"/>
        </w:rPr>
        <w:t>obligations hereunder, (v) this Commitment Letter and the Fee Letter to the extent necessary in connection with the enforcement of your rights hereunder, (vi) this Commitment Letter, the Term Sheet and other exhibits and annexes to this Commitment Letter, and the contents thereof, (but not the Fee Letter) in any proxy, public filing, prospectus, offering memorandum, offering circular, syndication materials or other marketing materials in connection with the Transactions, including as may be required by the rules, regulations, schedules and forms of the Securities and Exchange Commission (the “</w:t>
      </w:r>
      <w:r>
        <w:rPr>
          <w:rFonts w:ascii="Arial" w:cs="Arial" w:eastAsia="Arial" w:hAnsi="Arial"/>
          <w:sz w:val="18"/>
          <w:szCs w:val="18"/>
          <w:b w:val="1"/>
          <w:bCs w:val="1"/>
          <w:i w:val="1"/>
          <w:iCs w:val="1"/>
          <w:u w:val="single" w:color="auto"/>
          <w:color w:val="auto"/>
        </w:rPr>
        <w:t>SEC</w:t>
      </w:r>
      <w:r>
        <w:rPr>
          <w:rFonts w:ascii="Arial" w:cs="Arial" w:eastAsia="Arial" w:hAnsi="Arial"/>
          <w:sz w:val="18"/>
          <w:szCs w:val="18"/>
          <w:color w:val="auto"/>
        </w:rPr>
        <w:t>”) in connection with any filings with the SEC in connection with the Transactions, or</w:t>
      </w:r>
    </w:p>
    <w:p>
      <w:pPr>
        <w:spacing w:after="0" w:line="4" w:lineRule="exact"/>
        <w:rPr>
          <w:sz w:val="20"/>
          <w:szCs w:val="20"/>
          <w:color w:val="auto"/>
        </w:rPr>
      </w:pPr>
    </w:p>
    <w:p>
      <w:pPr>
        <w:jc w:val="both"/>
        <w:ind w:firstLine="8"/>
        <w:spacing w:after="0" w:line="241" w:lineRule="auto"/>
        <w:tabs>
          <w:tab w:leader="none" w:pos="407"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the Fee Letter on a confidential basis to persons performing customary accounting functions;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restrictions shall cease to apply after the Senior Credit Facilities Documentation shall have been executed and delivered by the parties thereto (other than in respect of the Fee Letter and the contents thereof). Notwithstanding anything to the contrary, your obligations under this paragraph will terminate on the second anniversary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-585470</wp:posOffset>
            </wp:positionV>
            <wp:extent cx="159448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594485" cy="137160"/>
                    </a:xfrm>
                    <a:prstGeom prst="rect">
                      <a:avLst/>
                    </a:prstGeom>
                    <a:noFill/>
                  </pic:spPr>
                </pic:pic>
              </a:graphicData>
            </a:graphic>
          </wp:anchor>
        </w:drawing>
      </w:r>
    </w:p>
    <w:p>
      <w:pPr>
        <w:spacing w:after="0" w:line="174"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 xml:space="preserve">The Commitment Parties and their affiliates will use all information provided to them or such affiliates by or on behalf of you hereunder or in connection with the Transactions solely for the purpose of providing the services which are the subject of this Commitment Letter and shall treat confidentially all such information and shall not publish, disclose or otherwise divulge such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prevent the Commitment Parties and their respective affiliates from disclosing any such information (a) pursuant to the order of any court or administrative agency or in any pending legal, judicial or administrative proceeding, or otherwise as required by applicable law, rule or regulation or compulsory legal process based on the advice of counsel (in which case the Commitment Parties agree (except with respect to any audit or examination conducted by bank accountants or any governmental bank regulatory authority exercising examination or regulatory authority), to the extent practicable and not prohibited by applicable law, to inform you promptly thereof prior to disclosure), (b) upon the request or demand of any regulatory authority having jurisdiction over the Commitment Parties or any of their respective affiliates (in which case the Commitment Parties agree, to the extent practicable and not prohibited by applicable law, to inform you promptly thereof prior to disclosure (except with respect to any audit or examination conducted by bank accountants or any governmental bank regulatory authority exercising examination or regulatory authority)), (c) to the extent that such information becomes publicly available other than by reason of improper disclosure by the Commitment Parties or any of their respective affiliates or any of their respective members, partners, officers, directors, employees, legal counsel, independent auditors, professionals and other experts or agents, advisors, controlling persons, service providers and other representatives (the “</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thereto in violation of any confidentiality obligations owing to you or any of your affiliates (including those set forth in this paragraph), (d) to the extent that such information is or was received by the Commitment Parties or their Related Parties from a third party that is not, to the Commitment Parties’ or such Related Parties’ knowledge, subject to contractual or fiduciary confidentiality obligations owing to you or any of your affiliates or Related Parties, (e) to the extent that such information is independently developed by the Commitment Parties or their Related Parties, (f) to the Commitment Parties’ respective affiliates and partners and to its and their respective employees, directors, officers, legal counsel, independent auditors, professionals and other experts or agents (other than any of its affiliates that are engaged as principals primarily in private equity, mezzanine financing or venture capital or any of such affiliates’ officers, directors, employees, legal counsel, independent auditors, professionals and other experts or agents (each, an “</w:t>
      </w:r>
      <w:r>
        <w:rPr>
          <w:rFonts w:ascii="Arial" w:cs="Arial" w:eastAsia="Arial" w:hAnsi="Arial"/>
          <w:sz w:val="18"/>
          <w:szCs w:val="18"/>
          <w:b w:val="1"/>
          <w:bCs w:val="1"/>
          <w:i w:val="1"/>
          <w:iCs w:val="1"/>
          <w:color w:val="auto"/>
        </w:rPr>
        <w:t>Excluded Party</w:t>
      </w:r>
      <w:r>
        <w:rPr>
          <w:rFonts w:ascii="Arial" w:cs="Arial" w:eastAsia="Arial" w:hAnsi="Arial"/>
          <w:sz w:val="18"/>
          <w:szCs w:val="18"/>
          <w:color w:val="auto"/>
        </w:rPr>
        <w:t>”), in each case other than a limited number of senior employees who are required, in accordance with industry regulations or the Commitment Party’s internal policies and procedures, to act in a supervisory capacity) and the Commitment Party’s internal legal, compliance, risk management, credit or investment committee members (collectively,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who need to know such information in connection with the Transactions and who are informed of the confidential nature of such information and are or have been advised of their obligation to keep information of this type confidential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Commitment Party shall be responsible for the compliance of its affiliates and Representatives with the provisions of this paragraph), (g) to potential or prospective Lenders,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9"/>
          <w:szCs w:val="19"/>
          <w:color w:val="auto"/>
        </w:rPr>
        <w:t xml:space="preserve">participants or assignees and to any direct or indirect contractual counterparty to any swap or derivative transaction relating to the Borrower or any of its subsidiaries, subject to the proviso below, (h) to ratings agencies, in connection with obtaining the ratings described in Section 2 hereof, in consultation and coordination with you, (i) for purposes of establishing a “due diligence” defense or to the extent necessary to enforce your rights and remedies hereunder or under the Fee Letter or (j) to the extent you shall have consented to such disclosure in writing; </w:t>
      </w:r>
      <w:r>
        <w:rPr>
          <w:rFonts w:ascii="Arial" w:cs="Arial" w:eastAsia="Arial" w:hAnsi="Arial"/>
          <w:sz w:val="19"/>
          <w:szCs w:val="19"/>
          <w:b w:val="1"/>
          <w:bCs w:val="1"/>
          <w:i w:val="1"/>
          <w:iCs w:val="1"/>
          <w:color w:val="auto"/>
        </w:rPr>
        <w:t xml:space="preserve">provided </w:t>
      </w:r>
      <w:r>
        <w:rPr>
          <w:rFonts w:ascii="Arial" w:cs="Arial" w:eastAsia="Arial" w:hAnsi="Arial"/>
          <w:sz w:val="19"/>
          <w:szCs w:val="19"/>
          <w:color w:val="auto"/>
        </w:rPr>
        <w:t>that (x) the disclosure of any such information to any Lenders or prospective Lenders or participants or prospective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referred to above shall be made subject to the acknowledgment and acceptance by such Lender or prospective Lender or participant or prospective participant that such information is being disseminated on a confidential basis (on substantially the terms set forth in this paragraph or as is otherwise reasonably acceptable to you and each Commitment Party, including, without limitation, as agreed in any Information Materials or other marketing materials) in accordance with the standard syndication processes of such Commitment Party or customary market standards for dissemination of such type of information, which shall in any event require “</w:t>
      </w:r>
      <w:r>
        <w:rPr>
          <w:rFonts w:ascii="Arial" w:cs="Arial" w:eastAsia="Arial" w:hAnsi="Arial"/>
          <w:sz w:val="19"/>
          <w:szCs w:val="19"/>
          <w:b w:val="1"/>
          <w:bCs w:val="1"/>
          <w:i w:val="1"/>
          <w:iCs w:val="1"/>
          <w:color w:val="auto"/>
        </w:rPr>
        <w:t>click through</w:t>
      </w:r>
      <w:r>
        <w:rPr>
          <w:rFonts w:ascii="Arial" w:cs="Arial" w:eastAsia="Arial" w:hAnsi="Arial"/>
          <w:sz w:val="19"/>
          <w:szCs w:val="19"/>
          <w:color w:val="auto"/>
        </w:rPr>
        <w:t>” or other affirmative actions on the part of the recipient to access such information and (y) no such disclosure shall be made by such Commitment Party to any Disqualified Institution. The Commitment Parties’ and their respective affiliates’, if any, obligations under this paragraph shall terminate automatically and be superseded by the confidentiality provisions in the Senior Credit Facilities Documentation upon the initial funding thereunder. Notwithstanding anything to the contrary, this paragraph shall automatically terminate on the second anniversary of the date hereof.</w:t>
      </w:r>
    </w:p>
    <w:p>
      <w:pPr>
        <w:spacing w:after="0" w:line="190"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 xml:space="preserve">This Commitment Letter and the commitments hereunder shall not be assignable by any party hereto (other than (i) by you to the Borrower or (ii) by the Initial Lenders in connection with the appointment of an “additional agent” as contemplated by Section 1 hereof, in each case, without the prior written consent of each other party hereto (which consent shall not be unreasonably withheld, delayed or conditioned) (and any attempted assignment without such consent shall be null and void). This Commitment Letter and the commitments hereunder are, and are intended to be, solely for the benefit of the parties hereto (and Indemnified Persons to the extent expressly set forth herein) and do not, and are not intended to, confer any benefits upon, or create any rights in favor of, any person other than the parties hereto (and Indemnified Persons to the extent expressly set forth herein). Subject to the limitations set forth in Section 2 above, the Commitment Parties reserve the right to employ the services of their respective affiliates or branches (other than an Excluded Party) in providing services contemplated hereby and to allocate, in whole or in part, to their respective affiliates or branches certain fees payable to the Commitment Parties in such manner as the Commitment Parties and their respective affiliates or branches may agree in their sole discretion and, to the extent so employed, such affiliates and branches shall be entitled to the benefits and protections afforded to, and subject to the provisions governing the conduct of the Commitment Parties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 Commitment Parties shall be relieved of any of its obligations hereunder in the event any affiliate, branch or controlled fund through which it shall perform its obligations shall fail to perform the same in accordance with the terms hereof and each Commitment Party must retain exclusive control over all rights and obligations with respect to its commitment prior to the Closing Date. This Commitment Letter may not be amended or any provision hereof waived or modified except by an instrument in writing signed by each of the Commitment Parties and you. This Commitment Letter may be executed in any number of counterparts, each of which shall be deemed an original and all of which, when taken together, shall constitute one agreement. Delivery of an executed counterpart of a signature page of this Commitment Letter by facsimile, scan, photograph or other electronic transmission shall be effective as delivery of a manually executed counterpart hereof. This Commitment Letter (including the exhibits hereto), together with the Fee Letter, (i) are the only agreements that have been entered into among the parties hereto with respect to the commitments relating to the Senior Credit Facilities and (ii) supersede all prior understandings, whether written or oral, among us with respect to the Senior Credit Facilities and set forth the entire understanding of the parties 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4" w:name="page65"/>
    <w:bookmarkEnd w:id="64"/>
    <w:p>
      <w:pPr>
        <w:jc w:val="both"/>
        <w:spacing w:after="0" w:line="246" w:lineRule="auto"/>
        <w:rPr>
          <w:sz w:val="20"/>
          <w:szCs w:val="20"/>
          <w:color w:val="auto"/>
        </w:rPr>
      </w:pPr>
      <w:r>
        <w:rPr>
          <w:rFonts w:ascii="Arial" w:cs="Arial" w:eastAsia="Arial" w:hAnsi="Arial"/>
          <w:sz w:val="20"/>
          <w:szCs w:val="20"/>
          <w:color w:val="auto"/>
        </w:rPr>
        <w:t>with respect thereto. THIS COMMITMENT LETTER AND ANY CLAIM, CONTROVERSY OR DISPUTE ARISING UNDER OR RELATED TO THIS COMMITMENT LETTER SHALL BE GOVERNED BY, AND CONSTRUED IN ACCORDANCE WITH, THE LAWS OF THE STATE OF NEW YORK WITHOUT REGARD TO PRINCIPLES OF CONFLICTS OF LAW TO THE EXTENT THAT THE APPLICATION OF THE LAWS OF ANOTHER JURISDICTION WOULD BE REQUIRED THEREBY.</w:t>
      </w:r>
    </w:p>
    <w:p>
      <w:pPr>
        <w:spacing w:after="0" w:line="19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The words “execute,” “execution,” “signed,” “signature,” and words of like import in or related to any document to be signed in connection with this Commitment Letter and the transactions contemplated hereby (including without limitation amendments or other modifications,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and applicable state laws based on the Uniform Electronic Transactions Act.</w:t>
      </w:r>
    </w:p>
    <w:p>
      <w:pPr>
        <w:spacing w:after="0" w:line="16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Each Commitment Party, severally and not jointly, represents and warrants that this Commitment Letter and the Fee Letter constitute its legally valid and binding obligation, including an agreement to negotiate in good faith the Senior Credit Facilities Documentation (except as may be limited by bankruptcy, insolvency, reorganization, fraudulent conveyance or transfer, moratorium or other similar laws relating to or affecting the rights of creditors generally), including to provide services set forth herein, to negotiate the Senior Credit Facilities Documentation in good faith and fund its commitment under the Senior Credit Facilities, in each case, enforceable at law and in equity in accordance with their terms and subject only to the conditions precedent as provided herein in Section 5, subject to the Conditionality Provision. You represent and warrant that this Commitment Letter and the Fee Letter constitute your legally valid and binding obligations (except as may be limited by bankruptcy, insolvency, reorganization, fraudulent conveyance or transfer, moratorium or other similar laws relating to or affecting the rights of creditors generally), enforceable at law and in equity against you in accordance with their terms;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(i) nothing contained in this Commitment Letter or the Fee Letter obligates you or any of your affiliates to consummate the Transactions or to draw upon all or any portion of the Senior Credit Facilities and (ii) the making or accuracy of the foregoing representation and warranty shall not be a condition to the obligations of the Commitment Parties hereunder.</w:t>
      </w:r>
    </w:p>
    <w:p>
      <w:pPr>
        <w:spacing w:after="0" w:line="17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EACH OF THE PARTIES HERETO IRREVOCABLY WAIVES THE RIGHT TO TRIAL BY JURY IN ANY ACTION, PROCEEDING, CLAIM OR COUNTERCLAIM BROUGHT BY OR ON BEHALF OF ANY PARTY RELATED TO OR ARISING OUT OF THIS COMMITMENT LETTER OR THE FEE LETTER OR THE PERFORMANCE OF SERVICES HEREUNDER OR THEREUNDER.</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Each of the parties hereto hereby irrevocably and unconditionally (a) submits, for itself and its property, to the exclusive jurisdiction of any New York State court or Federal court of the United States of America sitting in the Borough of Manhattan in the City of New York, and any appellate court from any thereof, in any action or proceeding arising out of or relating to this Commitment Letter, the Fee Letter or the transactions contemplated hereby or thereby, or for recognition or enforcement of any judgment, and agrees that all claims in respect of any such action or proceeding shall be heard and determined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Commitment Letter, the Fee Letter or the transactions contemplated hereby or thereby in any such New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5" w:name="page66"/>
    <w:bookmarkEnd w:id="65"/>
    <w:p>
      <w:pPr>
        <w:jc w:val="both"/>
        <w:spacing w:after="0" w:line="260" w:lineRule="auto"/>
        <w:rPr>
          <w:sz w:val="20"/>
          <w:szCs w:val="20"/>
          <w:color w:val="auto"/>
        </w:rPr>
      </w:pPr>
      <w:r>
        <w:rPr>
          <w:rFonts w:ascii="Arial" w:cs="Arial" w:eastAsia="Arial" w:hAnsi="Arial"/>
          <w:sz w:val="19"/>
          <w:szCs w:val="19"/>
          <w:color w:val="auto"/>
        </w:rPr>
        <w:t>York State court or in any such Federal court, (c) waives, to the fullest extent permitted by law, the defense of an inconvenient forum to the maintenance of such action or proceeding in any such court and (d) agrees that a final judgment in any such suit, action or proceeding shall be conclusive and may be enforced in other jurisdictions by suit on the judgment or in any other manner provided by law. Each of the parties hereto agrees that service of process, summons, notice or document by registered mail addressed to you or us at the addresses set forth above shall be effective service of process for any suit, action or proceeding brought in any such court.</w:t>
      </w:r>
    </w:p>
    <w:p>
      <w:pPr>
        <w:spacing w:after="0" w:line="18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We hereby notify you that pursuant to the requirements of the USA PATRIOT Act (Title III of Pub. L. 107-56 (signed into law October 26, 2001)) (the “PATRIOT Act”) and of 31 C.F.R. § 1010.230 (as amended, the “</w:t>
      </w:r>
      <w:r>
        <w:rPr>
          <w:rFonts w:ascii="Arial" w:cs="Arial" w:eastAsia="Arial" w:hAnsi="Arial"/>
          <w:sz w:val="19"/>
          <w:szCs w:val="19"/>
          <w:b w:val="1"/>
          <w:bCs w:val="1"/>
          <w:i w:val="1"/>
          <w:iCs w:val="1"/>
          <w:color w:val="auto"/>
        </w:rPr>
        <w:t>Beneficial Ownership Regulations</w:t>
      </w:r>
      <w:r>
        <w:rPr>
          <w:rFonts w:ascii="Arial" w:cs="Arial" w:eastAsia="Arial" w:hAnsi="Arial"/>
          <w:sz w:val="19"/>
          <w:szCs w:val="19"/>
          <w:color w:val="auto"/>
        </w:rPr>
        <w:t>”), each of us and each of the Lenders may be required to obtain, verify and record information that identifies the Borrower and the Guarantors, which information may include their names, addresses, tax identification numbers and other information that will allow each of us and the Lenders to identify the Borrower and the Guarantors in accordance with the PATRIOT Act and the Beneficial Ownership Regulations. This notice is given in accordance with the requirements of the PATRIOT Act and the Beneficial Ownership Regulations and is effective for each of us and the Lenders. You acknowledge that the Commitment Parties shall be permitted to share any or all such information with Lenders upon such request in accordance with the confidentiality obligations set forth herein.</w:t>
      </w:r>
    </w:p>
    <w:p>
      <w:pPr>
        <w:spacing w:after="0" w:line="179"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The indemnification, compensation (if applicable), reimbursement (if applicable), jurisdiction, governing law, venue, waiver of jury trial, syndication (if applicable), survival, absence of fiduciary relationships and confidentiality provisions contained herein and in the Fee Letter shall remain in full force and effect regardless of whether Senior Credit Facilities Documentation shall be executed and delivered and notwithstanding the termination or expiration of this Commitment Letter or the Initial Lenders’ commitments hereunder; provided that your obligations under this Commitment Letter (other (a) than assistance to be provided in connection with the syndication thereof (including supplementing and/or correcting Information and Projections) prior to the Syndication Date and (b) than your obligations with respect to confidentiality of the Fee Letter and the contents thereof), including compensation, reimbursement and indemnification, shall automatically terminate and be superseded by the applicable provisions of the Senior Credit Facilities Documentation upon the initial funding thereunder, and you shall automatically be released from all liability in connection therewith at such time. You may terminate this Commitment Letter, and/or on a pro rata basis, the Initial Lenders’ commitments with respect to the Senior Credit Facilities (or portion thereof pro rata across the Senior Credit Facilities) hereunder at any time subject to the provisions of the preceding sentence.</w:t>
      </w:r>
    </w:p>
    <w:p>
      <w:pPr>
        <w:spacing w:after="0" w:line="17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Section headings used herein are for convenience of reference only and are not to affect the construction of, or to be taken into consideration in interpreting, this Commitment Letter.</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If the foregoing correctly sets forth our agreement, please indicate your acceptance of the terms of this Commitment Letter and of the Fee Letter by returning to the Commitment Parties hereto and thereto, executed counterparts hereof and of the Fee Letter not later than 11:59 p.m., New York City time, on April 2, 2021 (the “</w:t>
      </w:r>
      <w:r>
        <w:rPr>
          <w:rFonts w:ascii="Arial" w:cs="Arial" w:eastAsia="Arial" w:hAnsi="Arial"/>
          <w:sz w:val="19"/>
          <w:szCs w:val="19"/>
          <w:b w:val="1"/>
          <w:bCs w:val="1"/>
          <w:i w:val="1"/>
          <w:iCs w:val="1"/>
          <w:color w:val="auto"/>
        </w:rPr>
        <w:t>Acceptance Date</w:t>
      </w:r>
      <w:r>
        <w:rPr>
          <w:rFonts w:ascii="Arial" w:cs="Arial" w:eastAsia="Arial" w:hAnsi="Arial"/>
          <w:sz w:val="19"/>
          <w:szCs w:val="19"/>
          <w:color w:val="auto"/>
        </w:rPr>
        <w:t>”). The Initial Lenders’ commitments and the obligations of the Joint Bookrunners hereunder will expire at such time in the event that we have not received such executed counterparts in accordance with the immediately preceding sentence. If you do so execute and deliver to the Commitment Parties party hereto this Commitment Letter and the Fee Letter, we agree to hold our commitments hereunder available for you until the earliest of (i) 5 pm (EST) on the forty-fifth (45th) day after the Acceptance Date and (ii) the Closing Date (such earliest date being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Upon the occurrence of the Termination Date, this Commitment Letter and the commitments of the Commitment Parties hereunder and the agreement of the Administrative Agents and the Joint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6" w:name="page67"/>
    <w:bookmarkEnd w:id="66"/>
    <w:p>
      <w:pPr>
        <w:spacing w:after="0" w:line="260" w:lineRule="auto"/>
        <w:rPr>
          <w:sz w:val="20"/>
          <w:szCs w:val="20"/>
          <w:color w:val="auto"/>
        </w:rPr>
      </w:pPr>
      <w:r>
        <w:rPr>
          <w:rFonts w:ascii="Arial" w:cs="Arial" w:eastAsia="Arial" w:hAnsi="Arial"/>
          <w:sz w:val="20"/>
          <w:szCs w:val="20"/>
          <w:color w:val="auto"/>
        </w:rPr>
        <w:t>Bookrunners to provide the services described herein shall automatically terminate unless the Commitment Parties, in their discretion, agree to an extension in writing.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We are pleased to have been given the opportunity to assist you in connection with the financing for the Transactions.</w:t>
      </w:r>
    </w:p>
    <w:p>
      <w:pPr>
        <w:sectPr>
          <w:pgSz w:w="11900" w:h="16838" w:orient="portrait"/>
          <w:cols w:equalWidth="0" w:num="1">
            <w:col w:w="9300"/>
          </w:cols>
          <w:pgMar w:left="1200" w:top="582" w:right="1399" w:bottom="1440" w:gutter="0" w:footer="0" w:header="0"/>
        </w:sectPr>
      </w:pPr>
    </w:p>
    <w:p>
      <w:pPr>
        <w:spacing w:after="0" w:line="26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Very truly yours,</w:t>
      </w:r>
    </w:p>
    <w:p>
      <w:pPr>
        <w:spacing w:after="0" w:line="210"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MORGAN STANLEY SENIOR FUNDING, INC.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/s/__Joanne Braidi</w:t>
      </w:r>
      <w:r>
        <w:rPr>
          <w:rFonts w:ascii="Arial" w:cs="Arial" w:eastAsia="Arial" w:hAnsi="Arial"/>
          <w:sz w:val="19"/>
          <w:szCs w:val="19"/>
          <w:color w:val="auto"/>
        </w:rPr>
        <w:t>_________________</w:t>
      </w:r>
    </w:p>
    <w:p>
      <w:pPr>
        <w:spacing w:after="0" w:line="33"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Name: Joanne Braidi</w:t>
      </w:r>
    </w:p>
    <w:p>
      <w:pPr>
        <w:ind w:left="5180"/>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763270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00"/>
          </w:cols>
          <w:pgMar w:left="1200" w:top="582" w:right="1399" w:bottom="1440" w:gutter="0" w:footer="0" w:header="0"/>
          <w:type w:val="continuous"/>
        </w:sectPr>
      </w:pPr>
    </w:p>
    <w:bookmarkStart w:id="68" w:name="page69"/>
    <w:bookmarkEnd w:id="68"/>
    <w:p>
      <w:pPr>
        <w:ind w:left="49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940"/>
        <w:spacing w:after="0"/>
        <w:rPr>
          <w:sz w:val="20"/>
          <w:szCs w:val="20"/>
          <w:color w:val="auto"/>
        </w:rPr>
      </w:pPr>
      <w:r>
        <w:rPr>
          <w:rFonts w:ascii="Arial" w:cs="Arial" w:eastAsia="Arial" w:hAnsi="Arial"/>
          <w:sz w:val="21"/>
          <w:szCs w:val="21"/>
          <w:b w:val="1"/>
          <w:bCs w:val="1"/>
          <w:color w:val="auto"/>
        </w:rPr>
        <w:t>CREDIT SUISSE AG, CAYMAN ISLANDS BRANCH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William O’Daly</w:t>
      </w:r>
    </w:p>
    <w:p>
      <w:pPr>
        <w:ind w:left="4940"/>
        <w:spacing w:after="0" w:line="238" w:lineRule="auto"/>
        <w:rPr>
          <w:sz w:val="20"/>
          <w:szCs w:val="20"/>
          <w:color w:val="auto"/>
        </w:rPr>
      </w:pPr>
      <w:r>
        <w:rPr>
          <w:rFonts w:ascii="Arial" w:cs="Arial" w:eastAsia="Arial" w:hAnsi="Arial"/>
          <w:sz w:val="22"/>
          <w:szCs w:val="22"/>
          <w:color w:val="auto"/>
        </w:rPr>
        <w:t>Name: William O’Daly</w:t>
      </w:r>
    </w:p>
    <w:p>
      <w:pPr>
        <w:ind w:left="49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Griffin</w:t>
      </w:r>
    </w:p>
    <w:p>
      <w:pPr>
        <w:ind w:left="4940"/>
        <w:spacing w:after="0" w:line="238" w:lineRule="auto"/>
        <w:rPr>
          <w:sz w:val="20"/>
          <w:szCs w:val="20"/>
          <w:color w:val="auto"/>
        </w:rPr>
      </w:pPr>
      <w:r>
        <w:rPr>
          <w:rFonts w:ascii="Arial" w:cs="Arial" w:eastAsia="Arial" w:hAnsi="Arial"/>
          <w:sz w:val="22"/>
          <w:szCs w:val="22"/>
          <w:color w:val="auto"/>
        </w:rPr>
        <w:t>Name: Andrew Griffin</w:t>
      </w:r>
    </w:p>
    <w:p>
      <w:pPr>
        <w:ind w:left="49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CREDIT SUISSE LOAN FUNDING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Maks Rodzinek_______________</w:t>
      </w:r>
    </w:p>
    <w:p>
      <w:pPr>
        <w:ind w:left="4940"/>
        <w:spacing w:after="0" w:line="238" w:lineRule="auto"/>
        <w:rPr>
          <w:sz w:val="20"/>
          <w:szCs w:val="20"/>
          <w:color w:val="auto"/>
        </w:rPr>
      </w:pPr>
      <w:r>
        <w:rPr>
          <w:rFonts w:ascii="Arial" w:cs="Arial" w:eastAsia="Arial" w:hAnsi="Arial"/>
          <w:sz w:val="22"/>
          <w:szCs w:val="22"/>
          <w:color w:val="auto"/>
        </w:rPr>
        <w:t>Name: Maks Rodzinek</w:t>
      </w:r>
    </w:p>
    <w:p>
      <w:pPr>
        <w:ind w:left="494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908685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00"/>
          </w:cols>
          <w:pgMar w:left="1440" w:top="582" w:right="459" w:bottom="1440" w:gutter="0" w:footer="0" w:header="0"/>
        </w:sectPr>
      </w:pPr>
    </w:p>
    <w:bookmarkStart w:id="69" w:name="page70"/>
    <w:bookmarkEnd w:id="69"/>
    <w:p>
      <w:pPr>
        <w:ind w:left="49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940"/>
        <w:spacing w:after="0"/>
        <w:rPr>
          <w:sz w:val="20"/>
          <w:szCs w:val="20"/>
          <w:color w:val="auto"/>
        </w:rPr>
      </w:pPr>
      <w:r>
        <w:rPr>
          <w:rFonts w:ascii="Arial" w:cs="Arial" w:eastAsia="Arial" w:hAnsi="Arial"/>
          <w:sz w:val="21"/>
          <w:szCs w:val="21"/>
          <w:b w:val="1"/>
          <w:bCs w:val="1"/>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Devine__________________</w:t>
      </w:r>
    </w:p>
    <w:p>
      <w:pPr>
        <w:ind w:left="4940"/>
        <w:spacing w:after="0" w:line="238" w:lineRule="auto"/>
        <w:rPr>
          <w:sz w:val="20"/>
          <w:szCs w:val="20"/>
          <w:color w:val="auto"/>
        </w:rPr>
      </w:pPr>
      <w:r>
        <w:rPr>
          <w:rFonts w:ascii="Arial" w:cs="Arial" w:eastAsia="Arial" w:hAnsi="Arial"/>
          <w:sz w:val="22"/>
          <w:szCs w:val="22"/>
          <w:color w:val="auto"/>
        </w:rPr>
        <w:t>Name: Joseph Devine</w:t>
      </w:r>
    </w:p>
    <w:p>
      <w:pPr>
        <w:ind w:left="49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Ian Dorrington</w:t>
      </w:r>
    </w:p>
    <w:p>
      <w:pPr>
        <w:ind w:left="4940"/>
        <w:spacing w:after="0" w:line="238" w:lineRule="auto"/>
        <w:rPr>
          <w:sz w:val="20"/>
          <w:szCs w:val="20"/>
          <w:color w:val="auto"/>
        </w:rPr>
      </w:pPr>
      <w:r>
        <w:rPr>
          <w:rFonts w:ascii="Arial" w:cs="Arial" w:eastAsia="Arial" w:hAnsi="Arial"/>
          <w:sz w:val="22"/>
          <w:szCs w:val="22"/>
          <w:color w:val="auto"/>
        </w:rPr>
        <w:t>Name: Ian Dorrington</w:t>
      </w:r>
    </w:p>
    <w:p>
      <w:pPr>
        <w:ind w:left="4940"/>
        <w:spacing w:after="0"/>
        <w:rPr>
          <w:sz w:val="20"/>
          <w:szCs w:val="20"/>
          <w:color w:val="auto"/>
        </w:rPr>
      </w:pPr>
      <w:r>
        <w:rPr>
          <w:rFonts w:ascii="Arial" w:cs="Arial" w:eastAsia="Arial" w:hAnsi="Arial"/>
          <w:sz w:val="22"/>
          <w:szCs w:val="22"/>
          <w:color w:val="auto"/>
        </w:rPr>
        <w:t>Title: Managing Director</w:t>
      </w:r>
    </w:p>
    <w:p>
      <w:pPr>
        <w:spacing w:after="0" w:line="182"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DEUTSCHE BANK SECURITIES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Devine__________________</w:t>
      </w:r>
    </w:p>
    <w:p>
      <w:pPr>
        <w:ind w:left="4940"/>
        <w:spacing w:after="0" w:line="238" w:lineRule="auto"/>
        <w:rPr>
          <w:sz w:val="20"/>
          <w:szCs w:val="20"/>
          <w:color w:val="auto"/>
        </w:rPr>
      </w:pPr>
      <w:r>
        <w:rPr>
          <w:rFonts w:ascii="Arial" w:cs="Arial" w:eastAsia="Arial" w:hAnsi="Arial"/>
          <w:sz w:val="22"/>
          <w:szCs w:val="22"/>
          <w:color w:val="auto"/>
        </w:rPr>
        <w:t>Name: Joseph Devine</w:t>
      </w:r>
    </w:p>
    <w:p>
      <w:pPr>
        <w:ind w:left="49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Ian Dorrington</w:t>
      </w:r>
    </w:p>
    <w:p>
      <w:pPr>
        <w:ind w:left="4940"/>
        <w:spacing w:after="0" w:line="238" w:lineRule="auto"/>
        <w:rPr>
          <w:sz w:val="20"/>
          <w:szCs w:val="20"/>
          <w:color w:val="auto"/>
        </w:rPr>
      </w:pPr>
      <w:r>
        <w:rPr>
          <w:rFonts w:ascii="Arial" w:cs="Arial" w:eastAsia="Arial" w:hAnsi="Arial"/>
          <w:sz w:val="22"/>
          <w:szCs w:val="22"/>
          <w:color w:val="auto"/>
        </w:rPr>
        <w:t>Name: Ian Dorrington</w:t>
      </w:r>
    </w:p>
    <w:p>
      <w:pPr>
        <w:ind w:left="494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685800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440"/>
          </w:cols>
          <w:pgMar w:left="1440" w:top="582" w:right="1019" w:bottom="1440" w:gutter="0" w:footer="0" w:header="0"/>
        </w:sectPr>
      </w:pPr>
    </w:p>
    <w:bookmarkStart w:id="70" w:name="page71"/>
    <w:bookmarkEnd w:id="70"/>
    <w:p>
      <w:pPr>
        <w:ind w:left="4940"/>
        <w:spacing w:after="0"/>
        <w:rPr>
          <w:sz w:val="20"/>
          <w:szCs w:val="20"/>
          <w:color w:val="auto"/>
        </w:rPr>
      </w:pPr>
      <w:r>
        <w:rPr>
          <w:rFonts w:ascii="Arial" w:cs="Arial" w:eastAsia="Arial" w:hAnsi="Arial"/>
          <w:sz w:val="16"/>
          <w:szCs w:val="16"/>
          <w:color w:val="auto"/>
        </w:rPr>
        <w:t>Accepted and agreed to as of the date first above written:</w:t>
      </w:r>
    </w:p>
    <w:p>
      <w:pPr>
        <w:spacing w:after="0" w:line="25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GOGO INC.</w:t>
      </w:r>
    </w:p>
    <w:p>
      <w:pPr>
        <w:spacing w:after="0" w:line="200" w:lineRule="exact"/>
        <w:rPr>
          <w:sz w:val="20"/>
          <w:szCs w:val="20"/>
          <w:color w:val="auto"/>
        </w:rPr>
      </w:pPr>
    </w:p>
    <w:p>
      <w:pPr>
        <w:spacing w:after="0" w:line="34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Rowan</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Name: Barry Rowan</w:t>
      </w:r>
    </w:p>
    <w:p>
      <w:pPr>
        <w:ind w:left="4940"/>
        <w:spacing w:after="0"/>
        <w:rPr>
          <w:sz w:val="20"/>
          <w:szCs w:val="20"/>
          <w:color w:val="auto"/>
        </w:rPr>
      </w:pPr>
      <w:r>
        <w:rPr>
          <w:rFonts w:ascii="Arial" w:cs="Arial" w:eastAsia="Arial" w:hAnsi="Arial"/>
          <w:sz w:val="20"/>
          <w:szCs w:val="20"/>
          <w:color w:val="auto"/>
        </w:rPr>
        <w:t>Title: EVP &amp; Chief Financial Officer</w:t>
      </w:r>
    </w:p>
    <w:p>
      <w:pPr>
        <w:sectPr>
          <w:pgSz w:w="11900" w:h="16838" w:orient="portrait"/>
          <w:cols w:equalWidth="0" w:num="1">
            <w:col w:w="9460"/>
          </w:cols>
          <w:pgMar w:left="1440" w:top="582" w:right="999" w:bottom="1440" w:gutter="0" w:footer="0" w:header="0"/>
        </w:sectPr>
      </w:pPr>
    </w:p>
    <w:bookmarkStart w:id="71" w:name="page72"/>
    <w:bookmarkEnd w:id="71"/>
    <w:p>
      <w:pPr>
        <w:ind w:left="10220"/>
        <w:spacing w:after="0"/>
        <w:rPr>
          <w:sz w:val="20"/>
          <w:szCs w:val="20"/>
          <w:color w:val="auto"/>
        </w:rPr>
      </w:pPr>
      <w:r>
        <w:rPr>
          <w:rFonts w:ascii="Arial" w:cs="Arial" w:eastAsia="Arial" w:hAnsi="Arial"/>
          <w:sz w:val="18"/>
          <w:szCs w:val="18"/>
          <w:b w:val="1"/>
          <w:bCs w:val="1"/>
          <w:color w:val="auto"/>
        </w:rPr>
        <w:t>Exhibit 10.6</w:t>
      </w:r>
    </w:p>
    <w:p>
      <w:pPr>
        <w:spacing w:after="0" w:line="238" w:lineRule="exact"/>
        <w:rPr>
          <w:sz w:val="20"/>
          <w:szCs w:val="20"/>
          <w:color w:val="auto"/>
        </w:rPr>
      </w:pPr>
    </w:p>
    <w:p>
      <w:pPr>
        <w:ind w:right="660"/>
        <w:spacing w:after="0" w:line="267" w:lineRule="auto"/>
        <w:rPr>
          <w:sz w:val="20"/>
          <w:szCs w:val="20"/>
          <w:color w:val="auto"/>
        </w:rPr>
      </w:pPr>
      <w:r>
        <w:rPr>
          <w:rFonts w:ascii="Arial" w:cs="Arial" w:eastAsia="Arial" w:hAnsi="Arial"/>
          <w:sz w:val="20"/>
          <w:szCs w:val="20"/>
          <w:b w:val="1"/>
          <w:bCs w:val="1"/>
          <w:color w:val="auto"/>
        </w:rPr>
        <w:t>Compensation of Non-Employee Directors (currently consisting of all members of the Board of Directors other than Oakleigh Thorne)</w:t>
      </w:r>
    </w:p>
    <w:p>
      <w:pPr>
        <w:spacing w:after="0" w:line="169"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On March 4, 2021, the Board of Directors approved the payment of $15,000 per year in cash to Hugh Jones for his services as Lead Independent Director.</w:t>
      </w:r>
    </w:p>
    <w:p>
      <w:pPr>
        <w:spacing w:after="0" w:line="177"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On April 28, 2021, the Board of Directors determined that effective with the payment of compensation for the second quarter of 2021, the equity compensation formerly payable to each non-employee director in stock options and deferred share units shall be paid solely in deferred share units.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With such changes, the non-employee directors’ compensation is as follows:</w:t>
      </w:r>
    </w:p>
    <w:p>
      <w:pPr>
        <w:spacing w:after="0" w:line="216" w:lineRule="exact"/>
        <w:rPr>
          <w:sz w:val="20"/>
          <w:szCs w:val="20"/>
          <w:color w:val="auto"/>
        </w:rPr>
      </w:pPr>
    </w:p>
    <w:p>
      <w:pPr>
        <w:ind w:left="840" w:right="700" w:hanging="414"/>
        <w:spacing w:after="0" w:line="260" w:lineRule="auto"/>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Each non-employee director will be paid annual compensation of $240,000, consisting of $50,000 in cash and $190,000 in deferred share units.</w:t>
      </w:r>
    </w:p>
    <w:p>
      <w:pPr>
        <w:spacing w:after="0" w:line="176" w:lineRule="exact"/>
        <w:rPr>
          <w:rFonts w:ascii="Arial" w:cs="Arial" w:eastAsia="Arial" w:hAnsi="Arial"/>
          <w:sz w:val="20"/>
          <w:szCs w:val="20"/>
          <w:color w:val="auto"/>
        </w:rPr>
      </w:pPr>
    </w:p>
    <w:p>
      <w:pPr>
        <w:ind w:left="840" w:hanging="414"/>
        <w:spacing w:after="0"/>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Lead Independent Director will receive additional annual compensation of $15,000 in cash.</w:t>
      </w:r>
    </w:p>
    <w:p>
      <w:pPr>
        <w:spacing w:after="0" w:line="215" w:lineRule="exact"/>
        <w:rPr>
          <w:rFonts w:ascii="Arial" w:cs="Arial" w:eastAsia="Arial" w:hAnsi="Arial"/>
          <w:sz w:val="20"/>
          <w:szCs w:val="20"/>
          <w:color w:val="auto"/>
        </w:rPr>
      </w:pPr>
    </w:p>
    <w:p>
      <w:pPr>
        <w:ind w:left="840" w:hanging="414"/>
        <w:spacing w:after="0"/>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chair of the Audit Committee will receive additional annual compensation of $20,000 in cash.</w:t>
      </w:r>
    </w:p>
    <w:p>
      <w:pPr>
        <w:spacing w:after="0" w:line="215" w:lineRule="exact"/>
        <w:rPr>
          <w:rFonts w:ascii="Arial" w:cs="Arial" w:eastAsia="Arial" w:hAnsi="Arial"/>
          <w:sz w:val="20"/>
          <w:szCs w:val="20"/>
          <w:color w:val="auto"/>
        </w:rPr>
      </w:pPr>
    </w:p>
    <w:p>
      <w:pPr>
        <w:ind w:left="840" w:hanging="414"/>
        <w:spacing w:after="0"/>
        <w:tabs>
          <w:tab w:leader="none" w:pos="8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chair of the Compensation Committee will receive additional annual compensation of $15,000 in cash.</w:t>
      </w:r>
    </w:p>
    <w:p>
      <w:pPr>
        <w:spacing w:after="0" w:line="215" w:lineRule="exact"/>
        <w:rPr>
          <w:rFonts w:ascii="Arial" w:cs="Arial" w:eastAsia="Arial" w:hAnsi="Arial"/>
          <w:sz w:val="20"/>
          <w:szCs w:val="20"/>
          <w:color w:val="auto"/>
        </w:rPr>
      </w:pPr>
    </w:p>
    <w:p>
      <w:pPr>
        <w:ind w:left="840" w:hanging="414"/>
        <w:spacing w:after="0"/>
        <w:tabs>
          <w:tab w:leader="none" w:pos="8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chair of the Nominating and Governance Committee will receive additional annual compensation of $10,000 in cash.</w:t>
      </w:r>
    </w:p>
    <w:p>
      <w:pPr>
        <w:spacing w:after="0" w:line="227"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All of these amounts will be paid quarterly, with cash payments payable on or before the end of the quarter and deferred stock grants dated the last business day of the quarter.</w:t>
      </w:r>
    </w:p>
    <w:p>
      <w:pPr>
        <w:spacing w:after="0" w:line="177" w:lineRule="exact"/>
        <w:rPr>
          <w:sz w:val="20"/>
          <w:szCs w:val="20"/>
          <w:color w:val="auto"/>
        </w:rPr>
      </w:pPr>
    </w:p>
    <w:p>
      <w:pPr>
        <w:ind w:right="580"/>
        <w:spacing w:after="0" w:line="316" w:lineRule="auto"/>
        <w:rPr>
          <w:sz w:val="20"/>
          <w:szCs w:val="20"/>
          <w:color w:val="auto"/>
        </w:rPr>
      </w:pPr>
      <w:r>
        <w:rPr>
          <w:rFonts w:ascii="Arial" w:cs="Arial" w:eastAsia="Arial" w:hAnsi="Arial"/>
          <w:sz w:val="18"/>
          <w:szCs w:val="18"/>
          <w:color w:val="auto"/>
        </w:rPr>
        <w:t>Directors have the ability to elect to receive all or a portion of the cash portion of their annual retainer and any additional payments for service as a chair in the form of deferred share units granted under our 2016 Gogo Inc. Omnibus Incentive Plan (“2016 Plan”).</w:t>
      </w:r>
    </w:p>
    <w:p>
      <w:pPr>
        <w:spacing w:after="0" w:line="130"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Directors will continue to be required to retain shares received upon exercise of stock options or settlement of deferred stock units (on an after-tax net basis) until the earlier of one year following termination of Board service or a Change in Control (as defined in the Company’s 2013 Gogo Inc. Omnibus Incentive Plan or 2016 Plan. This retention policy applies only to options and deferred stock units granted on and after September 30, 2015.</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81"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3"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20" w:hanging="492"/>
        <w:spacing w:after="0" w:line="29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6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000" w:right="500" w:hanging="493"/>
        <w:spacing w:after="0" w:line="316"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160" w:hanging="492"/>
        <w:spacing w:after="0" w:line="29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00" w:right="740" w:hanging="493"/>
        <w:spacing w:after="0" w:line="316" w:lineRule="auto"/>
        <w:tabs>
          <w:tab w:leader="none" w:pos="1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8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3"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20" w:hanging="492"/>
        <w:spacing w:after="0" w:line="29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6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000" w:right="500" w:hanging="493"/>
        <w:spacing w:after="0" w:line="316" w:lineRule="auto"/>
        <w:tabs>
          <w:tab w:leader="none" w:pos="10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160" w:hanging="492"/>
        <w:spacing w:after="0" w:line="29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00" w:right="740" w:hanging="493"/>
        <w:spacing w:after="0" w:line="316" w:lineRule="auto"/>
        <w:tabs>
          <w:tab w:leader="none" w:pos="10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40" w:right="20" w:hanging="368"/>
        <w:spacing w:after="0" w:line="277"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20" w:firstLine="372"/>
        <w:spacing w:after="0" w:line="500" w:lineRule="auto"/>
        <w:tabs>
          <w:tab w:leader="none" w:pos="7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6,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40" w:right="2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20" w:firstLine="372"/>
        <w:spacing w:after="0" w:line="500" w:lineRule="auto"/>
        <w:tabs>
          <w:tab w:leader="none" w:pos="7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6,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start w:val="6"/>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8"/>
    </w:lvl>
  </w:abstractNum>
  <w:abstractNum w:abstractNumId="11">
    <w:nsid w:val="5072367"/>
    <w:multiLevelType w:val="hybridMultilevel"/>
    <w:lvl w:ilvl="0">
      <w:lvlJc w:val="left"/>
      <w:lvlText w:val="%1."/>
      <w:numFmt w:val="decimal"/>
      <w:start w:val="9"/>
    </w:lvl>
  </w:abstractNum>
  <w:abstractNum w:abstractNumId="12">
    <w:nsid w:val="3804823E"/>
    <w:multiLevelType w:val="hybridMultilevel"/>
    <w:lvl w:ilvl="0">
      <w:lvlJc w:val="left"/>
      <w:lvlText w:val="%1."/>
      <w:numFmt w:val="decimal"/>
      <w:start w:val="10"/>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1"/>
    </w:lvl>
  </w:abstractNum>
  <w:abstractNum w:abstractNumId="18">
    <w:nsid w:val="51EAD36B"/>
    <w:multiLevelType w:val="hybridMultilevel"/>
    <w:lvl w:ilvl="0">
      <w:lvlJc w:val="left"/>
      <w:lvlText w:val="%1."/>
      <w:numFmt w:val="decimal"/>
      <w:start w:val="12"/>
    </w:lvl>
  </w:abstractNum>
  <w:abstractNum w:abstractNumId="19">
    <w:nsid w:val="2D517796"/>
    <w:multiLevelType w:val="hybridMultilevel"/>
    <w:lvl w:ilvl="0">
      <w:lvlJc w:val="left"/>
      <w:lvlText w:val="%1."/>
      <w:numFmt w:val="decimal"/>
      <w:start w:val="13"/>
    </w:lvl>
  </w:abstractNum>
  <w:abstractNum w:abstractNumId="20">
    <w:nsid w:val="580BD78F"/>
    <w:multiLevelType w:val="hybridMultilevel"/>
    <w:lvl w:ilvl="0">
      <w:lvlJc w:val="left"/>
      <w:lvlText w:val="%1."/>
      <w:numFmt w:val="decimal"/>
      <w:start w:val="14"/>
    </w:lvl>
    <w:lvl w:ilvl="1">
      <w:lvlJc w:val="left"/>
      <w:lvlText w:val="•"/>
      <w:numFmt w:val="bullet"/>
      <w:start w:val="1"/>
    </w:lvl>
  </w:abstractNum>
  <w:abstractNum w:abstractNumId="21">
    <w:nsid w:val="153EA438"/>
    <w:multiLevelType w:val="hybridMultilevel"/>
    <w:lvl w:ilvl="0">
      <w:lvlJc w:val="left"/>
      <w:lvlText w:val="%1"/>
      <w:numFmt w:val="decimal"/>
      <w:start w:val="1"/>
    </w:lvl>
    <w:lvl w:ilvl="1">
      <w:lvlJc w:val="left"/>
      <w:lvlText w:val="(%2)"/>
      <w:numFmt w:val="decimal"/>
      <w:start w:val="1"/>
    </w:lvl>
  </w:abstractNum>
  <w:abstractNum w:abstractNumId="22">
    <w:nsid w:val="3855585C"/>
    <w:multiLevelType w:val="hybridMultilevel"/>
    <w:lvl w:ilvl="0">
      <w:lvlJc w:val="left"/>
      <w:lvlText w:val="%1."/>
      <w:numFmt w:val="decimal"/>
      <w:start w:val="15"/>
    </w:lvl>
    <w:lvl w:ilvl="1">
      <w:lvlJc w:val="left"/>
      <w:lvlText w:val="%2"/>
      <w:numFmt w:val="decimal"/>
      <w:start w:val="1"/>
    </w:lvl>
  </w:abstractNum>
  <w:abstractNum w:abstractNumId="23">
    <w:nsid w:val="70A64E2A"/>
    <w:multiLevelType w:val="hybridMultilevel"/>
    <w:lvl w:ilvl="0">
      <w:lvlJc w:val="left"/>
      <w:lvlText w:val="%1."/>
      <w:numFmt w:val="decimal"/>
      <w:start w:val="16"/>
    </w:lvl>
  </w:abstractNum>
  <w:abstractNum w:abstractNumId="24">
    <w:nsid w:val="6A2342EC"/>
    <w:multiLevelType w:val="hybridMultilevel"/>
    <w:lvl w:ilvl="0">
      <w:lvlJc w:val="left"/>
      <w:lvlText w:val="%1."/>
      <w:numFmt w:val="decimal"/>
      <w:start w:val="17"/>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lvl w:ilvl="1">
      <w:lvlJc w:val="left"/>
      <w:lvlText w:val="▪"/>
      <w:numFmt w:val="bullet"/>
      <w:start w:val="1"/>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2"/>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Roman"/>
      <w:start w:val="6"/>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2"/>
    </w:lvl>
  </w:abstractNum>
  <w:abstractNum w:abstractNumId="41">
    <w:nsid w:val="1BA026FA"/>
    <w:multiLevelType w:val="hybridMultilevel"/>
    <w:lvl w:ilvl="0">
      <w:lvlJc w:val="left"/>
      <w:lvlText w:val="#"/>
      <w:numFmt w:val="bullet"/>
      <w:start w:val="1"/>
    </w:lvl>
    <w:lvl w:ilvl="1">
      <w:lvlJc w:val="left"/>
      <w:lvlText w:val="%2"/>
      <w:numFmt w:val="decimal"/>
      <w:start w:val="104"/>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2"/>
    </w:lvl>
  </w:abstractNum>
  <w:abstractNum w:abstractNumId="45">
    <w:nsid w:val="70C6A529"/>
    <w:multiLevelType w:val="hybridMultilevel"/>
    <w:lvl w:ilvl="0">
      <w:lvlJc w:val="left"/>
      <w:lvlText w:val="(%1)"/>
      <w:numFmt w:val="lowerLetter"/>
      <w:start w:val="6"/>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1."/>
      <w:numFmt w:val="decimal"/>
      <w:start w:val="4"/>
    </w:lvl>
  </w:abstractNum>
  <w:abstractNum w:abstractNumId="48">
    <w:nsid w:val="4F4EF005"/>
    <w:multiLevelType w:val="hybridMultilevel"/>
    <w:lvl w:ilvl="0">
      <w:lvlJc w:val="left"/>
      <w:lvlText w:val="%1."/>
      <w:numFmt w:val="decimal"/>
      <w:start w:val="5"/>
    </w:lvl>
  </w:abstractNum>
  <w:abstractNum w:abstractNumId="49">
    <w:nsid w:val="23F9C13C"/>
    <w:multiLevelType w:val="hybridMultilevel"/>
    <w:lvl w:ilvl="0">
      <w:lvlJc w:val="left"/>
      <w:lvlText w:val="%1."/>
      <w:numFmt w:val="decimal"/>
      <w:start w:val="6"/>
    </w:lvl>
  </w:abstractNum>
  <w:abstractNum w:abstractNumId="50">
    <w:nsid w:val="649BB77C"/>
    <w:multiLevelType w:val="hybridMultilevel"/>
    <w:lvl w:ilvl="0">
      <w:lvlJc w:val="left"/>
      <w:lvlText w:val="(%1)"/>
      <w:numFmt w:val="lowerRoman"/>
      <w:start w:val="2"/>
    </w:lvl>
  </w:abstractNum>
  <w:abstractNum w:abstractNumId="51">
    <w:nsid w:val="275AC794"/>
    <w:multiLevelType w:val="hybridMultilevel"/>
    <w:lvl w:ilvl="0">
      <w:lvlJc w:val="left"/>
      <w:lvlText w:val="%1."/>
      <w:numFmt w:val="decimal"/>
      <w:start w:val="7"/>
    </w:lvl>
  </w:abstractNum>
  <w:abstractNum w:abstractNumId="52">
    <w:nsid w:val="39386575"/>
    <w:multiLevelType w:val="hybridMultilevel"/>
    <w:lvl w:ilvl="0">
      <w:lvlJc w:val="left"/>
      <w:lvlText w:val="%1."/>
      <w:numFmt w:val="decimal"/>
      <w:start w:val="8"/>
    </w:lvl>
  </w:abstractNum>
  <w:abstractNum w:abstractNumId="53">
    <w:nsid w:val="1CF10FD8"/>
    <w:multiLevelType w:val="hybridMultilevel"/>
    <w:lvl w:ilvl="0">
      <w:lvlJc w:val="left"/>
      <w:lvlText w:val="(%1)"/>
      <w:numFmt w:val="lowerRoman"/>
      <w:start w:val="7"/>
    </w:lvl>
  </w:abstractNum>
  <w:abstractNum w:abstractNumId="54">
    <w:nsid w:val="180115BE"/>
    <w:multiLevelType w:val="hybridMultilevel"/>
    <w:lvl w:ilvl="0">
      <w:lvlJc w:val="left"/>
      <w:lvlText w:val="%1."/>
      <w:numFmt w:val="decimal"/>
      <w:start w:val="9"/>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67" Type="http://schemas.openxmlformats.org/officeDocument/2006/relationships/hyperlink" Target="http://www.sec.gov/Archives/edgar/data/1537054/000119312521114224/d155938dex102.htm" TargetMode="External"/><Relationship Id="rId68" Type="http://schemas.openxmlformats.org/officeDocument/2006/relationships/hyperlink" Target="http://www.sec.gov/Archives/edgar/data/1537054/000119312521114224/d155938dex103.htm" TargetMode="External"/><Relationship Id="rId69" Type="http://schemas.openxmlformats.org/officeDocument/2006/relationships/hyperlink" Target="http://www.sec.gov/Archives/edgar/data/1537054/000119312521114224/d155938dex101.htm" TargetMode="External"/><Relationship Id="rId70" Type="http://schemas.openxmlformats.org/officeDocument/2006/relationships/hyperlink" Target="http://www.sec.gov/Archives/edgar/data/1537054/000119312521146480/d163699dex101.htm" TargetMode="External"/><Relationship Id="rId71" Type="http://schemas.openxmlformats.org/officeDocument/2006/relationships/hyperlink" Target="http://www.sec.gov/Archives/edgar/data/0001537054/000119312521146480/d163699dex102.htm" TargetMode="External"/><Relationship Id="rId72" Type="http://schemas.openxmlformats.org/officeDocument/2006/relationships/hyperlink" Target="http://www.sec.gov/Archives/edgar/data/0001537054/000119312521146480/d16369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2021-05-06T15:01:08Z</dcterms:created>
  <dcterms:modified xsi:type="dcterms:W3CDTF">2021-05-06T15:01:08Z</dcterms:modified>
</cp:coreProperties>
</file>