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59"/>
        <w:spacing w:after="0" w:line="23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860" w:hanging="839"/>
        <w:spacing w:after="0"/>
        <w:tabs>
          <w:tab w:leader="none" w:pos="8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5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2022</w:t>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ind w:left="700" w:hanging="679"/>
        <w:spacing w:after="0" w:line="184" w:lineRule="auto"/>
        <w:tabs>
          <w:tab w:leader="none" w:pos="700" w:val="left"/>
        </w:tabs>
        <w:numPr>
          <w:ilvl w:val="0"/>
          <w:numId w:val="2"/>
        </w:numPr>
        <w:rPr>
          <w:rFonts w:ascii="MS PGothic" w:cs="MS PGothic" w:eastAsia="MS PGothic" w:hAnsi="MS PGothic"/>
          <w:sz w:val="34"/>
          <w:szCs w:val="34"/>
          <w:color w:val="auto"/>
          <w:highlight w:val="black"/>
          <w:vertAlign w:val="super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Gogo Inc.</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619" w:right="399" w:bottom="1440" w:gutter="0" w:footer="0" w:header="0"/>
        </w:sectPr>
      </w:pPr>
    </w:p>
    <w:p>
      <w:pPr>
        <w:spacing w:after="0" w:line="80"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27-1650905</w:t>
      </w:r>
    </w:p>
    <w:p>
      <w:pPr>
        <w:spacing w:after="0" w:line="10" w:lineRule="exact"/>
        <w:rPr>
          <w:sz w:val="24"/>
          <w:szCs w:val="24"/>
          <w:color w:val="auto"/>
        </w:rPr>
      </w:pPr>
    </w:p>
    <w:p>
      <w:pPr>
        <w:sectPr>
          <w:pgSz w:w="11900" w:h="16838" w:orient="portrait"/>
          <w:cols w:equalWidth="0" w:num="2">
            <w:col w:w="7340" w:space="720"/>
            <w:col w:w="3120"/>
          </w:cols>
          <w:pgMar w:left="320" w:top="619" w:right="399" w:bottom="1440" w:gutter="0" w:footer="0" w:header="0"/>
          <w:type w:val="continuous"/>
        </w:sectPr>
      </w:pPr>
    </w:p>
    <w:p>
      <w:pPr>
        <w:jc w:val="center"/>
        <w:ind w:right="1720"/>
        <w:spacing w:after="0"/>
        <w:rPr>
          <w:sz w:val="20"/>
          <w:szCs w:val="20"/>
          <w:color w:val="auto"/>
        </w:rPr>
      </w:pPr>
      <w:r>
        <w:rPr>
          <w:rFonts w:ascii="Times New Roman" w:cs="Times New Roman" w:eastAsia="Times New Roman" w:hAnsi="Times New Roman"/>
          <w:sz w:val="14"/>
          <w:szCs w:val="14"/>
          <w:color w:val="auto"/>
        </w:rPr>
        <w:t>(State or other jurisdiction of</w:t>
      </w:r>
    </w:p>
    <w:p>
      <w:pPr>
        <w:jc w:val="center"/>
        <w:ind w:right="17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74" w:lineRule="exact"/>
        <w:rPr>
          <w:sz w:val="24"/>
          <w:szCs w:val="24"/>
          <w:color w:val="auto"/>
        </w:rPr>
      </w:pPr>
    </w:p>
    <w:p>
      <w:pPr>
        <w:sectPr>
          <w:pgSz w:w="11900" w:h="16838" w:orient="portrait"/>
          <w:cols w:equalWidth="0" w:num="2">
            <w:col w:w="7240" w:space="720"/>
            <w:col w:w="3220"/>
          </w:cols>
          <w:pgMar w:left="320" w:top="619"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105 Edgeview Dr., Suite 300</w:t>
      </w:r>
    </w:p>
    <w:p>
      <w:pPr>
        <w:jc w:val="center"/>
        <w:ind w:right="-59"/>
        <w:spacing w:after="0" w:line="232" w:lineRule="auto"/>
        <w:rPr>
          <w:sz w:val="20"/>
          <w:szCs w:val="20"/>
          <w:color w:val="auto"/>
        </w:rPr>
      </w:pPr>
      <w:r>
        <w:rPr>
          <w:rFonts w:ascii="Times New Roman" w:cs="Times New Roman" w:eastAsia="Times New Roman" w:hAnsi="Times New Roman"/>
          <w:sz w:val="18"/>
          <w:szCs w:val="18"/>
          <w:b w:val="1"/>
          <w:bCs w:val="1"/>
          <w:color w:val="auto"/>
        </w:rPr>
        <w:t>Broomfield, CO 80021</w:t>
      </w: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Telephone Number (303) 301-3271</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3"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300" w:type="dxa"/>
            <w:vAlign w:val="bottom"/>
            <w:gridSpan w:val="2"/>
          </w:tcPr>
          <w:p>
            <w:pPr>
              <w:jc w:val="center"/>
              <w:ind w:right="2468"/>
              <w:spacing w:after="0"/>
              <w:rPr>
                <w:sz w:val="20"/>
                <w:szCs w:val="20"/>
                <w:color w:val="auto"/>
              </w:rPr>
            </w:pPr>
            <w:r>
              <w:rPr>
                <w:rFonts w:ascii="Times New Roman" w:cs="Times New Roman" w:eastAsia="Times New Roman" w:hAnsi="Times New Roman"/>
                <w:sz w:val="14"/>
                <w:szCs w:val="14"/>
                <w:color w:val="auto"/>
              </w:rPr>
              <w:t>Title of Class</w:t>
            </w:r>
          </w:p>
        </w:tc>
        <w:tc>
          <w:tcPr>
            <w:tcW w:w="17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Trading Symbol</w:t>
            </w:r>
          </w:p>
        </w:tc>
        <w:tc>
          <w:tcPr>
            <w:tcW w:w="3480" w:type="dxa"/>
            <w:vAlign w:val="bottom"/>
            <w:gridSpan w:val="3"/>
          </w:tcPr>
          <w:p>
            <w:pPr>
              <w:jc w:val="center"/>
              <w:ind w:left="6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46"/>
        </w:trPr>
        <w:tc>
          <w:tcPr>
            <w:tcW w:w="9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Common stock,</w:t>
            </w:r>
          </w:p>
        </w:tc>
        <w:tc>
          <w:tcPr>
            <w:tcW w:w="76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par value $</w:t>
            </w:r>
          </w:p>
        </w:tc>
        <w:tc>
          <w:tcPr>
            <w:tcW w:w="2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0.0001 per share</w:t>
            </w:r>
          </w:p>
        </w:tc>
        <w:tc>
          <w:tcPr>
            <w:tcW w:w="9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GOGO</w:t>
            </w: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NASDAQ Global Select Market</w:t>
            </w:r>
          </w:p>
        </w:tc>
        <w:tc>
          <w:tcPr>
            <w:tcW w:w="20" w:type="dxa"/>
            <w:vAlign w:val="bottom"/>
          </w:tcPr>
          <w:p>
            <w:pPr>
              <w:spacing w:after="0"/>
              <w:rPr>
                <w:sz w:val="12"/>
                <w:szCs w:val="12"/>
                <w:color w:val="auto"/>
              </w:rPr>
            </w:pPr>
          </w:p>
        </w:tc>
      </w:tr>
      <w:tr>
        <w:trPr>
          <w:trHeight w:val="188"/>
        </w:trPr>
        <w:tc>
          <w:tcPr>
            <w:tcW w:w="4220" w:type="dxa"/>
            <w:vAlign w:val="bottom"/>
            <w:gridSpan w:val="3"/>
          </w:tcPr>
          <w:p>
            <w:pPr>
              <w:jc w:val="center"/>
              <w:ind w:right="1568"/>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7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GOGO</w:t>
            </w:r>
          </w:p>
        </w:tc>
        <w:tc>
          <w:tcPr>
            <w:tcW w:w="780" w:type="dxa"/>
            <w:vAlign w:val="bottom"/>
          </w:tcPr>
          <w:p>
            <w:pPr>
              <w:spacing w:after="0"/>
              <w:rPr>
                <w:sz w:val="16"/>
                <w:szCs w:val="16"/>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(or for such shorter period that the registrant was required to file such reports), and (2) has been subject to such filing requirements for the past 90 days.</w:t>
      </w:r>
    </w:p>
    <w:p>
      <w:pPr>
        <w:spacing w:after="0" w:line="161" w:lineRule="exact"/>
        <w:tabs>
          <w:tab w:leader="none" w:pos="5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w:t>
      </w:r>
    </w:p>
    <w:p>
      <w:pPr>
        <w:spacing w:after="0" w:line="12" w:lineRule="exact"/>
        <w:rPr>
          <w:sz w:val="24"/>
          <w:szCs w:val="24"/>
          <w:color w:val="auto"/>
        </w:rPr>
      </w:pPr>
    </w:p>
    <w:p>
      <w:pPr>
        <w:spacing w:after="0" w:line="161" w:lineRule="exact"/>
        <w:tabs>
          <w:tab w:leader="none" w:pos="8620" w:val="left"/>
        </w:tabs>
        <w:rPr>
          <w:sz w:val="20"/>
          <w:szCs w:val="20"/>
          <w:color w:val="auto"/>
        </w:rPr>
      </w:pPr>
      <w:r>
        <w:rPr>
          <w:rFonts w:ascii="Times New Roman" w:cs="Times New Roman" w:eastAsia="Times New Roman" w:hAnsi="Times New Roman"/>
          <w:sz w:val="14"/>
          <w:szCs w:val="14"/>
          <w:color w:val="auto"/>
        </w:rPr>
        <w:t>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4" w:lineRule="exact"/>
        <w:rPr>
          <w:sz w:val="24"/>
          <w:szCs w:val="24"/>
          <w:color w:val="auto"/>
        </w:rPr>
      </w:pPr>
    </w:p>
    <w:p>
      <w:pPr>
        <w:ind w:right="100" w:firstLine="509"/>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58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5" w:lineRule="exact"/>
        <w:rPr>
          <w:sz w:val="24"/>
          <w:szCs w:val="24"/>
          <w:color w:val="auto"/>
        </w:rPr>
      </w:pPr>
    </w:p>
    <w:p>
      <w:pPr>
        <w:ind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520" w:right="3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April 29, 2022, 112,002,322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19"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180" w:type="dxa"/>
            <w:vAlign w:val="bottom"/>
            <w:gridSpan w:val="3"/>
            <w:vMerge w:val="continue"/>
          </w:tcPr>
          <w:p>
            <w:pPr>
              <w:spacing w:after="0"/>
              <w:rPr>
                <w:sz w:val="14"/>
                <w:szCs w:val="14"/>
                <w:color w:val="auto"/>
              </w:rPr>
            </w:pPr>
          </w:p>
        </w:tc>
        <w:tc>
          <w:tcPr>
            <w:tcW w:w="9500" w:type="dxa"/>
            <w:vAlign w:val="bottom"/>
            <w:gridSpan w:val="15"/>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Stockholders’ Equity (Deficit)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180" w:type="dxa"/>
            <w:vAlign w:val="bottom"/>
            <w:tcBorders>
              <w:left w:val="single" w:sz="8" w:color="0000FF"/>
            </w:tcBorders>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2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7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48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152,829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145,913</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of $1,127 and $894, respectively</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33,976</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32,295</w:t>
            </w:r>
          </w:p>
        </w:tc>
        <w:tc>
          <w:tcPr>
            <w:tcW w:w="8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271,052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71,596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63,672</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49,554</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70,989</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assets, net of allowances of $515 and $455, respectively</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177,934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185,133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397,773</w:t>
            </w:r>
          </w:p>
        </w:tc>
        <w:tc>
          <w:tcPr>
            <w:tcW w:w="8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685,275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647,687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58,683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59,868</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109,897</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109,620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188,298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188,516</w:t>
            </w:r>
          </w:p>
        </w:tc>
        <w:tc>
          <w:tcPr>
            <w:tcW w:w="80" w:type="dxa"/>
            <w:vAlign w:val="bottom"/>
          </w:tcPr>
          <w:p>
            <w:pPr>
              <w:spacing w:after="0"/>
              <w:rPr>
                <w:sz w:val="18"/>
                <w:szCs w:val="18"/>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694,760</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77,329</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8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778,017</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779,325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966,315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967,841</w:t>
            </w:r>
          </w:p>
        </w:tc>
        <w:tc>
          <w:tcPr>
            <w:tcW w:w="8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71"/>
        </w:trPr>
        <w:tc>
          <w:tcPr>
            <w:tcW w:w="76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par value $0.0001 per share; 500,000,000 shares authorized at March 31, 2022 and</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December 31, 2021; 118,399,731 and 117,407,468 shares issued at March 31, 2022 and December</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31, 2021, respectively; and 111,784,217 and 110,791,954 shares outstanding at March 31, 2022 and</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1,259,223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1,258,477</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w:t>
            </w:r>
          </w:p>
        </w:tc>
        <w:tc>
          <w:tcPr>
            <w:tcW w:w="3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(128,803 )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(128,803 )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(1,429,432 )</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(1,451,628 )</w:t>
            </w:r>
          </w:p>
        </w:tc>
      </w:tr>
      <w:tr>
        <w:trPr>
          <w:trHeight w:val="210"/>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(281,040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(320,154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685,275</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647,687</w:t>
            </w:r>
          </w:p>
        </w:tc>
        <w:tc>
          <w:tcPr>
            <w:tcW w:w="8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-4474210</wp:posOffset>
            </wp:positionV>
            <wp:extent cx="51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-4474210</wp:posOffset>
            </wp:positionV>
            <wp:extent cx="51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-3642360</wp:posOffset>
            </wp:positionV>
            <wp:extent cx="5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-3642360</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-3350895</wp:posOffset>
            </wp:positionV>
            <wp:extent cx="51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-3333750</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-3350895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-3333750</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-2502535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-2502535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-1653540</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-1653540</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58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9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59,355</w:t>
            </w: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92,750</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8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57,801</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46,089</w:t>
            </w:r>
          </w:p>
        </w:tc>
        <w:tc>
          <w:tcPr>
            <w:tcW w:w="8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settlement of convertible notes</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9"/>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(5,849 )</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(5,884 )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net of tax</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(1,801 )</w:t>
            </w:r>
          </w:p>
        </w:tc>
      </w:tr>
      <w:tr>
        <w:trPr>
          <w:trHeight w:val="20"/>
        </w:trPr>
        <w:tc>
          <w:tcPr>
            <w:tcW w:w="7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(7,685 )</w:t>
            </w: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basic:</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100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(0.02 )</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basic</w:t>
            </w:r>
          </w:p>
        </w:tc>
        <w:tc>
          <w:tcPr>
            <w:tcW w:w="1000" w:type="dxa"/>
            <w:vAlign w:val="bottom"/>
            <w:tcBorders>
              <w:top w:val="single" w:sz="8" w:color="auto"/>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197"/>
        </w:trPr>
        <w:tc>
          <w:tcPr>
            <w:tcW w:w="7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diluted:</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(0.07 )</w:t>
            </w: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r>
      <w:tr>
        <w:trPr>
          <w:trHeight w:val="20"/>
        </w:trPr>
        <w:tc>
          <w:tcPr>
            <w:tcW w:w="7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 - diluted</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(0.09 )</w:t>
            </w: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111,414</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84,649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197"/>
        </w:trPr>
        <w:tc>
          <w:tcPr>
            <w:tcW w:w="7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134,095</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84,649</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-5022850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-5022850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-3908425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-3908425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-3616960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-3616960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-2776855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-2776855</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-2493645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-2493645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-2211070</wp:posOffset>
            </wp:positionV>
            <wp:extent cx="51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-2211070</wp:posOffset>
            </wp:positionV>
            <wp:extent cx="51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-1345565</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-1328420</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-1345565</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-1328420</wp:posOffset>
            </wp:positionV>
            <wp:extent cx="51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-770890</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-770890</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-187960</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58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4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 hedges: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unrealized gain</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Less: income (loss) realized and reclassified to earnings</w:t>
            </w:r>
          </w:p>
        </w:tc>
        <w:tc>
          <w:tcPr>
            <w:tcW w:w="10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38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40" w:type="dxa"/>
            <w:vAlign w:val="bottom"/>
            <w:tcBorders>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38,368</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-316230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-316230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58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1"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 from continuing operations:</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22,196</w:t>
            </w:r>
          </w:p>
        </w:tc>
        <w:tc>
          <w:tcPr>
            <w:tcW w:w="24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(5,884 )</w:t>
            </w: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(loss) to cash provided by operating activities: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(gain) on asset disposals, abandonments and write-downs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 and interest rate caps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debt discount</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settlement of convertible notes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(4,571 )</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Inventories</w:t>
            </w:r>
          </w:p>
        </w:tc>
        <w:tc>
          <w:tcPr>
            <w:tcW w:w="104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(2,491 )</w:t>
            </w:r>
          </w:p>
        </w:tc>
        <w:tc>
          <w:tcPr>
            <w:tcW w:w="3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(446 )</w:t>
            </w: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Contract assets</w:t>
            </w:r>
          </w:p>
        </w:tc>
        <w:tc>
          <w:tcPr>
            <w:tcW w:w="104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(2,407 )</w:t>
            </w:r>
          </w:p>
        </w:tc>
        <w:tc>
          <w:tcPr>
            <w:tcW w:w="3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(1,886 )</w:t>
            </w: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(857 )</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liabilities</w:t>
            </w:r>
          </w:p>
        </w:tc>
        <w:tc>
          <w:tcPr>
            <w:tcW w:w="104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(5,926 )</w:t>
            </w:r>
          </w:p>
        </w:tc>
        <w:tc>
          <w:tcPr>
            <w:tcW w:w="3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(10,424 )</w:t>
            </w: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(226 )</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interest</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27,559</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(613 )</w:t>
            </w:r>
          </w:p>
        </w:tc>
        <w:tc>
          <w:tcPr>
            <w:tcW w:w="3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(654 )</w:t>
            </w:r>
          </w:p>
        </w:tc>
      </w:tr>
      <w:tr>
        <w:trPr>
          <w:trHeight w:val="169"/>
        </w:trPr>
        <w:tc>
          <w:tcPr>
            <w:tcW w:w="77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 from continuing operations</w:t>
            </w:r>
          </w:p>
        </w:tc>
        <w:tc>
          <w:tcPr>
            <w:tcW w:w="10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17,866</w:t>
            </w:r>
          </w:p>
        </w:tc>
        <w:tc>
          <w:tcPr>
            <w:tcW w:w="240" w:type="dxa"/>
            <w:vAlign w:val="bottom"/>
            <w:tcBorders>
              <w:top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24,574</w:t>
            </w:r>
          </w:p>
        </w:tc>
        <w:tc>
          <w:tcPr>
            <w:tcW w:w="60" w:type="dxa"/>
            <w:vAlign w:val="bottom"/>
            <w:tcBorders>
              <w:top w:val="single" w:sz="8" w:color="CFF0FC"/>
            </w:tcBorders>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 from continuing operations:</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(7,598 )</w:t>
            </w:r>
          </w:p>
        </w:tc>
        <w:tc>
          <w:tcPr>
            <w:tcW w:w="3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(360 )</w:t>
            </w: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Acquisition of intangible assets—capitalized software</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(1,457 )</w:t>
            </w:r>
          </w:p>
        </w:tc>
        <w:tc>
          <w:tcPr>
            <w:tcW w:w="3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(342 )</w:t>
            </w:r>
          </w:p>
        </w:tc>
      </w:tr>
      <w:tr>
        <w:trPr>
          <w:trHeight w:val="169"/>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 from continuing operations</w:t>
            </w:r>
          </w:p>
        </w:tc>
        <w:tc>
          <w:tcPr>
            <w:tcW w:w="10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(9,055</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 from continuing operations:</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on term loan</w:t>
            </w:r>
          </w:p>
        </w:tc>
        <w:tc>
          <w:tcPr>
            <w:tcW w:w="104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(1,813 )</w:t>
            </w:r>
          </w:p>
        </w:tc>
        <w:tc>
          <w:tcPr>
            <w:tcW w:w="380" w:type="dxa"/>
            <w:vAlign w:val="bottom"/>
          </w:tcPr>
          <w:p>
            <w:pPr>
              <w:spacing w:after="0"/>
              <w:rPr>
                <w:sz w:val="15"/>
                <w:szCs w:val="15"/>
                <w:color w:val="auto"/>
              </w:rPr>
            </w:pP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on financing leases</w:t>
            </w:r>
          </w:p>
        </w:tc>
        <w:tc>
          <w:tcPr>
            <w:tcW w:w="104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(43 )</w:t>
            </w:r>
          </w:p>
        </w:tc>
        <w:tc>
          <w:tcPr>
            <w:tcW w:w="3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(124 )</w:t>
            </w: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(23 )</w:t>
            </w:r>
          </w:p>
        </w:tc>
        <w:tc>
          <w:tcPr>
            <w:tcW w:w="3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(2,646 )</w:t>
            </w:r>
          </w:p>
        </w:tc>
      </w:tr>
      <w:tr>
        <w:trPr>
          <w:trHeight w:val="20"/>
        </w:trPr>
        <w:tc>
          <w:tcPr>
            <w:tcW w:w="7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 from continuing operations</w:t>
            </w:r>
          </w:p>
        </w:tc>
        <w:tc>
          <w:tcPr>
            <w:tcW w:w="104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(1,879 )</w:t>
            </w:r>
          </w:p>
        </w:tc>
        <w:tc>
          <w:tcPr>
            <w:tcW w:w="3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(3,320 )</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discontinued operations:</w:t>
            </w:r>
          </w:p>
        </w:tc>
        <w:tc>
          <w:tcPr>
            <w:tcW w:w="10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1040" w:type="dxa"/>
            <w:vAlign w:val="bottom"/>
          </w:tcPr>
          <w:p>
            <w:pPr>
              <w:spacing w:after="0"/>
              <w:rPr>
                <w:sz w:val="15"/>
                <w:szCs w:val="15"/>
                <w:color w:val="auto"/>
              </w:rPr>
            </w:pPr>
          </w:p>
        </w:tc>
        <w:tc>
          <w:tcPr>
            <w:tcW w:w="8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(748 )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used in financing activities</w:t>
            </w:r>
          </w:p>
        </w:tc>
        <w:tc>
          <w:tcPr>
            <w:tcW w:w="1040" w:type="dxa"/>
            <w:vAlign w:val="bottom"/>
          </w:tcPr>
          <w:p>
            <w:pPr>
              <w:spacing w:after="0"/>
              <w:rPr>
                <w:sz w:val="15"/>
                <w:szCs w:val="15"/>
                <w:color w:val="auto"/>
              </w:rPr>
            </w:pPr>
          </w:p>
        </w:tc>
        <w:tc>
          <w:tcPr>
            <w:tcW w:w="8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discontinued operations</w:t>
            </w:r>
          </w:p>
        </w:tc>
        <w:tc>
          <w:tcPr>
            <w:tcW w:w="10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4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(16 )</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in cash, cash equivalents and restricted cash</w:t>
            </w:r>
          </w:p>
        </w:tc>
        <w:tc>
          <w:tcPr>
            <w:tcW w:w="10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24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19,807</w:t>
            </w: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146,268</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435,870</w:t>
            </w:r>
          </w:p>
        </w:tc>
        <w:tc>
          <w:tcPr>
            <w:tcW w:w="6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040" w:type="dxa"/>
            <w:vAlign w:val="bottom"/>
            <w:tcBorders>
              <w:bottom w:val="single" w:sz="8" w:color="auto"/>
            </w:tcBorders>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153,184</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455,677</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40" w:type="dxa"/>
            <w:vAlign w:val="bottom"/>
          </w:tcPr>
          <w:p>
            <w:pPr>
              <w:jc w:val="right"/>
              <w:ind w:right="8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153,184</w:t>
            </w:r>
          </w:p>
        </w:tc>
        <w:tc>
          <w:tcPr>
            <w:tcW w:w="240" w:type="dxa"/>
            <w:vAlign w:val="bottom"/>
          </w:tcPr>
          <w:p>
            <w:pPr>
              <w:spacing w:after="0"/>
              <w:rPr>
                <w:sz w:val="13"/>
                <w:szCs w:val="13"/>
                <w:color w:val="auto"/>
              </w:rPr>
            </w:pPr>
          </w:p>
        </w:tc>
        <w:tc>
          <w:tcPr>
            <w:tcW w:w="380" w:type="dxa"/>
            <w:vAlign w:val="bottom"/>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455,677</w:t>
            </w:r>
          </w:p>
        </w:tc>
        <w:tc>
          <w:tcPr>
            <w:tcW w:w="60" w:type="dxa"/>
            <w:vAlign w:val="bottom"/>
          </w:tcPr>
          <w:p>
            <w:pPr>
              <w:spacing w:after="0"/>
              <w:rPr>
                <w:sz w:val="13"/>
                <w:szCs w:val="13"/>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current restricted cash</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non-current restricted cash</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040" w:type="dxa"/>
            <w:vAlign w:val="bottom"/>
            <w:tcBorders>
              <w:top w:val="single" w:sz="8" w:color="auto"/>
              <w:bottom w:val="single" w:sz="8" w:color="auto"/>
            </w:tcBorders>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152,829</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455,152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paid for interest</w:t>
            </w:r>
          </w:p>
        </w:tc>
        <w:tc>
          <w:tcPr>
            <w:tcW w:w="1040" w:type="dxa"/>
            <w:vAlign w:val="bottom"/>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8,577</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paid for taxes</w:t>
            </w:r>
          </w:p>
        </w:tc>
        <w:tc>
          <w:tcPr>
            <w:tcW w:w="1040" w:type="dxa"/>
            <w:vAlign w:val="bottom"/>
          </w:tcPr>
          <w:p>
            <w:pPr>
              <w:spacing w:after="0"/>
              <w:rPr>
                <w:sz w:val="15"/>
                <w:szCs w:val="15"/>
                <w:color w:val="auto"/>
              </w:rPr>
            </w:pPr>
          </w:p>
        </w:tc>
        <w:tc>
          <w:tcPr>
            <w:tcW w:w="8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8"/>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 in current liabilities</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7,993</w:t>
            </w:r>
          </w:p>
        </w:tc>
        <w:tc>
          <w:tcPr>
            <w:tcW w:w="24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-3376295</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-3376295</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-2926080</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-2926080</wp:posOffset>
            </wp:positionV>
            <wp:extent cx="6858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-2227580</wp:posOffset>
            </wp:positionV>
            <wp:extent cx="43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-2227580</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-1070610</wp:posOffset>
            </wp:positionV>
            <wp:extent cx="43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-1053465</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-1070610</wp:posOffset>
            </wp:positionV>
            <wp:extent cx="431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-1053465</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-590550</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-573405</wp:posOffset>
            </wp:positionV>
            <wp:extent cx="431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-590550</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-573405</wp:posOffset>
            </wp:positionV>
            <wp:extent cx="431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58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10"/>
          </w:tcPr>
          <w:p>
            <w:pPr>
              <w:ind w:left="58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March 31, 2022</w:t>
            </w: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120" w:type="dxa"/>
            <w:vAlign w:val="bottom"/>
          </w:tcPr>
          <w:p>
            <w:pPr>
              <w:spacing w:after="0"/>
              <w:rPr>
                <w:sz w:val="14"/>
                <w:szCs w:val="14"/>
                <w:color w:val="auto"/>
              </w:rPr>
            </w:pPr>
          </w:p>
        </w:tc>
        <w:tc>
          <w:tcPr>
            <w:tcW w:w="1800" w:type="dxa"/>
            <w:vAlign w:val="bottom"/>
            <w:gridSpan w:val="3"/>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vMerge w:val="restart"/>
          </w:tcPr>
          <w:p>
            <w:pPr>
              <w:jc w:val="right"/>
              <w:ind w:right="63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5"/>
                <w:szCs w:val="15"/>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6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90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3"/>
                <w:szCs w:val="13"/>
                <w:color w:val="auto"/>
              </w:rPr>
            </w:pPr>
          </w:p>
        </w:tc>
        <w:tc>
          <w:tcPr>
            <w:tcW w:w="94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80" w:type="dxa"/>
            <w:vAlign w:val="bottom"/>
          </w:tcPr>
          <w:p>
            <w:pPr>
              <w:spacing w:after="0"/>
              <w:rPr>
                <w:sz w:val="13"/>
                <w:szCs w:val="13"/>
                <w:color w:val="auto"/>
              </w:rPr>
            </w:pPr>
          </w:p>
        </w:tc>
        <w:tc>
          <w:tcPr>
            <w:tcW w:w="940" w:type="dxa"/>
            <w:vAlign w:val="bottom"/>
            <w:gridSpan w:val="2"/>
          </w:tcPr>
          <w:p>
            <w:pPr>
              <w:jc w:val="center"/>
              <w:ind w:right="157"/>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360"/>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110,791,954</w:t>
            </w:r>
          </w:p>
        </w:tc>
        <w:tc>
          <w:tcPr>
            <w:tcW w:w="160" w:type="dxa"/>
            <w:vAlign w:val="bottom"/>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1,258,477</w:t>
            </w:r>
          </w:p>
        </w:tc>
        <w:tc>
          <w:tcPr>
            <w:tcW w:w="16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1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(1,451,628</w:t>
            </w:r>
          </w:p>
        </w:tc>
        <w:tc>
          <w:tcPr>
            <w:tcW w:w="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6,615,449</w:t>
            </w:r>
          </w:p>
        </w:tc>
        <w:tc>
          <w:tcPr>
            <w:tcW w:w="1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(128,803</w:t>
            </w:r>
          </w:p>
        </w:tc>
        <w:tc>
          <w:tcPr>
            <w:tcW w:w="1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(320,154</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4,007</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4,007</w:t>
            </w: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Issuance of common stock upon exercise of stock</w:t>
            </w: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423,583</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12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 and restricted stock awards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555,234</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1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1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Tax withholding related to vesting of restricted stock</w:t>
            </w: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(4,516 )</w:t>
            </w:r>
          </w:p>
        </w:tc>
        <w:tc>
          <w:tcPr>
            <w:tcW w:w="6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(4,516 )</w:t>
            </w:r>
          </w:p>
        </w:tc>
        <w:tc>
          <w:tcPr>
            <w:tcW w:w="0" w:type="dxa"/>
            <w:vAlign w:val="bottom"/>
          </w:tcPr>
          <w:p>
            <w:pPr>
              <w:spacing w:after="0"/>
              <w:rPr>
                <w:sz w:val="1"/>
                <w:szCs w:val="1"/>
                <w:color w:val="auto"/>
              </w:rPr>
            </w:pPr>
          </w:p>
        </w:tc>
      </w:tr>
      <w:tr>
        <w:trPr>
          <w:trHeight w:val="116"/>
        </w:trPr>
        <w:tc>
          <w:tcPr>
            <w:tcW w:w="312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13,446</w:t>
            </w: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FF0FC"/>
          </w:tcPr>
          <w:p>
            <w:pPr>
              <w:spacing w:after="0"/>
              <w:rPr>
                <w:sz w:val="10"/>
                <w:szCs w:val="10"/>
                <w:color w:val="auto"/>
              </w:rPr>
            </w:pPr>
          </w:p>
        </w:tc>
        <w:tc>
          <w:tcPr>
            <w:tcW w:w="160" w:type="dxa"/>
            <w:vAlign w:val="bottom"/>
            <w:vMerge w:val="restart"/>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6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gridSpan w:val="2"/>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111,784,217</w:t>
            </w:r>
          </w:p>
        </w:tc>
        <w:tc>
          <w:tcPr>
            <w:tcW w:w="160" w:type="dxa"/>
            <w:vAlign w:val="bottom"/>
          </w:tcPr>
          <w:p>
            <w:pPr>
              <w:spacing w:after="0"/>
              <w:rPr>
                <w:sz w:val="14"/>
                <w:szCs w:val="14"/>
                <w:color w:val="auto"/>
              </w:rPr>
            </w:pPr>
          </w:p>
        </w:tc>
        <w:tc>
          <w:tcPr>
            <w:tcW w:w="740" w:type="dxa"/>
            <w:vAlign w:val="bottom"/>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1,259,223</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17,961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(1,429,432 )</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6,615,449</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(128,803 )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(281,040 )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0"/>
          </w:tcPr>
          <w:p>
            <w:pPr>
              <w:ind w:left="58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March 31, 2021</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120" w:type="dxa"/>
            <w:vAlign w:val="bottom"/>
          </w:tcPr>
          <w:p>
            <w:pPr>
              <w:spacing w:after="0"/>
              <w:rPr>
                <w:sz w:val="14"/>
                <w:szCs w:val="14"/>
                <w:color w:val="auto"/>
              </w:rPr>
            </w:pPr>
          </w:p>
        </w:tc>
        <w:tc>
          <w:tcPr>
            <w:tcW w:w="1800" w:type="dxa"/>
            <w:vAlign w:val="bottom"/>
            <w:gridSpan w:val="3"/>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vMerge w:val="restart"/>
          </w:tcPr>
          <w:p>
            <w:pPr>
              <w:jc w:val="right"/>
              <w:ind w:right="63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5"/>
                <w:szCs w:val="15"/>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6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90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3"/>
                <w:szCs w:val="13"/>
                <w:color w:val="auto"/>
              </w:rPr>
            </w:pPr>
          </w:p>
        </w:tc>
        <w:tc>
          <w:tcPr>
            <w:tcW w:w="94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80" w:type="dxa"/>
            <w:vAlign w:val="bottom"/>
          </w:tcPr>
          <w:p>
            <w:pPr>
              <w:spacing w:after="0"/>
              <w:rPr>
                <w:sz w:val="13"/>
                <w:szCs w:val="13"/>
                <w:color w:val="auto"/>
              </w:rPr>
            </w:pPr>
          </w:p>
        </w:tc>
        <w:tc>
          <w:tcPr>
            <w:tcW w:w="940" w:type="dxa"/>
            <w:vAlign w:val="bottom"/>
            <w:gridSpan w:val="2"/>
          </w:tcPr>
          <w:p>
            <w:pPr>
              <w:jc w:val="center"/>
              <w:ind w:right="157"/>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360"/>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2021</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85,990,499</w:t>
            </w:r>
          </w:p>
        </w:tc>
        <w:tc>
          <w:tcPr>
            <w:tcW w:w="160" w:type="dxa"/>
            <w:vAlign w:val="bottom"/>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1,088,590</w:t>
            </w:r>
          </w:p>
        </w:tc>
        <w:tc>
          <w:tcPr>
            <w:tcW w:w="16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w:t>
            </w:r>
          </w:p>
        </w:tc>
        <w:tc>
          <w:tcPr>
            <w:tcW w:w="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(1,629,843</w:t>
            </w:r>
          </w:p>
        </w:tc>
        <w:tc>
          <w:tcPr>
            <w:tcW w:w="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5,077,400</w:t>
            </w:r>
          </w:p>
        </w:tc>
        <w:tc>
          <w:tcPr>
            <w:tcW w:w="1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(98,857</w:t>
            </w:r>
          </w:p>
        </w:tc>
        <w:tc>
          <w:tcPr>
            <w:tcW w:w="1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(641,114</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(7,685 )</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(7,685 )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12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177,646</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units and restricted stock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602,826</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312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(3,220 )</w:t>
            </w:r>
          </w:p>
        </w:tc>
        <w:tc>
          <w:tcPr>
            <w:tcW w:w="6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11,637</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Settlement of convertible notes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5,288,477</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33,857</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33,857</w:t>
            </w: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Impact of the adoption of AS 2020-06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(47,423 )</w:t>
            </w:r>
          </w:p>
        </w:tc>
        <w:tc>
          <w:tcPr>
            <w:tcW w:w="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(21,943 )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92,071,085</w:t>
            </w: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1,080,305</w:t>
            </w:r>
          </w:p>
        </w:tc>
        <w:tc>
          <w:tcPr>
            <w:tcW w:w="1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1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(1,612,048</w:t>
            </w:r>
          </w:p>
        </w:tc>
        <w:tc>
          <w:tcPr>
            <w:tcW w:w="1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5,077,400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(98,857</w:t>
            </w:r>
          </w:p>
        </w:tc>
        <w:tc>
          <w:tcPr>
            <w:tcW w:w="140" w:type="dxa"/>
            <w:vAlign w:val="bottom"/>
            <w:tcBorders>
              <w:bottom w:val="single" w:sz="8" w:color="CFF0FC"/>
            </w:tcBorders>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(631,503</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-2313940</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-2313940</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-2313940</wp:posOffset>
            </wp:positionV>
            <wp:extent cx="342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-2313940</wp:posOffset>
            </wp:positionV>
            <wp:extent cx="260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-2313940</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-2313940</wp:posOffset>
            </wp:positionV>
            <wp:extent cx="25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-2313940</wp:posOffset>
            </wp:positionV>
            <wp:extent cx="34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-2313940</wp:posOffset>
            </wp:positionV>
            <wp:extent cx="34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-24765</wp:posOffset>
            </wp:positionV>
            <wp:extent cx="342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342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342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34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342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254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25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342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the Notes to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1"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12"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Business - </w:t>
      </w:r>
      <w:r>
        <w:rPr>
          <w:rFonts w:ascii="Times New Roman" w:cs="Times New Roman" w:eastAsia="Times New Roman" w:hAnsi="Times New Roman"/>
          <w:sz w:val="18"/>
          <w:szCs w:val="18"/>
          <w:color w:val="auto"/>
        </w:rPr>
        <w:t>Gogo Inc. (“Gogo,” the “Company,” “we,” “us,” or “our”) is the world’s largest provider of broadband connectivity services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narrowband satellite-based voice and data services through our strategic alliances with satellite providers.</w:t>
      </w:r>
    </w:p>
    <w:p>
      <w:pPr>
        <w:spacing w:after="0" w:line="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December 1, 2020, we completed the previously announced sale of our commercial aviation (“CA”) business to a subsidiary of Intelsat Jackson Holdings S.A. (“Intelsat”) for a purchase price of $400.0 million in cash, subject to certain adjustments (the “Transaction”).</w:t>
      </w:r>
    </w:p>
    <w:p>
      <w:pPr>
        <w:spacing w:after="0" w:line="5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At the closing of the Transaction, the parties entered into certain ancillary agreements, including a transition services agreement, an intellectual property license agreement and commercial agreements. These agreements include an ATG network sharing agreement, pursuant to which we provide certain in-flight connectivity services on our current ATG network and, when available, our Gogo 5G network, subject to certain revenue sharing obligations. Under the ATG network sharing agreement, Intelsat will have exclusive access to the ATG network for commercial aviation in North America, subject to minimum revenue guarantees.</w:t>
      </w:r>
    </w:p>
    <w:p>
      <w:pPr>
        <w:spacing w:after="0" w:line="56" w:lineRule="exact"/>
        <w:rPr>
          <w:sz w:val="20"/>
          <w:szCs w:val="20"/>
          <w:color w:val="auto"/>
        </w:rPr>
      </w:pPr>
    </w:p>
    <w:p>
      <w:pPr>
        <w:ind w:right="200" w:firstLine="509"/>
        <w:spacing w:after="0" w:line="239" w:lineRule="auto"/>
        <w:rPr>
          <w:sz w:val="20"/>
          <w:szCs w:val="20"/>
          <w:color w:val="auto"/>
        </w:rPr>
      </w:pPr>
      <w:r>
        <w:rPr>
          <w:rFonts w:ascii="Times New Roman" w:cs="Times New Roman" w:eastAsia="Times New Roman" w:hAnsi="Times New Roman"/>
          <w:sz w:val="18"/>
          <w:szCs w:val="18"/>
          <w:color w:val="auto"/>
        </w:rPr>
        <w:t>As a result of the Transaction, the CA business is reported in discontinued operations and all periods presented in this Form 10-Q have been conformed to present the CA business as a discontinued operation. We report the financial results of discontinued operations separately from continuing operations to distinguish the financial impact of disposal transactions from ongoing operations. Discontinued operations reporting occurs only when the disposal of a component or a group of components (i) meets the held-for-sale classification criteria or is disposed of by sale or other than by sale, and (ii) represents a strategic shift that will have a major effect on our operations and financial results.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otherwise noted, discussion in these Notes to Unaudited Condensed Consolidated Financial Statements refers to our continuing operations.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“Discontinued Operations,” for further information.</w:t>
      </w:r>
    </w:p>
    <w:p>
      <w:pPr>
        <w:spacing w:after="0" w:line="20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and notes have been prepared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2021 as filed with the Securities and Exchange Commission (the “SEC”) on March 3, 2022 (the “2021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76"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The results of operations and cash flows for the three-month period ended March 31, 2022 are not necessarily indicative of the results that may be expected for the fiscal year ending December 31, 2022.</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one class of common stock outstanding as of March 31, 2022 and December 31, 2021.</w:t>
      </w:r>
    </w:p>
    <w:p>
      <w:pPr>
        <w:spacing w:after="0" w:line="22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9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As discussed in Note 1, “Basis of Presentation,” on December 1, 2020, we completed the sale of our CA business to Intelsat. As a result of the Transaction, the CA business is reported for all periods as discontinued operations.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the results of discontinued operations which are presented as Net loss from discontinued operations, net of tax in our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120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12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120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120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(1,801 )</w:t>
            </w:r>
          </w:p>
        </w:tc>
      </w:tr>
      <w:tr>
        <w:trPr>
          <w:trHeight w:val="210"/>
        </w:trPr>
        <w:tc>
          <w:tcPr>
            <w:tcW w:w="76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2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42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(1,801 )</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net of tax</w:t>
            </w:r>
          </w:p>
        </w:tc>
        <w:tc>
          <w:tcPr>
            <w:tcW w:w="120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(1,801 )</w:t>
            </w:r>
          </w:p>
        </w:tc>
      </w:tr>
      <w:tr>
        <w:trPr>
          <w:trHeight w:val="20"/>
        </w:trPr>
        <w:tc>
          <w:tcPr>
            <w:tcW w:w="76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-2553970</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-2553970</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-1019175</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-1019175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-590550</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-590550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43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In August 2020, the Compensation Committee of our Board of Directors (the “Compensation Committee”)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modifications to the vesting conditions and exercise periods of outstanding equity compensation awards held by certain of our then-current employees who became employees of Intelsat in the Transaction. Certain of these awards vested based on conditions that were not classified as a service, market or performance condition and as a result such awards were classified as a liability. As of December 31, 2021, there were no remaining liability-classified awards.</w:t>
      </w:r>
    </w:p>
    <w:p>
      <w:pPr>
        <w:spacing w:after="0" w:line="86"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by operating expense line contained within the results of discontinued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0" w:type="dxa"/>
            <w:vAlign w:val="bottom"/>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12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6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0" w:type="dxa"/>
            <w:vAlign w:val="bottom"/>
            <w:tcBorders>
              <w:bottom w:val="single" w:sz="8" w:color="auto"/>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“Stock-Based Compensation and 401(k) Plan,” for additional information on our stock-based compensation plans.</w:t>
      </w:r>
    </w:p>
    <w:p>
      <w:pPr>
        <w:spacing w:after="0" w:line="100"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Other Costs Classified to Discontinued Operations </w:t>
      </w:r>
      <w:r>
        <w:rPr>
          <w:rFonts w:ascii="Times New Roman" w:cs="Times New Roman" w:eastAsia="Times New Roman" w:hAnsi="Times New Roman"/>
          <w:sz w:val="18"/>
          <w:szCs w:val="18"/>
          <w:color w:val="auto"/>
        </w:rPr>
        <w:t>– During the three-month period ended March 31, 2021, we incurred $0.7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costs (exclusive of the stock-based compensation expense noted above) primarily due to employer-paid taxes arising from the exercise of stock options by former employees then employed by Intelsat.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18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Unaudited Condensed Consolidated Financial Statements.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117"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Assistance </w:t>
      </w:r>
      <w:r>
        <w:rPr>
          <w:rFonts w:ascii="Times New Roman" w:cs="Times New Roman" w:eastAsia="Times New Roman" w:hAnsi="Times New Roman"/>
          <w:sz w:val="18"/>
          <w:szCs w:val="18"/>
          <w:color w:val="auto"/>
        </w:rPr>
        <w:t>to increase the transparency of transactions with a government accounted for by applying a grant or contribution accounting model by analogy.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2021-10 requires an entity to disclose information about the nature of the transactions, including the significant terms and conditions, accounting policy used to account for the transactions, and the effect of the transactions on the financial statements. This guidance is effective beginning on January 1, 2022. Adoption of this standard did not have a material impact on our Unaudited Condensed Consolidated Financial Statements.</w:t>
      </w:r>
    </w:p>
    <w:p>
      <w:pPr>
        <w:spacing w:after="0" w:line="148" w:lineRule="exact"/>
        <w:rPr>
          <w:sz w:val="20"/>
          <w:szCs w:val="20"/>
          <w:color w:val="auto"/>
        </w:rPr>
      </w:pPr>
    </w:p>
    <w:p>
      <w:pPr>
        <w:ind w:right="8400" w:firstLine="8"/>
        <w:spacing w:after="0" w:line="383" w:lineRule="auto"/>
        <w:tabs>
          <w:tab w:leader="none" w:pos="509"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 Remaining performance obligations</w:t>
      </w:r>
    </w:p>
    <w:p>
      <w:pPr>
        <w:spacing w:after="0" w:line="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As of March 31, 2022, the aggregate amount of the transaction price in our contracts allocated to the remaining unsatisfied performance obligations was approximately $93 million. The remaining unsatisfied performance obligations primarily represent connectivity and entertainment service revenues which are recognized as services are provided, which is expected to occur through the remaining term of the contract. We have excluded from this amount consideration from contracts that have an original duration of one year or less.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our revenue disaggregated by category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Connectivity</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69,495</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58,403</w:t>
            </w:r>
          </w:p>
        </w:tc>
        <w:tc>
          <w:tcPr>
            <w:tcW w:w="6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Entertainment and other</w:t>
            </w: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59,355</w:t>
            </w:r>
          </w:p>
        </w:tc>
        <w:tc>
          <w:tcPr>
            <w:tcW w:w="6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Equipment revenue</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ATG</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17,948</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6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Satellite</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6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Pr>
          <w:p>
            <w:pPr>
              <w:spacing w:after="0"/>
              <w:rPr>
                <w:sz w:val="18"/>
                <w:szCs w:val="18"/>
                <w:color w:val="auto"/>
              </w:rPr>
            </w:pPr>
          </w:p>
        </w:tc>
      </w:tr>
      <w:tr>
        <w:trPr>
          <w:trHeight w:val="250"/>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96"/>
        </w:trPr>
        <w:tc>
          <w:tcPr>
            <w:tcW w:w="6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Customer type</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owner/operator/service provider</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59,355</w:t>
            </w:r>
          </w:p>
        </w:tc>
        <w:tc>
          <w:tcPr>
            <w:tcW w:w="6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OEM and aftermarket dealer</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60" w:type="dxa"/>
            <w:vAlign w:val="bottom"/>
          </w:tcPr>
          <w:p>
            <w:pPr>
              <w:spacing w:after="0"/>
              <w:rPr>
                <w:sz w:val="18"/>
                <w:szCs w:val="18"/>
                <w:color w:val="auto"/>
              </w:rPr>
            </w:pPr>
          </w:p>
        </w:tc>
      </w:tr>
      <w:tr>
        <w:trPr>
          <w:trHeight w:val="250"/>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92,750</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-1473835</wp:posOffset>
            </wp:positionV>
            <wp:extent cx="425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-1473835</wp:posOffset>
            </wp:positionV>
            <wp:extent cx="342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-607695</wp:posOffset>
            </wp:positionV>
            <wp:extent cx="425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-591185</wp:posOffset>
            </wp:positionV>
            <wp:extent cx="425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-607695</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-591185</wp:posOffset>
            </wp:positionV>
            <wp:extent cx="342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425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425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Our current and non-current deferred revenue balances totaled $1.6 million and $1.8 million as of March 31, 2022 and December 31, 2021, respectively. Deferred revenue includes, among other things, fees paid for equipment and subscription connectivity products.</w:t>
      </w:r>
    </w:p>
    <w:p>
      <w:pPr>
        <w:spacing w:after="0" w:line="68"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Our current and non-current contract asset balances totaled $20.1 million and $17.8 million as of March 31, 2022 and December 31, 2021, respectively. Contract assets represent the aggregate amount of revenue recognized in excess of billings primarily for certain sales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No customer accounted for more than 10% of revenue during the three-month periods ended March 31, 2022 and 2021 and no customer accounted for more than 10% of accounts receivable as of March 31, 2022 or December 31, 2021.</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(loss) per share have been calculated using the weighted average number of common shares outstanding for the period.</w:t>
      </w:r>
    </w:p>
    <w:p>
      <w:pPr>
        <w:spacing w:after="0" w:line="117"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The shares of common stock effectively repurchased in connection with the Forward Transactions (as defined and described in Note 9, “Long-Term Debt and Other Liabilities”) are considered participating securities requiring the two-class method to calculate basic and diluted earnings per share. Net earnings will be allocated between common shares and participating securities on a one-to-one basis. In periods of a net loss, the shares associated with the Forward Transactions will not receive an allocation of losses, as the counterparties to the Forward Transactions are not required to fund losses. The calculation of weighted average shares outstanding as of March 31, 2022 and 2021 excludes approximately 0.6 million and 2.1 million shares, respectively, associated with the Forward Transactions.</w:t>
      </w:r>
    </w:p>
    <w:p>
      <w:pPr>
        <w:spacing w:after="0" w:line="7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diluted earnings (loss) per share calculations exclude the effect of stock options, deferred stock units, restricted stock units and convertible notes when the computation is anti-dilutive. For the three-month period ended March 31, 2022, the weighted average number of shares excluded from the computation was 0.2 million shares. As a result of the net loss for the three-month period ended March 31, 2021, all of the outstanding shares of common stock underlying stock options, deferred stock units, restricted stock units and convertible notes were excluded from the computation of diluted shares outstanding because they were anti-dilutive.</w:t>
      </w:r>
    </w:p>
    <w:p>
      <w:pPr>
        <w:spacing w:after="0" w:line="69"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 for the three-month periods ended March 31, 2022 and 2021; however, for the reasons described above, the shares of common stock associated with the Forward Transactions are excluded from the computation of</w:t>
      </w:r>
    </w:p>
    <w:p>
      <w:pPr>
        <w:spacing w:after="0"/>
        <w:rPr>
          <w:sz w:val="20"/>
          <w:szCs w:val="20"/>
          <w:color w:val="auto"/>
        </w:rPr>
      </w:pPr>
      <w:r>
        <w:rPr>
          <w:rFonts w:ascii="Times New Roman" w:cs="Times New Roman" w:eastAsia="Times New Roman" w:hAnsi="Times New Roman"/>
          <w:sz w:val="18"/>
          <w:szCs w:val="18"/>
          <w:color w:val="auto"/>
        </w:rPr>
        <w:t>basic earnings per share (</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253"/>
              <w:spacing w:after="0" w:line="126" w:lineRule="exact"/>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0"/>
                <w:szCs w:val="10"/>
                <w:color w:val="auto"/>
              </w:rPr>
            </w:pPr>
          </w:p>
        </w:tc>
        <w:tc>
          <w:tcPr>
            <w:tcW w:w="1020" w:type="dxa"/>
            <w:vAlign w:val="bottom"/>
          </w:tcPr>
          <w:p>
            <w:pPr>
              <w:jc w:val="right"/>
              <w:ind w:right="273"/>
              <w:spacing w:after="0" w:line="12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73"/>
              <w:spacing w:after="0" w:line="126"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413"/>
              <w:spacing w:after="0" w:line="126"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0" w:type="dxa"/>
            <w:vAlign w:val="bottom"/>
          </w:tcPr>
          <w:p>
            <w:pPr>
              <w:jc w:val="right"/>
              <w:ind w:right="253"/>
              <w:spacing w:after="0" w:line="12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73"/>
              <w:spacing w:after="0" w:line="126"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from continuing operations</w:t>
            </w:r>
          </w:p>
        </w:tc>
        <w:tc>
          <w:tcPr>
            <w:tcW w:w="100" w:type="dxa"/>
            <w:vAlign w:val="bottom"/>
          </w:tcPr>
          <w:p>
            <w:pPr>
              <w:spacing w:after="0"/>
              <w:rPr>
                <w:sz w:val="15"/>
                <w:szCs w:val="15"/>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180" w:type="dxa"/>
            <w:vAlign w:val="bottom"/>
          </w:tcPr>
          <w:p>
            <w:pPr>
              <w:spacing w:after="0"/>
              <w:rPr>
                <w:sz w:val="15"/>
                <w:szCs w:val="15"/>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69"/>
        </w:trPr>
        <w:tc>
          <w:tcPr>
            <w:tcW w:w="4280" w:type="dxa"/>
            <w:vAlign w:val="bottom"/>
            <w:vMerge w:val="continue"/>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22,196</w:t>
            </w:r>
          </w:p>
        </w:tc>
        <w:tc>
          <w:tcPr>
            <w:tcW w:w="1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(5,884</w:t>
            </w:r>
          </w:p>
        </w:tc>
        <w:tc>
          <w:tcPr>
            <w:tcW w:w="1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28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Less: participation rights on Forward Transactions allocated to continuing</w:t>
            </w:r>
          </w:p>
        </w:tc>
        <w:tc>
          <w:tcPr>
            <w:tcW w:w="100" w:type="dxa"/>
            <w:vAlign w:val="bottom"/>
            <w:shd w:val="clear" w:color="auto" w:fill="CCECFF"/>
          </w:tcPr>
          <w:p>
            <w:pPr>
              <w:spacing w:after="0"/>
              <w:rPr>
                <w:sz w:val="11"/>
                <w:szCs w:val="11"/>
                <w:color w:val="auto"/>
              </w:rPr>
            </w:pPr>
          </w:p>
        </w:tc>
        <w:tc>
          <w:tcPr>
            <w:tcW w:w="9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60" w:type="dxa"/>
            <w:vAlign w:val="bottom"/>
            <w:gridSpan w:val="2"/>
            <w:vMerge w:val="restart"/>
            <w:shd w:val="clear" w:color="auto" w:fill="CCEC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100" w:type="dxa"/>
            <w:vAlign w:val="bottom"/>
            <w:shd w:val="clear" w:color="auto" w:fill="CCECFF"/>
          </w:tcPr>
          <w:p>
            <w:pPr>
              <w:spacing w:after="0"/>
              <w:rPr>
                <w:sz w:val="14"/>
                <w:szCs w:val="14"/>
                <w:color w:val="auto"/>
              </w:rPr>
            </w:pPr>
          </w:p>
        </w:tc>
        <w:tc>
          <w:tcPr>
            <w:tcW w:w="920" w:type="dxa"/>
            <w:vAlign w:val="bottom"/>
            <w:vMerge w:val="continue"/>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60" w:type="dxa"/>
            <w:vAlign w:val="bottom"/>
            <w:gridSpan w:val="2"/>
            <w:vMerge w:val="continue"/>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tcBorders>
              <w:top w:val="single" w:sz="8" w:color="CCEC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02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8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00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6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(loss) per share from continuing operations</w:t>
            </w:r>
          </w:p>
        </w:tc>
        <w:tc>
          <w:tcPr>
            <w:tcW w:w="10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Undistributed income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111,414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(5,884 )</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(0.07 )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 from continuing operations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5,550</w:t>
            </w: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 Convertible Notes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17,131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88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(loss) per share from continuing operations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28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Undistributed income (loss) from continuing operations and assumed</w:t>
            </w: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23,902</w:t>
            </w:r>
          </w:p>
        </w:tc>
        <w:tc>
          <w:tcPr>
            <w:tcW w:w="12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134,095</w:t>
            </w:r>
          </w:p>
        </w:tc>
        <w:tc>
          <w:tcPr>
            <w:tcW w:w="3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2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vMerge w:val="restart"/>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(5,884 )</w:t>
            </w:r>
          </w:p>
        </w:tc>
        <w:tc>
          <w:tcPr>
            <w:tcW w:w="10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84,649</w:t>
            </w:r>
          </w:p>
        </w:tc>
        <w:tc>
          <w:tcPr>
            <w:tcW w:w="2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(0.07 )</w:t>
            </w:r>
          </w:p>
        </w:tc>
        <w:tc>
          <w:tcPr>
            <w:tcW w:w="0" w:type="dxa"/>
            <w:vAlign w:val="bottom"/>
          </w:tcPr>
          <w:p>
            <w:pPr>
              <w:spacing w:after="0"/>
              <w:rPr>
                <w:sz w:val="1"/>
                <w:szCs w:val="1"/>
                <w:color w:val="auto"/>
              </w:rPr>
            </w:pPr>
          </w:p>
        </w:tc>
      </w:tr>
      <w:tr>
        <w:trPr>
          <w:trHeight w:val="174"/>
        </w:trPr>
        <w:tc>
          <w:tcPr>
            <w:tcW w:w="4280" w:type="dxa"/>
            <w:vAlign w:val="bottom"/>
            <w:shd w:val="clear" w:color="auto" w:fill="CCECFF"/>
          </w:tcPr>
          <w:p>
            <w:pPr>
              <w:ind w:left="20"/>
              <w:spacing w:after="0" w:line="114" w:lineRule="exact"/>
              <w:rPr>
                <w:sz w:val="20"/>
                <w:szCs w:val="20"/>
                <w:color w:val="auto"/>
              </w:rPr>
            </w:pPr>
            <w:r>
              <w:rPr>
                <w:rFonts w:ascii="Times New Roman" w:cs="Times New Roman" w:eastAsia="Times New Roman" w:hAnsi="Times New Roman"/>
                <w:sz w:val="13"/>
                <w:szCs w:val="13"/>
                <w:color w:val="auto"/>
              </w:rPr>
              <w:t>conversions</w:t>
            </w:r>
          </w:p>
        </w:tc>
        <w:tc>
          <w:tcPr>
            <w:tcW w:w="100" w:type="dxa"/>
            <w:vAlign w:val="bottom"/>
            <w:vMerge w:val="continue"/>
            <w:shd w:val="clear" w:color="auto" w:fill="CCECFF"/>
          </w:tcPr>
          <w:p>
            <w:pPr>
              <w:spacing w:after="0"/>
              <w:rPr>
                <w:sz w:val="15"/>
                <w:szCs w:val="15"/>
                <w:color w:val="auto"/>
              </w:rPr>
            </w:pPr>
          </w:p>
        </w:tc>
        <w:tc>
          <w:tcPr>
            <w:tcW w:w="920" w:type="dxa"/>
            <w:vAlign w:val="bottom"/>
            <w:vMerge w:val="continue"/>
            <w:shd w:val="clear" w:color="auto" w:fill="CCECFF"/>
          </w:tcPr>
          <w:p>
            <w:pPr>
              <w:spacing w:after="0"/>
              <w:rPr>
                <w:sz w:val="15"/>
                <w:szCs w:val="15"/>
                <w:color w:val="auto"/>
              </w:rPr>
            </w:pPr>
          </w:p>
        </w:tc>
        <w:tc>
          <w:tcPr>
            <w:tcW w:w="1200" w:type="dxa"/>
            <w:vAlign w:val="bottom"/>
            <w:gridSpan w:val="2"/>
            <w:vMerge w:val="continue"/>
            <w:shd w:val="clear" w:color="auto" w:fill="CCECFF"/>
          </w:tcPr>
          <w:p>
            <w:pPr>
              <w:spacing w:after="0"/>
              <w:rPr>
                <w:sz w:val="15"/>
                <w:szCs w:val="15"/>
                <w:color w:val="auto"/>
              </w:rPr>
            </w:pPr>
          </w:p>
        </w:tc>
        <w:tc>
          <w:tcPr>
            <w:tcW w:w="320" w:type="dxa"/>
            <w:vAlign w:val="bottom"/>
            <w:gridSpan w:val="2"/>
            <w:vMerge w:val="continue"/>
            <w:shd w:val="clear" w:color="auto" w:fill="CCECFF"/>
          </w:tcPr>
          <w:p>
            <w:pPr>
              <w:spacing w:after="0"/>
              <w:rPr>
                <w:sz w:val="15"/>
                <w:szCs w:val="15"/>
                <w:color w:val="auto"/>
              </w:rPr>
            </w:pPr>
          </w:p>
        </w:tc>
        <w:tc>
          <w:tcPr>
            <w:tcW w:w="880" w:type="dxa"/>
            <w:vAlign w:val="bottom"/>
            <w:vMerge w:val="continue"/>
            <w:shd w:val="clear" w:color="auto" w:fill="CCECFF"/>
          </w:tcPr>
          <w:p>
            <w:pPr>
              <w:spacing w:after="0"/>
              <w:rPr>
                <w:sz w:val="15"/>
                <w:szCs w:val="15"/>
                <w:color w:val="auto"/>
              </w:rPr>
            </w:pPr>
          </w:p>
        </w:tc>
        <w:tc>
          <w:tcPr>
            <w:tcW w:w="280" w:type="dxa"/>
            <w:vAlign w:val="bottom"/>
            <w:gridSpan w:val="2"/>
            <w:vMerge w:val="continue"/>
            <w:shd w:val="clear" w:color="auto" w:fill="CCECFF"/>
          </w:tcPr>
          <w:p>
            <w:pPr>
              <w:spacing w:after="0"/>
              <w:rPr>
                <w:sz w:val="15"/>
                <w:szCs w:val="15"/>
                <w:color w:val="auto"/>
              </w:rPr>
            </w:pPr>
          </w:p>
        </w:tc>
        <w:tc>
          <w:tcPr>
            <w:tcW w:w="1060" w:type="dxa"/>
            <w:vAlign w:val="bottom"/>
            <w:gridSpan w:val="2"/>
            <w:vMerge w:val="continue"/>
            <w:shd w:val="clear" w:color="auto" w:fill="CCECFF"/>
          </w:tcPr>
          <w:p>
            <w:pPr>
              <w:spacing w:after="0"/>
              <w:rPr>
                <w:sz w:val="15"/>
                <w:szCs w:val="15"/>
                <w:color w:val="auto"/>
              </w:rPr>
            </w:pPr>
          </w:p>
        </w:tc>
        <w:tc>
          <w:tcPr>
            <w:tcW w:w="1000" w:type="dxa"/>
            <w:vAlign w:val="bottom"/>
            <w:vMerge w:val="continue"/>
            <w:shd w:val="clear" w:color="auto" w:fill="CCECFF"/>
          </w:tcPr>
          <w:p>
            <w:pPr>
              <w:spacing w:after="0"/>
              <w:rPr>
                <w:sz w:val="15"/>
                <w:szCs w:val="15"/>
                <w:color w:val="auto"/>
              </w:rPr>
            </w:pPr>
          </w:p>
        </w:tc>
        <w:tc>
          <w:tcPr>
            <w:tcW w:w="280" w:type="dxa"/>
            <w:vAlign w:val="bottom"/>
            <w:gridSpan w:val="2"/>
            <w:vMerge w:val="continue"/>
            <w:shd w:val="clear" w:color="auto" w:fill="CCECFF"/>
          </w:tcPr>
          <w:p>
            <w:pPr>
              <w:spacing w:after="0"/>
              <w:rPr>
                <w:sz w:val="15"/>
                <w:szCs w:val="15"/>
                <w:color w:val="auto"/>
              </w:rPr>
            </w:pPr>
          </w:p>
        </w:tc>
        <w:tc>
          <w:tcPr>
            <w:tcW w:w="920" w:type="dxa"/>
            <w:vAlign w:val="bottom"/>
            <w:gridSpan w:val="2"/>
            <w:vMerge w:val="continue"/>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8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920" w:type="dxa"/>
            <w:vAlign w:val="bottom"/>
            <w:tcBorders>
              <w:top w:val="single" w:sz="8" w:color="CCECFF"/>
            </w:tcBorders>
          </w:tcPr>
          <w:p>
            <w:pPr>
              <w:spacing w:after="0"/>
              <w:rPr>
                <w:sz w:val="13"/>
                <w:szCs w:val="13"/>
                <w:color w:val="auto"/>
              </w:rPr>
            </w:pPr>
          </w:p>
        </w:tc>
        <w:tc>
          <w:tcPr>
            <w:tcW w:w="180" w:type="dxa"/>
            <w:vAlign w:val="bottom"/>
            <w:tcBorders>
              <w:top w:val="single" w:sz="8" w:color="CCECFF"/>
            </w:tcBorders>
          </w:tcPr>
          <w:p>
            <w:pPr>
              <w:spacing w:after="0"/>
              <w:rPr>
                <w:sz w:val="13"/>
                <w:szCs w:val="13"/>
                <w:color w:val="auto"/>
              </w:rPr>
            </w:pPr>
          </w:p>
        </w:tc>
        <w:tc>
          <w:tcPr>
            <w:tcW w:w="1020" w:type="dxa"/>
            <w:vAlign w:val="bottom"/>
            <w:tcBorders>
              <w:top w:val="single" w:sz="8" w:color="CCECFF"/>
            </w:tcBorders>
          </w:tcPr>
          <w:p>
            <w:pPr>
              <w:spacing w:after="0"/>
              <w:rPr>
                <w:sz w:val="13"/>
                <w:szCs w:val="13"/>
                <w:color w:val="auto"/>
              </w:rPr>
            </w:pPr>
          </w:p>
        </w:tc>
        <w:tc>
          <w:tcPr>
            <w:tcW w:w="18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 w:type="dxa"/>
            <w:vAlign w:val="bottom"/>
            <w:tcBorders>
              <w:top w:val="single" w:sz="8" w:color="CCECFF"/>
            </w:tcBorders>
            <w:gridSpan w:val="2"/>
          </w:tcPr>
          <w:p>
            <w:pPr>
              <w:spacing w:after="0"/>
              <w:rPr>
                <w:sz w:val="13"/>
                <w:szCs w:val="13"/>
                <w:color w:val="auto"/>
              </w:rPr>
            </w:pPr>
          </w:p>
        </w:tc>
        <w:tc>
          <w:tcPr>
            <w:tcW w:w="1060" w:type="dxa"/>
            <w:vAlign w:val="bottom"/>
            <w:tcBorders>
              <w:top w:val="single" w:sz="8" w:color="CCECFF"/>
            </w:tcBorders>
            <w:gridSpan w:val="2"/>
          </w:tcPr>
          <w:p>
            <w:pPr>
              <w:spacing w:after="0"/>
              <w:rPr>
                <w:sz w:val="13"/>
                <w:szCs w:val="13"/>
                <w:color w:val="auto"/>
              </w:rPr>
            </w:pPr>
          </w:p>
        </w:tc>
        <w:tc>
          <w:tcPr>
            <w:tcW w:w="1000" w:type="dxa"/>
            <w:vAlign w:val="bottom"/>
            <w:tcBorders>
              <w:top w:val="single" w:sz="8" w:color="CCECFF"/>
            </w:tcBorders>
          </w:tcPr>
          <w:p>
            <w:pPr>
              <w:spacing w:after="0"/>
              <w:rPr>
                <w:sz w:val="13"/>
                <w:szCs w:val="13"/>
                <w:color w:val="auto"/>
              </w:rPr>
            </w:pPr>
          </w:p>
        </w:tc>
        <w:tc>
          <w:tcPr>
            <w:tcW w:w="14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from discontinued operations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(1,801 )</w:t>
            </w:r>
          </w:p>
        </w:tc>
        <w:tc>
          <w:tcPr>
            <w:tcW w:w="10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2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Less: participation rights on Forward Transactions allocated to discontinued</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88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(loss) per share from discontinued operations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loss from discontinued operations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111,414</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(1,801 )</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84,649</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(0.02 )</w:t>
            </w:r>
          </w:p>
        </w:tc>
        <w:tc>
          <w:tcPr>
            <w:tcW w:w="0" w:type="dxa"/>
            <w:vAlign w:val="bottom"/>
          </w:tcPr>
          <w:p>
            <w:pPr>
              <w:spacing w:after="0"/>
              <w:rPr>
                <w:sz w:val="1"/>
                <w:szCs w:val="1"/>
                <w:color w:val="auto"/>
              </w:rPr>
            </w:pPr>
          </w:p>
        </w:tc>
      </w:tr>
      <w:tr>
        <w:trPr>
          <w:trHeight w:val="156"/>
        </w:trPr>
        <w:tc>
          <w:tcPr>
            <w:tcW w:w="428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920" w:type="dxa"/>
            <w:vAlign w:val="bottom"/>
            <w:tcBorders>
              <w:top w:val="single" w:sz="8" w:color="CCECFF"/>
            </w:tcBorders>
          </w:tcPr>
          <w:p>
            <w:pPr>
              <w:spacing w:after="0"/>
              <w:rPr>
                <w:sz w:val="13"/>
                <w:szCs w:val="13"/>
                <w:color w:val="auto"/>
              </w:rPr>
            </w:pPr>
          </w:p>
        </w:tc>
        <w:tc>
          <w:tcPr>
            <w:tcW w:w="180" w:type="dxa"/>
            <w:vAlign w:val="bottom"/>
            <w:tcBorders>
              <w:top w:val="single" w:sz="8" w:color="CCECFF"/>
            </w:tcBorders>
          </w:tcPr>
          <w:p>
            <w:pPr>
              <w:spacing w:after="0"/>
              <w:rPr>
                <w:sz w:val="13"/>
                <w:szCs w:val="13"/>
                <w:color w:val="auto"/>
              </w:rPr>
            </w:pPr>
          </w:p>
        </w:tc>
        <w:tc>
          <w:tcPr>
            <w:tcW w:w="1020" w:type="dxa"/>
            <w:vAlign w:val="bottom"/>
            <w:tcBorders>
              <w:top w:val="single" w:sz="8" w:color="CCECFF"/>
            </w:tcBorders>
          </w:tcPr>
          <w:p>
            <w:pPr>
              <w:spacing w:after="0"/>
              <w:rPr>
                <w:sz w:val="13"/>
                <w:szCs w:val="13"/>
                <w:color w:val="auto"/>
              </w:rPr>
            </w:pPr>
          </w:p>
        </w:tc>
        <w:tc>
          <w:tcPr>
            <w:tcW w:w="18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880" w:type="dxa"/>
            <w:vAlign w:val="bottom"/>
            <w:tcBorders>
              <w:top w:val="single" w:sz="8" w:color="CCECFF"/>
            </w:tcBorders>
          </w:tcPr>
          <w:p>
            <w:pPr>
              <w:spacing w:after="0"/>
              <w:rPr>
                <w:sz w:val="13"/>
                <w:szCs w:val="13"/>
                <w:color w:val="auto"/>
              </w:rPr>
            </w:pPr>
          </w:p>
        </w:tc>
        <w:tc>
          <w:tcPr>
            <w:tcW w:w="180" w:type="dxa"/>
            <w:vAlign w:val="bottom"/>
            <w:tcBorders>
              <w:top w:val="single" w:sz="8" w:color="CCECFF"/>
            </w:tcBorders>
          </w:tcPr>
          <w:p>
            <w:pPr>
              <w:spacing w:after="0"/>
              <w:rPr>
                <w:sz w:val="13"/>
                <w:szCs w:val="13"/>
                <w:color w:val="auto"/>
              </w:rPr>
            </w:pPr>
          </w:p>
        </w:tc>
        <w:tc>
          <w:tcPr>
            <w:tcW w:w="1000" w:type="dxa"/>
            <w:vAlign w:val="bottom"/>
            <w:tcBorders>
              <w:top w:val="single" w:sz="8" w:color="CCECFF"/>
            </w:tcBorders>
          </w:tcPr>
          <w:p>
            <w:pPr>
              <w:spacing w:after="0"/>
              <w:rPr>
                <w:sz w:val="13"/>
                <w:szCs w:val="13"/>
                <w:color w:val="auto"/>
              </w:rPr>
            </w:pPr>
          </w:p>
        </w:tc>
        <w:tc>
          <w:tcPr>
            <w:tcW w:w="14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 from discontinued operations</w:t>
            </w:r>
          </w:p>
        </w:tc>
        <w:tc>
          <w:tcPr>
            <w:tcW w:w="10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5,550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2022 Convertible Notes</w:t>
            </w:r>
          </w:p>
        </w:tc>
        <w:tc>
          <w:tcPr>
            <w:tcW w:w="10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17,131</w:t>
            </w: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tcBorders>
              <w:top w:val="single" w:sz="8" w:color="CCEC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80" w:type="dxa"/>
            <w:vAlign w:val="bottom"/>
            <w:tcBorders>
              <w:top w:val="single" w:sz="8" w:color="CCECFF"/>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C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140" w:type="dxa"/>
            <w:vAlign w:val="bottom"/>
            <w:tcBorders>
              <w:top w:val="single" w:sz="8" w:color="CCECFF"/>
            </w:tcBorders>
          </w:tcPr>
          <w:p>
            <w:pPr>
              <w:spacing w:after="0"/>
              <w:rPr>
                <w:sz w:val="14"/>
                <w:szCs w:val="14"/>
                <w:color w:val="auto"/>
              </w:rPr>
            </w:pPr>
          </w:p>
        </w:tc>
        <w:tc>
          <w:tcPr>
            <w:tcW w:w="860" w:type="dxa"/>
            <w:vAlign w:val="bottom"/>
            <w:tcBorders>
              <w:top w:val="single" w:sz="8" w:color="CCECFF"/>
            </w:tcBorders>
          </w:tcPr>
          <w:p>
            <w:pPr>
              <w:spacing w:after="0"/>
              <w:rPr>
                <w:sz w:val="14"/>
                <w:szCs w:val="14"/>
                <w:color w:val="auto"/>
              </w:rPr>
            </w:pPr>
          </w:p>
        </w:tc>
        <w:tc>
          <w:tcPr>
            <w:tcW w:w="6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(loss) per share from discontinued operations</w:t>
            </w:r>
          </w:p>
        </w:tc>
        <w:tc>
          <w:tcPr>
            <w:tcW w:w="10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Undistributed loss from discontinued operations and assumed conversions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134,095</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(1,801 )</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84,649</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(0.02 )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320" w:type="dxa"/>
            <w:vAlign w:val="bottom"/>
            <w:gridSpan w:val="2"/>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80" w:type="dxa"/>
            <w:vAlign w:val="bottom"/>
            <w:gridSpan w:val="2"/>
            <w:shd w:val="clear" w:color="auto" w:fill="CCECFF"/>
          </w:tcPr>
          <w:p>
            <w:pPr>
              <w:spacing w:after="0"/>
              <w:rPr>
                <w:sz w:val="13"/>
                <w:szCs w:val="13"/>
                <w:color w:val="auto"/>
              </w:rPr>
            </w:pPr>
          </w:p>
        </w:tc>
        <w:tc>
          <w:tcPr>
            <w:tcW w:w="920" w:type="dxa"/>
            <w:vAlign w:val="bottom"/>
            <w:gridSpan w:val="2"/>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 - basic</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(0.09 )</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 - diluted</w:t>
            </w:r>
          </w:p>
        </w:tc>
        <w:tc>
          <w:tcPr>
            <w:tcW w:w="100" w:type="dxa"/>
            <w:vAlign w:val="bottom"/>
            <w:tcBorders>
              <w:bottom w:val="single" w:sz="8" w:color="CCECFF"/>
            </w:tcBorders>
            <w:shd w:val="clear" w:color="auto" w:fill="CCECFF"/>
          </w:tcPr>
          <w:p>
            <w:pPr>
              <w:spacing w:after="0"/>
              <w:rPr>
                <w:sz w:val="17"/>
                <w:szCs w:val="17"/>
                <w:color w:val="auto"/>
              </w:rPr>
            </w:pPr>
          </w:p>
        </w:tc>
        <w:tc>
          <w:tcPr>
            <w:tcW w:w="92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CCECFF"/>
            </w:tcBorders>
            <w:shd w:val="clear" w:color="auto" w:fill="CCECFF"/>
          </w:tcPr>
          <w:p>
            <w:pPr>
              <w:spacing w:after="0"/>
              <w:rPr>
                <w:sz w:val="17"/>
                <w:szCs w:val="17"/>
                <w:color w:val="auto"/>
              </w:rPr>
            </w:pPr>
          </w:p>
        </w:tc>
        <w:tc>
          <w:tcPr>
            <w:tcW w:w="102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8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88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CCECFF"/>
            </w:tcBorders>
            <w:shd w:val="clear" w:color="auto" w:fill="CCECFF"/>
          </w:tcPr>
          <w:p>
            <w:pPr>
              <w:spacing w:after="0"/>
              <w:rPr>
                <w:sz w:val="17"/>
                <w:szCs w:val="17"/>
                <w:color w:val="auto"/>
              </w:rPr>
            </w:pPr>
          </w:p>
        </w:tc>
        <w:tc>
          <w:tcPr>
            <w:tcW w:w="100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-3222625</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-3222625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-2005330</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-1988185</wp:posOffset>
            </wp:positionV>
            <wp:extent cx="342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-2005330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-1988185</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-1224915</wp:posOffset>
            </wp:positionV>
            <wp:extent cx="34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-1207770</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-1224915</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-1207770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-753745</wp:posOffset>
            </wp:positionV>
            <wp:extent cx="342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-753745</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-753745</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-753745</wp:posOffset>
            </wp:positionV>
            <wp:extent cx="260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3429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2603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36"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08"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as of March 31,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r>
      <w:tr>
        <w:trPr>
          <w:trHeight w:val="187"/>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 component parts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6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60" w:type="dxa"/>
            <w:vAlign w:val="bottom"/>
          </w:tcPr>
          <w:p>
            <w:pPr>
              <w:spacing w:after="0"/>
              <w:rPr>
                <w:sz w:val="18"/>
                <w:szCs w:val="18"/>
                <w:color w:val="auto"/>
              </w:rPr>
            </w:pPr>
          </w:p>
        </w:tc>
      </w:tr>
      <w:tr>
        <w:trPr>
          <w:trHeight w:val="249"/>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36,467</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-25400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43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36"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Balance Sheet Accounts</w:t>
      </w:r>
    </w:p>
    <w:p>
      <w:pPr>
        <w:spacing w:after="0" w:line="10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as of March 31,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r>
      <w:tr>
        <w:trPr>
          <w:trHeight w:val="213"/>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60" w:type="dxa"/>
            <w:vAlign w:val="bottom"/>
            <w:shd w:val="clear" w:color="auto" w:fill="CFF0FC"/>
          </w:tcPr>
          <w:p>
            <w:pPr>
              <w:spacing w:after="0"/>
              <w:rPr>
                <w:sz w:val="18"/>
                <w:szCs w:val="18"/>
                <w:color w:val="auto"/>
              </w:rPr>
            </w:pPr>
          </w:p>
        </w:tc>
      </w:tr>
      <w:tr>
        <w:trPr>
          <w:trHeight w:val="162"/>
        </w:trPr>
        <w:tc>
          <w:tcPr>
            <w:tcW w:w="50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Prepaid inventories</w:t>
            </w:r>
          </w:p>
        </w:tc>
        <w:tc>
          <w:tcPr>
            <w:tcW w:w="2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2,549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2,525</w:t>
            </w:r>
          </w:p>
        </w:tc>
        <w:tc>
          <w:tcPr>
            <w:tcW w:w="60" w:type="dxa"/>
            <w:vAlign w:val="bottom"/>
          </w:tcPr>
          <w:p>
            <w:pPr>
              <w:spacing w:after="0"/>
              <w:rPr>
                <w:sz w:val="14"/>
                <w:szCs w:val="14"/>
                <w:color w:val="auto"/>
              </w:rPr>
            </w:pPr>
          </w:p>
        </w:tc>
      </w:tr>
      <w:tr>
        <w:trPr>
          <w:trHeight w:val="270"/>
        </w:trPr>
        <w:tc>
          <w:tcPr>
            <w:tcW w:w="50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Insurance receivable </w:t>
            </w:r>
            <w:r>
              <w:rPr>
                <w:rFonts w:ascii="Times New Roman" w:cs="Times New Roman" w:eastAsia="Times New Roman" w:hAnsi="Times New Roman"/>
                <w:sz w:val="24"/>
                <w:szCs w:val="24"/>
                <w:i w:val="1"/>
                <w:iCs w:val="1"/>
                <w:color w:val="auto"/>
                <w:vertAlign w:val="superscript"/>
              </w:rPr>
              <w:t>(1)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60" w:type="dxa"/>
            <w:vAlign w:val="bottom"/>
          </w:tcPr>
          <w:p>
            <w:pPr>
              <w:spacing w:after="0"/>
              <w:rPr>
                <w:sz w:val="23"/>
                <w:szCs w:val="23"/>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Tenant improvement allowance receivables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6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6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60" w:type="dxa"/>
            <w:vAlign w:val="bottom"/>
          </w:tcPr>
          <w:p>
            <w:pPr>
              <w:spacing w:after="0"/>
              <w:rPr>
                <w:sz w:val="18"/>
                <w:szCs w:val="18"/>
                <w:color w:val="auto"/>
              </w:rPr>
            </w:pPr>
          </w:p>
        </w:tc>
      </w:tr>
      <w:tr>
        <w:trPr>
          <w:trHeight w:val="250"/>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39,654</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32,295</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-719455</wp:posOffset>
            </wp:positionV>
            <wp:extent cx="498919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520" w:hanging="512"/>
        <w:spacing w:after="0"/>
        <w:tabs>
          <w:tab w:leader="none" w:pos="5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Note 13, “Commitments and Contingencies,” for additional information.</w:t>
      </w:r>
    </w:p>
    <w:p>
      <w:pPr>
        <w:spacing w:after="0" w:line="83" w:lineRule="exact"/>
        <w:rPr>
          <w:rFonts w:ascii="Times New Roman" w:cs="Times New Roman" w:eastAsia="Times New Roman" w:hAnsi="Times New Roman"/>
          <w:sz w:val="18"/>
          <w:szCs w:val="18"/>
          <w:i w:val="1"/>
          <w:iCs w:val="1"/>
          <w:color w:val="auto"/>
        </w:rPr>
      </w:pPr>
    </w:p>
    <w:p>
      <w:pPr>
        <w:ind w:left="5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Property and equipment as of March 31,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10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149,684</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168,905</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(107,208 )</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(105,233 )</w:t>
            </w:r>
          </w:p>
        </w:tc>
      </w:tr>
      <w:tr>
        <w:trPr>
          <w:trHeight w:val="210"/>
        </w:trPr>
        <w:tc>
          <w:tcPr>
            <w:tcW w:w="4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71,596</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63,672</w:t>
            </w:r>
          </w:p>
        </w:tc>
        <w:tc>
          <w:tcPr>
            <w:tcW w:w="100" w:type="dxa"/>
            <w:vAlign w:val="bottom"/>
            <w:tcBorders>
              <w:top w:val="single" w:sz="8" w:color="CFF0FC"/>
            </w:tcBorders>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-453390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as of March 31,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5"/>
                <w:szCs w:val="15"/>
                <w:color w:val="auto"/>
              </w:rPr>
            </w:pPr>
          </w:p>
        </w:tc>
      </w:tr>
      <w:tr>
        <w:trPr>
          <w:trHeight w:val="187"/>
        </w:trPr>
        <w:tc>
          <w:tcPr>
            <w:tcW w:w="17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6"/>
                <w:szCs w:val="16"/>
                <w:color w:val="auto"/>
              </w:rPr>
            </w:pPr>
          </w:p>
        </w:tc>
      </w:tr>
      <w:tr>
        <w:trPr>
          <w:trHeight w:val="210"/>
        </w:trPr>
        <w:tc>
          <w:tcPr>
            <w:tcW w:w="170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net of allowances of $515 and $455, respectively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deferred financing costs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44,561</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680" w:type="dxa"/>
            <w:vAlign w:val="bottom"/>
          </w:tcPr>
          <w:p>
            <w:pPr>
              <w:spacing w:after="0"/>
              <w:rPr>
                <w:sz w:val="21"/>
                <w:szCs w:val="21"/>
                <w:color w:val="auto"/>
              </w:rPr>
            </w:pPr>
          </w:p>
        </w:tc>
      </w:tr>
      <w:tr>
        <w:trPr>
          <w:trHeight w:val="615"/>
        </w:trPr>
        <w:tc>
          <w:tcPr>
            <w:tcW w:w="1700" w:type="dxa"/>
            <w:vAlign w:val="bottom"/>
          </w:tcPr>
          <w:p>
            <w:pPr>
              <w:spacing w:after="0"/>
              <w:rPr>
                <w:sz w:val="24"/>
                <w:szCs w:val="24"/>
                <w:color w:val="auto"/>
              </w:rPr>
            </w:pPr>
          </w:p>
        </w:tc>
        <w:tc>
          <w:tcPr>
            <w:tcW w:w="504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5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-504825</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-488315</wp:posOffset>
            </wp:positionV>
            <wp:extent cx="431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-504825</wp:posOffset>
            </wp:positionV>
            <wp:extent cx="34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-488315</wp:posOffset>
            </wp:positionV>
            <wp:extent cx="342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as of March 31,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r>
      <w:tr>
        <w:trPr>
          <w:trHeight w:val="187"/>
        </w:trPr>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6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6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Litigation settlement accrual </w:t>
            </w:r>
            <w:r>
              <w:rPr>
                <w:rFonts w:ascii="Times New Roman" w:cs="Times New Roman" w:eastAsia="Times New Roman" w:hAnsi="Times New Roman"/>
                <w:sz w:val="24"/>
                <w:szCs w:val="24"/>
                <w:i w:val="1"/>
                <w:iCs w:val="1"/>
                <w:color w:val="auto"/>
                <w:vertAlign w:val="superscript"/>
              </w:rPr>
              <w:t>(1)</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6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6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6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6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6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60" w:type="dxa"/>
            <w:vAlign w:val="bottom"/>
          </w:tcPr>
          <w:p>
            <w:pPr>
              <w:spacing w:after="0"/>
              <w:rPr>
                <w:sz w:val="18"/>
                <w:szCs w:val="18"/>
                <w:color w:val="auto"/>
              </w:rPr>
            </w:pPr>
          </w:p>
        </w:tc>
      </w:tr>
      <w:tr>
        <w:trPr>
          <w:trHeight w:val="249"/>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58,683</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59,868</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43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Note 13, “Commitments and Contingencies,” for additional information.</w:t>
      </w:r>
    </w:p>
    <w:p>
      <w:pPr>
        <w:spacing w:after="0" w:line="101" w:lineRule="exact"/>
        <w:rPr>
          <w:rFonts w:ascii="Times New Roman" w:cs="Times New Roman" w:eastAsia="Times New Roman" w:hAnsi="Times New Roman"/>
          <w:sz w:val="18"/>
          <w:szCs w:val="18"/>
          <w:i w:val="1"/>
          <w:iCs w:val="1"/>
          <w:color w:val="auto"/>
        </w:rPr>
      </w:pPr>
    </w:p>
    <w:p>
      <w:pPr>
        <w:ind w:left="5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non-current liabilities as of March 31,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r>
      <w:tr>
        <w:trPr>
          <w:trHeight w:val="187"/>
        </w:trPr>
        <w:tc>
          <w:tcPr>
            <w:tcW w:w="5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6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60" w:type="dxa"/>
            <w:vAlign w:val="bottom"/>
          </w:tcPr>
          <w:p>
            <w:pPr>
              <w:spacing w:after="0"/>
              <w:rPr>
                <w:sz w:val="18"/>
                <w:szCs w:val="18"/>
                <w:color w:val="auto"/>
              </w:rPr>
            </w:pPr>
          </w:p>
        </w:tc>
      </w:tr>
      <w:tr>
        <w:trPr>
          <w:trHeight w:val="250"/>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08"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2021 indicated no impairment. We also reevaluate the useful life of indefinite-lived intangible assets each reporting period to determine whether events and circumstances continue to support an indefinite useful life.</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both March 31, 2022 and December 31, 2021, our goodwill balance was $0.6 million.</w:t>
      </w:r>
    </w:p>
    <w:p>
      <w:pPr>
        <w:spacing w:after="0" w:line="115"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color w:val="auto"/>
        </w:rPr>
        <w:t>Our intangible assets, other than goodwill, as of March 31, 2022 and December 31, 2021 were as follows (</w:t>
      </w:r>
      <w:r>
        <w:rPr>
          <w:rFonts w:ascii="Times New Roman" w:cs="Times New Roman" w:eastAsia="Times New Roman" w:hAnsi="Times New Roman"/>
          <w:sz w:val="18"/>
          <w:szCs w:val="18"/>
          <w:i w:val="1"/>
          <w:iCs w:val="1"/>
          <w:color w:val="auto"/>
        </w:rPr>
        <w:t>in thousands, except for weighted average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remaining useful life</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80" w:type="dxa"/>
            <w:vAlign w:val="bottom"/>
            <w:tcBorders>
              <w:bottom w:val="single" w:sz="8" w:color="auto"/>
            </w:tcBorders>
            <w:gridSpan w:val="5"/>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bottom w:val="single" w:sz="8" w:color="auto"/>
            </w:tcBorders>
            <w:gridSpan w:val="5"/>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OEM and dealer relationships</w:t>
            </w: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FCC Licenses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20" w:type="dxa"/>
            <w:vAlign w:val="bottom"/>
          </w:tcPr>
          <w:p>
            <w:pPr>
              <w:spacing w:after="0"/>
              <w:rPr>
                <w:sz w:val="18"/>
                <w:szCs w:val="18"/>
                <w:color w:val="auto"/>
              </w:rPr>
            </w:pP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00" w:type="dxa"/>
            <w:vAlign w:val="bottom"/>
          </w:tcPr>
          <w:p>
            <w:pPr>
              <w:spacing w:after="0"/>
              <w:rPr>
                <w:sz w:val="18"/>
                <w:szCs w:val="18"/>
                <w:color w:val="auto"/>
              </w:rPr>
            </w:pPr>
          </w:p>
        </w:tc>
        <w:tc>
          <w:tcPr>
            <w:tcW w:w="13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9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$104,494</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$48,539</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$103,028</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$(54,094)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-590550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-590550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-590550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-590550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-590550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was $1.9 million for both three-month periods ended March 31, 2022 and 2021.</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the remainder of 2022, each of the next four years and thereafter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r>
      <w:tr>
        <w:trPr>
          <w:trHeight w:val="187"/>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60" w:type="dxa"/>
            <w:vAlign w:val="bottom"/>
          </w:tcPr>
          <w:p>
            <w:pPr>
              <w:spacing w:after="0"/>
              <w:rPr>
                <w:sz w:val="16"/>
                <w:szCs w:val="16"/>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(period from April 1 to December 31)</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6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6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6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6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60" w:type="dxa"/>
            <w:vAlign w:val="bottom"/>
            <w:shd w:val="clear" w:color="auto" w:fill="CFF0FC"/>
          </w:tcPr>
          <w:p>
            <w:pPr>
              <w:spacing w:after="0"/>
              <w:rPr>
                <w:sz w:val="18"/>
                <w:szCs w:val="18"/>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 estimated amount as a result of future investments and other factors.</w:t>
      </w:r>
    </w:p>
    <w:p>
      <w:pPr>
        <w:spacing w:after="0" w:line="23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and Other Liabilities</w:t>
      </w:r>
    </w:p>
    <w:p>
      <w:pPr>
        <w:spacing w:after="0" w:line="10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debt as of March 31, 2022 and December 31, 2021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716,359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718,057</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102,788</w:t>
            </w:r>
          </w:p>
        </w:tc>
        <w:tc>
          <w:tcPr>
            <w:tcW w:w="100" w:type="dxa"/>
            <w:vAlign w:val="bottom"/>
          </w:tcPr>
          <w:p>
            <w:pPr>
              <w:spacing w:after="0"/>
              <w:rPr>
                <w:sz w:val="18"/>
                <w:szCs w:val="18"/>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819,147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820,845</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(15,633 )</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(16,465 )</w:t>
            </w: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(109,897 )</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(109,620 )</w:t>
            </w:r>
          </w:p>
        </w:tc>
      </w:tr>
      <w:tr>
        <w:trPr>
          <w:trHeight w:val="209"/>
        </w:trPr>
        <w:tc>
          <w:tcPr>
            <w:tcW w:w="4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693,617</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694,760</w:t>
            </w:r>
          </w:p>
        </w:tc>
        <w:tc>
          <w:tcPr>
            <w:tcW w:w="100" w:type="dxa"/>
            <w:vAlign w:val="bottom"/>
            <w:tcBorders>
              <w:top w:val="single" w:sz="8" w:color="CFF0FC"/>
            </w:tcBorders>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0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On April 30, 2021, Gogo and Gogo Intermediate Holdings LLC (“GIH”) (a wholly owned subsidiary of Gogo) entered into a credit agreement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 0.5%, and (ii) a revolving credit facility (the “Revolving Facility” and together with the Term Loan Facility, the “Facilities”) of up to $100.0 million, which includes a letter of credit sub-facility. 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7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w:t>
      </w:r>
    </w:p>
    <w:p>
      <w:pPr>
        <w:spacing w:after="0" w:line="4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w:t>
      </w:r>
    </w:p>
    <w:p>
      <w:pPr>
        <w:spacing w:after="0" w:line="7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Term Loan Facility is subject to mandatory prepayments in an amount equal to:</w:t>
      </w:r>
    </w:p>
    <w:p>
      <w:pPr>
        <w:spacing w:after="0" w:line="104" w:lineRule="exact"/>
        <w:rPr>
          <w:sz w:val="20"/>
          <w:szCs w:val="20"/>
          <w:color w:val="auto"/>
        </w:rPr>
      </w:pPr>
    </w:p>
    <w:p>
      <w:pPr>
        <w:ind w:left="1020" w:right="3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00" w:lineRule="exact"/>
        <w:rPr>
          <w:sz w:val="20"/>
          <w:szCs w:val="20"/>
          <w:color w:val="auto"/>
        </w:rPr>
      </w:pPr>
    </w:p>
    <w:p>
      <w:pPr>
        <w:ind w:left="1020" w:right="2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(as defined in the 2021 Credit Agreement), subject to reduction to 25% and 0% if specified senior secured first lien net leverage ratio targets are met.</w:t>
      </w:r>
    </w:p>
    <w:p>
      <w:pPr>
        <w:spacing w:after="0" w:line="68"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Federal Communications Commission;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74"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1"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The proceeds of the Term Loan Facility were used, together with cash on hand, (i) to redeem in full and pay the outstanding principal amount of the 2024 Senior Secured Notes (as defined below) together with accrued and unpaid interest and redemption premiums and to pay fees associated with the termination of the ABL Credit Agreement (as defined below and, together with the redemption of the 2024 Senior Secured Notes, the “Refinancing”), and</w:t>
      </w:r>
    </w:p>
    <w:p>
      <w:pPr>
        <w:spacing w:after="0" w:line="2" w:lineRule="exact"/>
        <w:rPr>
          <w:sz w:val="20"/>
          <w:szCs w:val="20"/>
          <w:color w:val="auto"/>
        </w:rPr>
      </w:pPr>
    </w:p>
    <w:p>
      <w:pPr>
        <w:ind w:right="320" w:firstLine="8"/>
        <w:spacing w:after="0" w:line="258"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fees and expenses incurred in connection with the Refinancing and the Facilities. The Revolving Facility is available for working capital and general corporate purposes of GIH and its subsidiaries and was undrawn as of March 31, 2022 and December 31, 2021.</w:t>
      </w:r>
    </w:p>
    <w:p>
      <w:pPr>
        <w:spacing w:after="0" w:line="6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the outstanding principal amount of the Term Loan Facility was $719.6 million and $721.4 million, respectively, the unaccreted debt discount was $3.2 million and $3.3 million, respectively, and the net carrying amount was $716.4 million and $718.1 million, respectively.</w:t>
      </w:r>
    </w:p>
    <w:p>
      <w:pPr>
        <w:spacing w:after="0" w:line="61"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We paid approximately $19.7 million of loan origination and financing costs related to the Facilities which are being accounted for as deferred financing costs on our Unaudited Condensed Consolidated Balance Sheets and are amortized over the terms of the Facilities. Total amortization expense was $0.7 million for the three-month period ended March 31, 2022 and is included in interest expense in our Unaudited Condensed Consolidated Statements of Operations. As of March 31, 2022 and December 31, 2021, the balance of unamortized deferred financing costs related to the Facilities was $17.3 million and $17.9 million, respectively.</w:t>
      </w:r>
    </w:p>
    <w:p>
      <w:pPr>
        <w:spacing w:after="0" w:line="7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108"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converted into shares of our common stock. We pay interest on the 2022 Convertible Notes semi-annually in arrears on May 15 and November 15 of each year, beginning on May 15, 2019.</w:t>
      </w:r>
    </w:p>
    <w:p>
      <w:pPr>
        <w:spacing w:after="0" w:line="7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January 2021, $1.0 million aggregate principal amount of 2022 Convertible Notes was converted by holders and settled through the issuance of 166,666 shares of common stock.</w:t>
      </w:r>
    </w:p>
    <w:p>
      <w:pPr>
        <w:spacing w:after="0" w:line="4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March 17, 2021, Gogo entered into separate, privately negotiated exchange agreements (the “March 2021 Exchange Agreements”) with certain holders of the 2022 Convertible Notes. Pursuant to the March 2021 Exchange Agreements, such holders exchanged a total of $28,235,000 aggregate principal amount of 2022 Convertible Notes for 5,121,811 shares of our common stock 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March 24, 2021. The negotiated exchange rate under the March 2021 Exchange Agreements was 181.40 shares of common stock per $1,000 principal amount of the 2022 Convertible Notes, which resulted in a loss on settlement of $4.4 million, which is included in Loss on settlement of convertible notes in our Unaudited Condensed Consolidated Statements of Operations for the three-month period ended March 31, 2021.</w:t>
      </w:r>
    </w:p>
    <w:p>
      <w:pPr>
        <w:spacing w:after="0" w:line="6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On April 1, 2021, Gogo entered into a privately negotiated exchange agreement (the “GTCR Exchange Agreement”) with an affiliate of funds managed by GTCR LLC (“GTCR”). Pursuant to the GTCR Exchange Agreement, GTCR exchanged $105,726,000 aggregate principal amount of 2022 Convertible Notes for 19,064,529 shares of our common stock on April 9, 2021.</w:t>
      </w:r>
    </w:p>
    <w:p>
      <w:pPr>
        <w:spacing w:after="0" w:line="6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both March 31, 2022 and December 31, 2021, the outstanding principal amount of the 2022 Convertible Notes was $102.8 million and was classified as Current portion of long-term debt in the Unaudited Condensed Consolidated Balance Sheets.</w:t>
      </w:r>
    </w:p>
    <w:p>
      <w:pPr>
        <w:spacing w:after="0" w:line="54"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We incurred approximately $8.1 million of issuance costs related to the 2022 Convertible Notes that are being amortized over the term of the 2022 Convertible Notes using the effective interest method. Total amortization expense was $0.3 million and $0.6 million, respectively, for the three-month periods ended March 31, 2022 and 2021 and is included in Interest expense in the Unaudited Condensed Consolidated Statements of Operations. As of March 31, 2022 and December 31, 2021, the balance of unamortized deferred financing costs related to the 2022 Convertible Notes was $0.1 million and $0.4 million, respectively, and is included as a reduction to the carrying amount of the debt in our Unaudited Condensed Consolidated Balance Sheets. See Note 11, “Interest Costs,” for additional information.</w:t>
      </w:r>
    </w:p>
    <w:p>
      <w:pPr>
        <w:spacing w:after="0" w:line="58"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The 2022 Convertible Notes had an initial conversion rate of 166.6667 common shares per $1,000 principal amount of 2022 Convertible Notes, which is equivalent to an initial conversion price of approximately $6.00 per share of our common stock. In November 2021, we informed the trustee under the indenture governing the 2022 Convertible Notes that we intend to settle any conversions of the 2022 Convertible Notes occurring after November 15, 2021 in shares of our common stock</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The shares of common stock subject to conversion are considered in the diluted earnings per share calculations under the if-converted method if their impact is dilutive.</w:t>
      </w:r>
    </w:p>
    <w:p>
      <w:pPr>
        <w:spacing w:after="0" w:line="6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holder may convert its 2022 Convertible Notes, in multiples of $1,000 principal amount, at any time on or after January 15, 2022 until the second scheduled trading day immediately preceding May 15, 2022.</w:t>
      </w:r>
    </w:p>
    <w:p>
      <w:pPr>
        <w:spacing w:after="0" w:line="41" w:lineRule="exact"/>
        <w:rPr>
          <w:sz w:val="20"/>
          <w:szCs w:val="20"/>
          <w:color w:val="auto"/>
        </w:rPr>
      </w:pPr>
    </w:p>
    <w:p>
      <w:pPr>
        <w:ind w:right="60" w:firstLine="509"/>
        <w:spacing w:after="0" w:line="232" w:lineRule="auto"/>
        <w:rPr>
          <w:sz w:val="20"/>
          <w:szCs w:val="20"/>
          <w:color w:val="auto"/>
        </w:rPr>
      </w:pPr>
      <w:r>
        <w:rPr>
          <w:rFonts w:ascii="Times New Roman" w:cs="Times New Roman" w:eastAsia="Times New Roman" w:hAnsi="Times New Roman"/>
          <w:sz w:val="18"/>
          <w:szCs w:val="18"/>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Transactions</w:t>
      </w:r>
    </w:p>
    <w:p>
      <w:pPr>
        <w:spacing w:after="0" w:line="94" w:lineRule="exact"/>
        <w:rPr>
          <w:sz w:val="20"/>
          <w:szCs w:val="20"/>
          <w:color w:val="auto"/>
        </w:rPr>
      </w:pPr>
    </w:p>
    <w:p>
      <w:pPr>
        <w:ind w:right="280" w:firstLine="509"/>
        <w:spacing w:after="0" w:line="235" w:lineRule="auto"/>
        <w:rPr>
          <w:sz w:val="20"/>
          <w:szCs w:val="20"/>
          <w:color w:val="auto"/>
        </w:rPr>
      </w:pPr>
      <w:r>
        <w:rPr>
          <w:rFonts w:ascii="Times New Roman" w:cs="Times New Roman" w:eastAsia="Times New Roman" w:hAnsi="Times New Roman"/>
          <w:sz w:val="18"/>
          <w:szCs w:val="18"/>
          <w:color w:val="auto"/>
        </w:rPr>
        <w:t>In connection with the issuance of our 3.75% Convertible Senior Notes due 2020 (the “2020 Convertible Notes”), we paid approximately $140.0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80" w:lineRule="exact"/>
        <w:rPr>
          <w:sz w:val="20"/>
          <w:szCs w:val="20"/>
          <w:color w:val="auto"/>
        </w:rPr>
      </w:pPr>
    </w:p>
    <w:p>
      <w:pPr>
        <w:ind w:right="40" w:firstLine="509"/>
        <w:spacing w:after="0" w:line="230" w:lineRule="auto"/>
        <w:rPr>
          <w:sz w:val="20"/>
          <w:szCs w:val="20"/>
          <w:color w:val="auto"/>
        </w:rPr>
      </w:pPr>
      <w:r>
        <w:rPr>
          <w:rFonts w:ascii="Times New Roman" w:cs="Times New Roman" w:eastAsia="Times New Roman" w:hAnsi="Times New Roman"/>
          <w:sz w:val="18"/>
          <w:szCs w:val="18"/>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sheets was reduced by approximately $140.0 million. In March 2020, approximately 5.1 million shares of common stock were delivered to us in connection with the Forward Transactions. In April 2021, approximately 1.5 million shares of common stock were delivered to us in connection with the Amended and Restated Forward Transaction. The approximately 0.6 million shares of common stock remaining under the Amended and Restated Forward Transactions are treated as retired shares for basic and diluted EPS purposes although they remain legally outstanding.</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Senior Secured Notes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On April 25, 2019, GIH and Gogo Finance Co. Inc. (a wholly owned subsidiary of GIH) (“Gogo Finance” and, together with GIH, the “Issuers”) issued $905.0 million aggregate principal amount of 9.875% senior secured notes due 2024 (the “2024 Senior Secured Notes”), at a price equal to 99.512% of their face value, under an indenture, dated as of April 25, 2019, among the Issuers, Gogo, the subsidiary guarantors party thereto and U.S. Bank National Association, as trustee.</w:t>
      </w:r>
    </w:p>
    <w:p>
      <w:pPr>
        <w:spacing w:after="0" w:line="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May 7, 2019, the Issuers issued an additional $20.0 million of 2024 Senior Secured Notes, which were issued at a price equal to 100.5% of their face value, and $50.0 million of 2024 Senior Secured Notes on November 13, 2020, which were issued at a price equal to 103.5% of their face value.</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2024 Senior Secured Notes were guaranteed on a senior secured basis by Gogo and all of GIH’s existing and future restricted subsidiaries (other than Gogo Finance), subject to certain exceptions. The 2024 Senior Secured Notes and the related guarantees were secured by certain liens on the Company’s collateral, which were released upon the closing of the Transaction.</w:t>
      </w:r>
    </w:p>
    <w:p>
      <w:pPr>
        <w:spacing w:after="0" w:line="6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paid approximately $22.6 million of origination fees and financing costs related to the issuance of the 2024 Senior Secured Notes, which were accounted for as deferred financing costs on our Unaudited Condensed Consolidated Balance Sheets and were being amortized over the contractual term of the 2024 Senior Secured Notes using the effective interest method. Total amortization expense was $1.0 million for the three-month period ended March 31, 2021 and is included in Interest expense in the Unaudited Condensed Consolidated Statements of Operations. The remaining unamortized deferred financing fees were written off as of May 1, 2021.</w:t>
      </w:r>
    </w:p>
    <w:p>
      <w:pPr>
        <w:spacing w:after="0" w:line="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2024 Senior Secured Notes were redeemed on May 1, 2021 (the “Redemption Date”) at a redemption price equal to 104.938% of the principal amount of the 2024 Senior Secured Notes redeemed, plus accrued and unpaid interest to (but not including) the Redemption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108" w:lineRule="exact"/>
        <w:rPr>
          <w:sz w:val="20"/>
          <w:szCs w:val="20"/>
          <w:color w:val="auto"/>
        </w:rPr>
      </w:pPr>
    </w:p>
    <w:p>
      <w:pPr>
        <w:ind w:right="60" w:firstLine="509"/>
        <w:spacing w:after="0" w:line="233" w:lineRule="auto"/>
        <w:rPr>
          <w:sz w:val="20"/>
          <w:szCs w:val="20"/>
          <w:color w:val="auto"/>
        </w:rPr>
      </w:pPr>
      <w:r>
        <w:rPr>
          <w:rFonts w:ascii="Times New Roman" w:cs="Times New Roman" w:eastAsia="Times New Roman" w:hAnsi="Times New Roman"/>
          <w:sz w:val="18"/>
          <w:szCs w:val="18"/>
          <w:color w:val="auto"/>
        </w:rPr>
        <w:t>On August 26, 2019, Gogo, GIH and Gogo Finance entered into a credit agreement (the “ABL Credit Agreement”) with the other loan parties thereto, the lenders party thereto, JPMorgan Chase Bank, N.A., as administrative agent, and Morgan Stanley Senior Funding, Inc., as syndication agent, which provided for an asset-based revolving credit facility (the “ABL Credit Facility”) of up to $30.0 million, subject to borrowing base availability, and included letter of credit and swingline sub-facilities. The obligations under the ABL Credit Agreement were guaranteed by Gogo and all of its existing and future subsidiaries, subject to certain exceptions and secured by certain collateral of the Company. On April 30, 2021, the ABL Credit Agreement and all commitments thereunder were terminated.</w:t>
      </w:r>
    </w:p>
    <w:p>
      <w:pPr>
        <w:spacing w:after="0" w:line="113"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08" w:lineRule="exact"/>
        <w:rPr>
          <w:sz w:val="20"/>
          <w:szCs w:val="20"/>
          <w:color w:val="auto"/>
        </w:rPr>
      </w:pPr>
    </w:p>
    <w:p>
      <w:pPr>
        <w:jc w:val="both"/>
        <w:ind w:right="40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three-month USD LIBOR rate increases beyond the applicable strike rate. The notional amounts of the interest rate caps periodically decrease over the life of the caps.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notional amounts, strike rates and end dates of the cap agreements are as follows </w:t>
      </w:r>
      <w:r>
        <w:rPr>
          <w:rFonts w:ascii="Times New Roman" w:cs="Times New Roman" w:eastAsia="Times New Roman" w:hAnsi="Times New Roman"/>
          <w:sz w:val="18"/>
          <w:szCs w:val="18"/>
          <w:i w:val="1"/>
          <w:iCs w:val="1"/>
          <w:color w:val="auto"/>
        </w:rPr>
        <w:t>(notional amounts in thousands)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14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80" w:type="dxa"/>
            <w:vAlign w:val="bottom"/>
          </w:tcPr>
          <w:p>
            <w:pPr>
              <w:spacing w:after="0"/>
              <w:rPr>
                <w:sz w:val="13"/>
                <w:szCs w:val="13"/>
                <w:color w:val="auto"/>
              </w:rPr>
            </w:pPr>
          </w:p>
        </w:tc>
        <w:tc>
          <w:tcPr>
            <w:tcW w:w="152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Strike Rate</w:t>
            </w:r>
          </w:p>
        </w:tc>
        <w:tc>
          <w:tcPr>
            <w:tcW w:w="0" w:type="dxa"/>
            <w:vAlign w:val="bottom"/>
          </w:tcPr>
          <w:p>
            <w:pPr>
              <w:spacing w:after="0"/>
              <w:rPr>
                <w:sz w:val="1"/>
                <w:szCs w:val="1"/>
                <w:color w:val="auto"/>
              </w:rPr>
            </w:pPr>
          </w:p>
        </w:tc>
      </w:tr>
      <w:tr>
        <w:trPr>
          <w:trHeight w:val="187"/>
        </w:trPr>
        <w:tc>
          <w:tcPr>
            <w:tcW w:w="1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7/31/2021</w:t>
            </w:r>
          </w:p>
        </w:tc>
        <w:tc>
          <w:tcPr>
            <w:tcW w:w="1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7/31/2023</w:t>
            </w:r>
          </w:p>
        </w:tc>
        <w:tc>
          <w:tcPr>
            <w:tcW w:w="1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8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7/31/2023</w:t>
            </w:r>
          </w:p>
        </w:tc>
        <w:tc>
          <w:tcPr>
            <w:tcW w:w="1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7/31/2024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0.75 %</w:t>
            </w:r>
          </w:p>
        </w:tc>
        <w:tc>
          <w:tcPr>
            <w:tcW w:w="0" w:type="dxa"/>
            <w:vAlign w:val="bottom"/>
          </w:tcPr>
          <w:p>
            <w:pPr>
              <w:spacing w:after="0"/>
              <w:rPr>
                <w:sz w:val="1"/>
                <w:szCs w:val="1"/>
                <w:color w:val="auto"/>
              </w:rPr>
            </w:pPr>
          </w:p>
        </w:tc>
      </w:tr>
      <w:tr>
        <w:trPr>
          <w:trHeight w:val="216"/>
        </w:trPr>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7/31/2024</w:t>
            </w:r>
          </w:p>
        </w:tc>
        <w:tc>
          <w:tcPr>
            <w:tcW w:w="17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7/31/2025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7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16"/>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7/31/2025</w:t>
            </w:r>
          </w:p>
        </w:tc>
        <w:tc>
          <w:tcPr>
            <w:tcW w:w="1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7/31/2026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16"/>
        </w:trPr>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7/31/2026</w:t>
            </w:r>
          </w:p>
        </w:tc>
        <w:tc>
          <w:tcPr>
            <w:tcW w:w="17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7/31/2027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7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No gains or losses of our cash flow hedges were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19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considered to be ineffective and reclassified from other comprehensive income (loss) to earnings for the three-month period ended March 31, 2022. We estimate that approximately $0.3 million currently recorded in accumulated other comprehensive income (loss) will be recognized in earnings over the next 12 months. We assess the effectiveness of the hedges on an ongoing basis. Cash flows from interest rate caps are classified in the Unaudited Condensed Consolidated Statement of Cash Flows as investing activities from continuing operations.</w:t>
      </w:r>
    </w:p>
    <w:p>
      <w:pPr>
        <w:spacing w:after="0" w:line="6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For the three-month period ended March 31, 2022, we recorded an unrealized gain on the interest rate caps of $16.1 million, net of tax of $5.3 million.</w:t>
      </w:r>
    </w:p>
    <w:p>
      <w:pPr>
        <w:spacing w:after="0" w:line="40"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 xml:space="preserve">When derivatives are used, we are exposed to credit loss in the event of non-performance by the counterparties; however, non-performance is not anticipated.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6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of our interest rate derivatives included in the Unaudited Condensed Consolidated Balance Sheets for the periods presented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r>
      <w:tr>
        <w:trPr>
          <w:trHeight w:val="187"/>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46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10"/>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interest rate caps</w:t>
            </w:r>
          </w:p>
        </w:tc>
        <w:tc>
          <w:tcPr>
            <w:tcW w:w="46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60" w:type="dxa"/>
            <w:vAlign w:val="bottom"/>
            <w:shd w:val="clear" w:color="auto" w:fill="CFF0FC"/>
          </w:tcPr>
          <w:p>
            <w:pPr>
              <w:spacing w:after="0"/>
              <w:rPr>
                <w:sz w:val="18"/>
                <w:szCs w:val="18"/>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interest rate caps</w:t>
            </w:r>
          </w:p>
        </w:tc>
        <w:tc>
          <w:tcPr>
            <w:tcW w:w="4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60" w:type="dxa"/>
            <w:vAlign w:val="bottom"/>
          </w:tcPr>
          <w:p>
            <w:pPr>
              <w:spacing w:after="0"/>
              <w:rPr>
                <w:sz w:val="20"/>
                <w:szCs w:val="20"/>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29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Costs</w:t>
      </w:r>
    </w:p>
    <w:p>
      <w:pPr>
        <w:spacing w:after="0" w:line="94"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interest costs for the three-month periods ended March 31,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costs charged to expense</w:t>
            </w:r>
          </w:p>
        </w:tc>
        <w:tc>
          <w:tcPr>
            <w:tcW w:w="2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interest rate caps premium</w:t>
            </w:r>
          </w:p>
        </w:tc>
        <w:tc>
          <w:tcPr>
            <w:tcW w:w="2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2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 capitalized to property and equipment</w:t>
            </w:r>
          </w:p>
        </w:tc>
        <w:tc>
          <w:tcPr>
            <w:tcW w:w="2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costs capitalized to software</w:t>
            </w:r>
          </w:p>
        </w:tc>
        <w:tc>
          <w:tcPr>
            <w:tcW w:w="2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costs</w:t>
            </w:r>
          </w:p>
        </w:tc>
        <w:tc>
          <w:tcPr>
            <w:tcW w:w="3560" w:type="dxa"/>
            <w:vAlign w:val="bottom"/>
            <w:gridSpan w:val="2"/>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7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2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6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4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-642620</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-642620</wp:posOffset>
            </wp:positionV>
            <wp:extent cx="43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18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04"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Operating and Financing Leases — </w:t>
      </w:r>
      <w:r>
        <w:rPr>
          <w:rFonts w:ascii="Times New Roman" w:cs="Times New Roman" w:eastAsia="Times New Roman" w:hAnsi="Times New Roman"/>
          <w:sz w:val="18"/>
          <w:szCs w:val="18"/>
          <w:color w:val="auto"/>
        </w:rPr>
        <w:t>We determine whether a contract contains a lease at contract inception. For leases subsequent to adoption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842, lease liabilities are calculated using a discount rate based on our incremental borrowing rate at lease commencement. We have operating lease agreements primarily related to cell sites and office space. Certain cell site and office space leases have renewal option terms that have been deemed reasonably certain to be exercised. These renewal options extend a lease by up to 15 years. We recognize operating lease expense on a straight-line basis over the lease term. As of March 31, 2022, there were no significant leases which had not commenced.</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lease expense included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60" w:type="dxa"/>
            <w:vAlign w:val="bottom"/>
          </w:tcPr>
          <w:p>
            <w:pPr>
              <w:spacing w:after="0"/>
              <w:rPr>
                <w:sz w:val="14"/>
                <w:szCs w:val="14"/>
                <w:color w:val="auto"/>
              </w:rPr>
            </w:pPr>
          </w:p>
        </w:tc>
      </w:tr>
      <w:tr>
        <w:trPr>
          <w:trHeight w:val="148"/>
        </w:trPr>
        <w:tc>
          <w:tcPr>
            <w:tcW w:w="7680" w:type="dxa"/>
            <w:vAlign w:val="bottom"/>
          </w:tcPr>
          <w:p>
            <w:pPr>
              <w:spacing w:after="0"/>
              <w:rPr>
                <w:sz w:val="12"/>
                <w:szCs w:val="12"/>
                <w:color w:val="auto"/>
              </w:rPr>
            </w:pPr>
          </w:p>
        </w:tc>
        <w:tc>
          <w:tcPr>
            <w:tcW w:w="1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 March 31,</w:t>
            </w:r>
          </w:p>
        </w:tc>
        <w:tc>
          <w:tcPr>
            <w:tcW w:w="26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 March 31,</w:t>
            </w:r>
          </w:p>
        </w:tc>
        <w:tc>
          <w:tcPr>
            <w:tcW w:w="60" w:type="dxa"/>
            <w:vAlign w:val="bottom"/>
          </w:tcPr>
          <w:p>
            <w:pPr>
              <w:spacing w:after="0"/>
              <w:rPr>
                <w:sz w:val="12"/>
                <w:szCs w:val="12"/>
                <w:color w:val="auto"/>
              </w:rPr>
            </w:pP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6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cost:</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Other information regarding our leases is as follows </w:t>
      </w:r>
      <w:r>
        <w:rPr>
          <w:rFonts w:ascii="Times New Roman" w:cs="Times New Roman" w:eastAsia="Times New Roman" w:hAnsi="Times New Roman"/>
          <w:sz w:val="18"/>
          <w:szCs w:val="18"/>
          <w:i w:val="1"/>
          <w:iCs w:val="1"/>
          <w:color w:val="auto"/>
        </w:rPr>
        <w:t>(in thousands, except lease terms and discount rates)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Ended March 31, 2022</w:t>
            </w: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Ended March 31, 2021</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financing leases</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used in financing leases</w:t>
            </w:r>
          </w:p>
        </w:tc>
        <w:tc>
          <w:tcPr>
            <w:tcW w:w="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obtained</w:t>
            </w:r>
          </w:p>
        </w:tc>
        <w:tc>
          <w:tcPr>
            <w:tcW w:w="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leases obtained</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9 years</w:t>
            </w:r>
          </w:p>
        </w:tc>
        <w:tc>
          <w:tcPr>
            <w:tcW w:w="3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 year</w:t>
            </w:r>
          </w:p>
        </w:tc>
        <w:tc>
          <w:tcPr>
            <w:tcW w:w="30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6.9 %</w:t>
            </w:r>
          </w:p>
        </w:tc>
        <w:tc>
          <w:tcPr>
            <w:tcW w:w="30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17.9 %</w:t>
            </w:r>
          </w:p>
        </w:tc>
        <w:tc>
          <w:tcPr>
            <w:tcW w:w="30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306"/>
        </w:trPr>
        <w:tc>
          <w:tcPr>
            <w:tcW w:w="7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Annual future minimum lease payments as of March 31, 2022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24"/>
                <w:szCs w:val="24"/>
                <w:color w:val="auto"/>
              </w:rPr>
            </w:pP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8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00" w:type="dxa"/>
            <w:vAlign w:val="bottom"/>
          </w:tcPr>
          <w:p>
            <w:pPr>
              <w:spacing w:after="0"/>
              <w:rPr>
                <w:sz w:val="16"/>
                <w:szCs w:val="16"/>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(period from April 1 to December 31)</w:t>
            </w:r>
          </w:p>
        </w:tc>
        <w:tc>
          <w:tcPr>
            <w:tcW w:w="300" w:type="dxa"/>
            <w:vAlign w:val="bottom"/>
            <w:tcBorders>
              <w:top w:val="single" w:sz="8" w:color="auto"/>
            </w:tcBorders>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9,683</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13,175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12,524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11,623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53,849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112,560</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(27,805 )</w:t>
            </w:r>
          </w:p>
        </w:tc>
        <w:tc>
          <w:tcPr>
            <w:tcW w:w="3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300" w:type="dxa"/>
            <w:vAlign w:val="bottom"/>
            <w:tcBorders>
              <w:top w:val="single" w:sz="8" w:color="auto"/>
              <w:bottom w:val="single" w:sz="8" w:color="auto"/>
            </w:tcBorders>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84,755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Reported as of March 31, 2022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7,681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77,074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top w:val="single" w:sz="8" w:color="auto"/>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84,755</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6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-1216660</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-1199515</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-1216660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-1199515</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-642620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-642620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79"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4"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Contractual Commitments </w:t>
      </w:r>
      <w:r>
        <w:rPr>
          <w:rFonts w:ascii="Times New Roman" w:cs="Times New Roman" w:eastAsia="Times New Roman" w:hAnsi="Times New Roman"/>
          <w:sz w:val="18"/>
          <w:szCs w:val="18"/>
          <w:color w:val="auto"/>
        </w:rPr>
        <w:t>- We have agreements with various vendors under which we have remaining commitments to purchase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w:t>
      </w:r>
    </w:p>
    <w:p>
      <w:pPr>
        <w:spacing w:after="0" w:line="56"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Indemnifications and Guarantees </w:t>
      </w:r>
      <w:r>
        <w:rPr>
          <w:rFonts w:ascii="Times New Roman" w:cs="Times New Roman" w:eastAsia="Times New Roman" w:hAnsi="Times New Roman"/>
          <w:sz w:val="18"/>
          <w:szCs w:val="18"/>
          <w:color w:val="auto"/>
        </w:rPr>
        <w:t>- In accordance with Delaware law, we indemnify our officers and directors for certain events or occurrences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66"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61" w:lineRule="exact"/>
        <w:rPr>
          <w:sz w:val="20"/>
          <w:szCs w:val="20"/>
          <w:color w:val="auto"/>
        </w:rPr>
      </w:pPr>
    </w:p>
    <w:p>
      <w:pPr>
        <w:ind w:right="400" w:firstLine="509"/>
        <w:spacing w:after="0" w:line="250" w:lineRule="auto"/>
        <w:rPr>
          <w:sz w:val="20"/>
          <w:szCs w:val="20"/>
          <w:color w:val="auto"/>
        </w:rPr>
      </w:pPr>
      <w:r>
        <w:rPr>
          <w:rFonts w:ascii="Times New Roman" w:cs="Times New Roman" w:eastAsia="Times New Roman" w:hAnsi="Times New Roman"/>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6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Securities Litigation </w:t>
      </w:r>
      <w:r>
        <w:rPr>
          <w:rFonts w:ascii="Times New Roman" w:cs="Times New Roman" w:eastAsia="Times New Roman" w:hAnsi="Times New Roman"/>
          <w:sz w:val="18"/>
          <w:szCs w:val="18"/>
          <w:color w:val="auto"/>
        </w:rPr>
        <w:t>- On June 27, 2018, a purported stockholder of the Company filed a putative class action lawsuit in the United States District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for the Northern District of Illinois, Eastern Division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the reliability of and installation and remediation costs associated with CA’s 2Ku antenna.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July 2020, plaintiffs filed a motion requesting leave to file a proposed third amended complaint, which was granted by the Court. Plaintiffs proceeded to file the third amended complaint in July 2020 and we filed a motion to dismiss in September 2020. In April 2021, the Court denied our motion to dismiss, and the defendants filed their answer and affirmative defenses to the third amended complaint in June 2021.</w:t>
      </w:r>
    </w:p>
    <w:p>
      <w:pPr>
        <w:spacing w:after="0" w:line="74"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parties engaged in mediation and reached a tentative resolution that includes a cash payment of $17.3 million (to be funded by our Directors' and Officers' insurance policy) in exchange for a dismissal with prejudice of the class claims and full releases. As a result of this development, the Company accrued a $17.3 million liability within Accrued liabilities and a corresponding insurance receivable in Prepaid expenses and other current assets in the Unaudited Condensed Consolidated Balance Sheets as of March 31, 2022 and December 31, 2021. On April 12, 2022, the parties entered into a Stipulation and Agreement of Settlement memorializing these terms (the “Settlement”). On May 3, 2022, the Court signed an order (i) preliminarily approving the Settlement; (ii) certifying the settlement class; (iii) approving the notice to be sent to members of the settlement class; and (iv) scheduling a final hearing for August 30, 2022. The insurance carriers have confirmed that they intend to pay the settlement amount into escrow. The Stipulation and Agreement of Settlement may be terminated (i) by the lead plaintiff or the Company upon the Court’s final refusal to (x) approve the Settlement or any material part thereof, or (y) enter a final judgment approving the Settlement; (ii) by the lead plaintiff or the Company if a final judgment is reversed on appeal; (iii) by the lead plaintiff if the settlement amount has not been paid into escrow within a specified time period following the Court’s preliminary approval of the Settlement; and (iv) by the Company if settlement class members with aggregate claims equal to or greater than an agreed-upon amount opt out of the Settlement. We believe that the claims are without merit and will continue to defend them vigorously should the Settlement be terminated for any reason.</w:t>
      </w:r>
    </w:p>
    <w:p>
      <w:pPr>
        <w:spacing w:after="0" w:line="7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Derivative Litigation </w:t>
      </w:r>
      <w:r>
        <w:rPr>
          <w:rFonts w:ascii="Times New Roman" w:cs="Times New Roman" w:eastAsia="Times New Roman" w:hAnsi="Times New Roman"/>
          <w:sz w:val="18"/>
          <w:szCs w:val="18"/>
          <w:color w:val="auto"/>
        </w:rPr>
        <w:t>- On September 25, 2018 and September 26, 2018, two purported stockholders of the Company filed substantively identical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00"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18"/>
          <w:szCs w:val="18"/>
          <w:color w:val="auto"/>
        </w:rPr>
        <w:t xml:space="preserve">compensation paid to current Officers and Directors and excessive severance paid to former Officers. The plaintiffs seek to recover, on our behalf, an unspecified amount of damages from the individual defendants. The two lawsuits were consolidated and were stayed pending a final disposition of the motion to dismiss in the class action suit and remain stayed. In addition, a purported stockholder has sent a letter to the Company’s Board of Directors, dated June 21, 2021, demanding based on substantially the same allegations, that the Company sue certain current and former Officers for,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breach of fiduciary duty.</w:t>
      </w:r>
    </w:p>
    <w:p>
      <w:pPr>
        <w:spacing w:after="0" w:line="8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believe that the claims are without merit and intend to defend them vigorously. No amounts have been accrued for any potential costs under these matters, as we cannot reasonably predict the outcome or the potential costs. We have filed a claim under our Directors’ and Officers’ insurance policy with respect to these suits and the demand from the purported stockholder. We expect any material financial exposure for these matters to be borne by our insurance carriers, although they have reserved their rights under the policies.</w:t>
      </w:r>
    </w:p>
    <w:p>
      <w:pPr>
        <w:spacing w:after="0" w:line="82"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SmartSky Litigation </w:t>
      </w:r>
      <w:r>
        <w:rPr>
          <w:rFonts w:ascii="Times New Roman" w:cs="Times New Roman" w:eastAsia="Times New Roman" w:hAnsi="Times New Roman"/>
          <w:sz w:val="18"/>
          <w:szCs w:val="18"/>
          <w:color w:val="auto"/>
        </w:rPr>
        <w:t>- On February 28, 2022, SmartSky Networks, LLC brought suit against Gogo Inc. and its subsidiary Gogo Business Aviation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in the U.S. District Court for the District of Delaware alleging that Gogo 5G infringes four patents owned by the plaintiff. The suit seeks an unspecified amount of compensatory damages as well as treble damages for alleged willful infringement and reimbursement of plaintiff's costs, disbursements and attorneys' fees. Also on February 28, 2022, the plaintiff filed a motion (the “PI Motion”) requesting that the Court preliminarily enjoin the Company from making, using, offering to sell or selling the Gogo 5G system. The parties have agreed to a briefing schedule for the PI Motion and are currently engaged in limited discovery. We believe that the plaintiff’s claims are without merit and intend to defend our position and defend against the PI motion vigorously. The outcomes of the PI Motion and the underlying litigation are inherently uncertain. No amounts have been accrued for any potential losses under this matter, as we cannot reasonably predict the outcome of the litigation or any potential losses.</w:t>
      </w:r>
    </w:p>
    <w:p>
      <w:pPr>
        <w:spacing w:after="0" w:line="288"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three-tier fair value hierarchy has been established which prioritizes the inputs used in measuring fair value. These tiers include:</w:t>
      </w:r>
    </w:p>
    <w:p>
      <w:pPr>
        <w:spacing w:after="0" w:line="10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defined as observable inputs such as quoted prices for identical assets or liabilities in active markets;</w:t>
      </w:r>
    </w:p>
    <w:p>
      <w:pPr>
        <w:spacing w:after="0" w:line="103" w:lineRule="exact"/>
        <w:rPr>
          <w:rFonts w:ascii="Times New Roman" w:cs="Times New Roman" w:eastAsia="Times New Roman" w:hAnsi="Times New Roman"/>
          <w:sz w:val="18"/>
          <w:szCs w:val="18"/>
          <w:color w:val="auto"/>
        </w:rPr>
      </w:pPr>
    </w:p>
    <w:p>
      <w:pPr>
        <w:ind w:left="1020" w:right="40" w:hanging="503"/>
        <w:spacing w:after="0" w:line="259"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defined as observable inputs other than Level 1 inputs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inputs that are observable or can be corroborated by observable market data for substantially the full term of the assets or liabilities; and</w:t>
      </w:r>
    </w:p>
    <w:p>
      <w:pPr>
        <w:spacing w:after="0" w:line="58" w:lineRule="exact"/>
        <w:rPr>
          <w:rFonts w:ascii="Times New Roman" w:cs="Times New Roman" w:eastAsia="Times New Roman" w:hAnsi="Times New Roman"/>
          <w:sz w:val="18"/>
          <w:szCs w:val="18"/>
          <w:color w:val="auto"/>
        </w:rPr>
      </w:pPr>
    </w:p>
    <w:p>
      <w:pPr>
        <w:ind w:left="500" w:right="40" w:firstLine="17"/>
        <w:spacing w:after="0" w:line="367" w:lineRule="auto"/>
        <w:tabs>
          <w:tab w:leader="none" w:pos="10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defined as unobservable inputs in which little or no market data exists, therefore requiring an entity to develop its own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to Note 10, “Derivative Instruments and Hedging Activities,” for fair value information relating to our interest rate caps.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0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As of March 31, 2022 and December 31, 2021, our financial assets and liabilities that are disclosed but not measured at fair value include the Term Loan Facility and the 2022 Convertible Notes, which are reflected on the Unaudited Condensed Consolidated Balance Sheets at cost. The fair value measurements are classified as Level 2 within the fair value hierarchy since they are based on quoted market prices of our instruments in markets that are not active. We estimated the fair value of the Term Loan Facility and the 2022 Convertible Notes by calculating the upfront cash payment a market participant would require to assume these obligations. The upfront cash payments used in the calculations of fair value on our March 31, 2022 Unaudited Condensed Consolidated Balance Sheets, excluding any issuance costs, are the amount that a market participant would be willing to lend at March 31, 2022 to an entity with a credit rating similar to ours and that would allow such an entity to achieve sufficient cash inflows to cover the scheduled cash outflows under the Term Loan Facility and the 2022 Convertible Notes. The calculated fair value of each of the 2022 Convertible Notes is correlated to our stock price and as a result, significant changes to our stock price could have a significant impact on the calculated fair values.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fair value and carrying value of long-term debt as of March 31, 2022 and December 31, 2021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360" w:type="dxa"/>
            <w:vAlign w:val="bottom"/>
            <w:tcBorders>
              <w:top w:val="single" w:sz="8" w:color="auto"/>
            </w:tcBorders>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i w:val="1"/>
                <w:iCs w:val="1"/>
                <w:color w:val="auto"/>
                <w:vertAlign w:val="superscript"/>
              </w:rPr>
              <w:t>(1)</w:t>
            </w:r>
          </w:p>
        </w:tc>
        <w:tc>
          <w:tcPr>
            <w:tcW w:w="160" w:type="dxa"/>
            <w:vAlign w:val="bottom"/>
            <w:tcBorders>
              <w:top w:val="single" w:sz="8" w:color="auto"/>
            </w:tcBorders>
            <w:vMerge w:val="restart"/>
          </w:tcPr>
          <w:p>
            <w:pPr>
              <w:spacing w:after="0"/>
              <w:rPr>
                <w:sz w:val="11"/>
                <w:szCs w:val="11"/>
                <w:color w:val="auto"/>
              </w:rPr>
            </w:pPr>
          </w:p>
        </w:tc>
        <w:tc>
          <w:tcPr>
            <w:tcW w:w="400" w:type="dxa"/>
            <w:vAlign w:val="bottom"/>
            <w:tcBorders>
              <w:top w:val="single" w:sz="8" w:color="auto"/>
            </w:tcBorders>
            <w:vMerge w:val="restart"/>
          </w:tcPr>
          <w:p>
            <w:pPr>
              <w:spacing w:after="0"/>
              <w:rPr>
                <w:sz w:val="11"/>
                <w:szCs w:val="11"/>
                <w:color w:val="auto"/>
              </w:rPr>
            </w:pPr>
          </w:p>
        </w:tc>
        <w:tc>
          <w:tcPr>
            <w:tcW w:w="960" w:type="dxa"/>
            <w:vAlign w:val="bottom"/>
            <w:tcBorders>
              <w:top w:val="single" w:sz="8" w:color="auto"/>
            </w:tcBorders>
          </w:tcPr>
          <w:p>
            <w:pPr>
              <w:jc w:val="center"/>
              <w:ind w:right="319"/>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0" w:type="dxa"/>
            <w:vAlign w:val="bottom"/>
          </w:tcPr>
          <w:p>
            <w:pPr>
              <w:spacing w:after="0"/>
              <w:rPr>
                <w:sz w:val="11"/>
                <w:szCs w:val="11"/>
                <w:color w:val="auto"/>
              </w:rPr>
            </w:pPr>
          </w:p>
        </w:tc>
        <w:tc>
          <w:tcPr>
            <w:tcW w:w="136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i w:val="1"/>
                <w:iCs w:val="1"/>
                <w:color w:val="auto"/>
                <w:vertAlign w:val="superscript"/>
              </w:rPr>
              <w:t>(1)</w:t>
            </w: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spacing w:after="0"/>
              <w:rPr>
                <w:sz w:val="14"/>
                <w:szCs w:val="14"/>
                <w:color w:val="auto"/>
              </w:rPr>
            </w:pPr>
          </w:p>
        </w:tc>
        <w:tc>
          <w:tcPr>
            <w:tcW w:w="1360" w:type="dxa"/>
            <w:vAlign w:val="bottom"/>
          </w:tcPr>
          <w:p>
            <w:pPr>
              <w:spacing w:after="0"/>
              <w:rPr>
                <w:sz w:val="14"/>
                <w:szCs w:val="14"/>
                <w:color w:val="auto"/>
              </w:rPr>
            </w:pPr>
          </w:p>
        </w:tc>
        <w:tc>
          <w:tcPr>
            <w:tcW w:w="1760" w:type="dxa"/>
            <w:vAlign w:val="bottom"/>
            <w:gridSpan w:val="3"/>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$715,000</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280"/>
              <w:spacing w:after="0" w:line="216" w:lineRule="exact"/>
              <w:rPr>
                <w:sz w:val="20"/>
                <w:szCs w:val="20"/>
                <w:color w:val="auto"/>
              </w:rPr>
            </w:pPr>
            <w:r>
              <w:rPr>
                <w:rFonts w:ascii="Times New Roman" w:cs="Times New Roman" w:eastAsia="Times New Roman" w:hAnsi="Times New Roman"/>
                <w:sz w:val="18"/>
                <w:szCs w:val="18"/>
                <w:color w:val="auto"/>
              </w:rPr>
              <w:t xml:space="preserve">$716,359 </w:t>
            </w:r>
            <w:r>
              <w:rPr>
                <w:rFonts w:ascii="Times New Roman" w:cs="Times New Roman" w:eastAsia="Times New Roman" w:hAnsi="Times New Roman"/>
                <w:sz w:val="24"/>
                <w:szCs w:val="24"/>
                <w:i w:val="1"/>
                <w:iCs w:val="1"/>
                <w:color w:val="auto"/>
                <w:vertAlign w:val="superscript"/>
              </w:rPr>
              <w:t>(2)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$723,000</w:t>
            </w:r>
          </w:p>
        </w:tc>
        <w:tc>
          <w:tcPr>
            <w:tcW w:w="1760" w:type="dxa"/>
            <w:vAlign w:val="bottom"/>
            <w:gridSpan w:val="3"/>
            <w:shd w:val="clear" w:color="auto" w:fill="CFF0FC"/>
          </w:tcPr>
          <w:p>
            <w:pPr>
              <w:ind w:left="800"/>
              <w:spacing w:after="0" w:line="216" w:lineRule="exact"/>
              <w:rPr>
                <w:sz w:val="20"/>
                <w:szCs w:val="20"/>
                <w:color w:val="auto"/>
              </w:rPr>
            </w:pPr>
            <w:r>
              <w:rPr>
                <w:rFonts w:ascii="Times New Roman" w:cs="Times New Roman" w:eastAsia="Times New Roman" w:hAnsi="Times New Roman"/>
                <w:sz w:val="18"/>
                <w:szCs w:val="18"/>
                <w:color w:val="auto"/>
              </w:rPr>
              <w:t xml:space="preserve">$718,057 </w:t>
            </w:r>
            <w:r>
              <w:rPr>
                <w:rFonts w:ascii="Times New Roman" w:cs="Times New Roman" w:eastAsia="Times New Roman" w:hAnsi="Times New Roman"/>
                <w:sz w:val="24"/>
                <w:szCs w:val="24"/>
                <w:i w:val="1"/>
                <w:iCs w:val="1"/>
                <w:color w:val="auto"/>
                <w:vertAlign w:val="superscript"/>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$328,000</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$102,788</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5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$102,788</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192"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amounts are rounded to the nearest million.</w:t>
      </w:r>
    </w:p>
    <w:p>
      <w:pPr>
        <w:spacing w:after="0" w:line="15" w:lineRule="exact"/>
        <w:rPr>
          <w:rFonts w:ascii="Times New Roman" w:cs="Times New Roman" w:eastAsia="Times New Roman" w:hAnsi="Times New Roman"/>
          <w:sz w:val="18"/>
          <w:szCs w:val="18"/>
          <w:i w:val="1"/>
          <w:iCs w:val="1"/>
          <w:color w:val="auto"/>
        </w:rPr>
      </w:pPr>
    </w:p>
    <w:p>
      <w:pPr>
        <w:ind w:left="520" w:right="140" w:hanging="512"/>
        <w:spacing w:after="0" w:line="258" w:lineRule="auto"/>
        <w:tabs>
          <w:tab w:leader="none" w:pos="52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Term Loan Facility reflects the unaccreted debt discount of $3.2 million and $3.3 million, respectively, as of March 31, 2022 and December 31, 2021. See Note 9, “Long-Term Debt and Other Liabilities,” for further information.</w:t>
      </w:r>
    </w:p>
    <w:p>
      <w:pPr>
        <w:spacing w:after="0" w:line="152"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2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effective income tax rates for continuing operations for the three-month periods ended March 31, 2022 and 2021 were 8.0% and (0.6)%, respectively. For the three-month period ended March 31, 2022, our effective income tax rate was lower than the U.S. federal statutory rate of 21% primarily due to tax benefits for stock-based compensation and a partial release of the valuation allowance on our deferred income tax assets. For the three-month period ended March 31, 2022, our income tax expense was $1.9 million. For the three-month period ended March 31, 2021, our income tax expense was not significant primarily due to the full valuation allowance against our net deferred tax assets.</w:t>
      </w:r>
    </w:p>
    <w:p>
      <w:pPr>
        <w:spacing w:after="0" w:line="73"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regularly assess the need for a valuation allowance related to our deferred income tax assets to determine, based on the weight of the available positive and negative evidence, whether it is more likely than not that some or all of such deferred assets will not be realized. In our assessments, the Company considers recent financial operating results, the scheduled expiration of our net operating losses, potential sources of taxable income, the reversal of existing taxable differences, taxable income in prior carryback years, if permitted under tax law, and tax planning strategies. The remaining valuation allowance is still required for deferred tax assets related to certain state and foreign net operating losses (“NOLs”), capital losses, and the Section 163(j) interest limitation carryforward as it was more likely than not as of March 31, 2022 that these deferred tax assets will not be realized. If we continue to sustain our current operating performance, additional reversals of our valuation allowance could occur within the next twelve to eighteen months.</w:t>
      </w:r>
    </w:p>
    <w:p>
      <w:pPr>
        <w:spacing w:after="0" w:line="7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taxation and file income tax returns in the United States federal jurisdiction and many states and Canada. With few exceptions, as of March 31, 2022, we are no longer subject to U.S. federal, state, local or foreign examinations by tax authorities for years before 2017.</w:t>
      </w:r>
    </w:p>
    <w:p>
      <w:pPr>
        <w:spacing w:after="0" w:line="40"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three-month periods ended March 31, 2022 and 2021. As of March 31, 2022 and December 31, 2021, we did not have a liability recorded for interest or potential penalties.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Presently, we do not require a reserve for unrecognized tax benefits, nor do we foresee any change to that position during the next 12 months.</w:t>
      </w:r>
    </w:p>
    <w:p>
      <w:pPr>
        <w:spacing w:after="0" w:line="316"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401(k) Plan</w:t>
      </w:r>
    </w:p>
    <w:p>
      <w:pPr>
        <w:spacing w:after="0" w:line="104"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 </w:t>
      </w:r>
      <w:r>
        <w:rPr>
          <w:rFonts w:ascii="Times New Roman" w:cs="Times New Roman" w:eastAsia="Times New Roman" w:hAnsi="Times New Roman"/>
          <w:sz w:val="18"/>
          <w:szCs w:val="18"/>
          <w:color w:val="auto"/>
        </w:rPr>
        <w:t>As of March 31, 2022, we maintained three stock-based incentive compensation plans (“Stock Plans”),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Employee Stock Purchase Plan (“ESPP”). See Note 15, “Stock-Based Compensation and 401(k) Plan,” in our 2021 10-K for further information regarding these plans. The majority of our equity grants are awarded on an annual basis.</w:t>
      </w:r>
    </w:p>
    <w:p>
      <w:pPr>
        <w:spacing w:after="0" w:line="6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the three-month period ended March 31, 2022, no options to purchase shares of common stock were granted, options to purchase 423,583 shares of common stock were exercised, no options to purchase shares of common stock were forfeited and no options to purchase shares of common stock expired.</w:t>
      </w:r>
    </w:p>
    <w:p>
      <w:pPr>
        <w:spacing w:after="0" w:line="6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 the three-month period ended March 31, 2022, 976,730 Restricted Stock Units (“RSUs”) were granted, 799,459 RSUs vested and 38,119 RSUs were forfeited. The fair value of the RSUs granted during the three-month period ended March 31, 2022 was approximately $18.2 million, which will be recognized over a period of four years.</w:t>
      </w:r>
    </w:p>
    <w:p>
      <w:pPr>
        <w:spacing w:after="0" w:line="61"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For the three-month period ended March 31, 2022, 24,195 deferred stock units were granted and 24,323 vested. The fair value of the deferred stock units granted during the three-month period ended March 31, 2022 was approximately $0.5 million, which will be recognized over a period of one year.</w:t>
      </w:r>
    </w:p>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three-month period ended March 31, 2022, 13,446 shares of common stock were issued under the ESPP.</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00"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by operating expense line in the Unaudited Condensed Consolidated Statements of Operations, excluding stock-based compensation expense for discontinued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6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-170815</wp:posOffset>
            </wp:positionV>
            <wp:extent cx="431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-170815</wp:posOffset>
            </wp:positionV>
            <wp:extent cx="342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6" w:lineRule="exact"/>
        <w:rPr>
          <w:sz w:val="20"/>
          <w:szCs w:val="20"/>
          <w:color w:val="auto"/>
        </w:rPr>
      </w:pPr>
    </w:p>
    <w:p>
      <w:pPr>
        <w:jc w:val="both"/>
        <w:ind w:right="50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401(k) Plan — </w:t>
      </w:r>
      <w:r>
        <w:rPr>
          <w:rFonts w:ascii="Times New Roman" w:cs="Times New Roman" w:eastAsia="Times New Roman" w:hAnsi="Times New Roman"/>
          <w:sz w:val="18"/>
          <w:szCs w:val="18"/>
          <w:color w:val="auto"/>
        </w:rPr>
        <w:t>Under our 401(k) plan, all employees who are eligible to participate are entitled to make tax-deferred contributions,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Service limitations. We match 100% of the employee’s first 4% of contributions made, subject to annual limitations. Our matching contributions were $0.5 million and $0.4 million, respectively, during the three-month periods ended March 31, 2022 and 2021.</w:t>
      </w:r>
    </w:p>
    <w:p>
      <w:pPr>
        <w:spacing w:after="0" w:line="272"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108"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Expenditures for research and development are charged to expense as incurred and totaled $5.4 million and $5.5 million, respectively, during the three-month periods ended March 31, 2022 and 2021. Research and development costs are reported as Engineering, design and development expenses in our Unaudited Condensed Consolidated Statements of Operations.</w:t>
      </w:r>
    </w:p>
    <w:p>
      <w:pPr>
        <w:spacing w:after="0" w:line="273"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0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is a summary of changes in accumulated other comprehensive income (loss) by component </w:t>
      </w:r>
      <w:r>
        <w:rPr>
          <w:rFonts w:ascii="Times New Roman" w:cs="Times New Roman" w:eastAsia="Times New Roman" w:hAnsi="Times New Roman"/>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60" w:type="dxa"/>
            <w:vAlign w:val="bottom"/>
          </w:tcPr>
          <w:p>
            <w:pPr>
              <w:spacing w:after="0"/>
              <w:rPr>
                <w:sz w:val="16"/>
                <w:szCs w:val="16"/>
                <w:color w:val="auto"/>
              </w:rPr>
            </w:pPr>
          </w:p>
        </w:tc>
        <w:tc>
          <w:tcPr>
            <w:tcW w:w="98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(loss) realized and reclassified to earnings</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9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10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347"/>
        </w:trPr>
        <w:tc>
          <w:tcPr>
            <w:tcW w:w="11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60" w:type="dxa"/>
            <w:vAlign w:val="bottom"/>
          </w:tcPr>
          <w:p>
            <w:pPr>
              <w:spacing w:after="0"/>
              <w:rPr>
                <w:sz w:val="16"/>
                <w:szCs w:val="16"/>
                <w:color w:val="auto"/>
              </w:rPr>
            </w:pPr>
          </w:p>
        </w:tc>
        <w:tc>
          <w:tcPr>
            <w:tcW w:w="98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Pr>
          <w:p>
            <w:pPr>
              <w:spacing w:after="0"/>
              <w:rPr>
                <w:sz w:val="16"/>
                <w:szCs w:val="16"/>
                <w:color w:val="auto"/>
              </w:rPr>
            </w:pPr>
          </w:p>
        </w:tc>
      </w:tr>
      <w:tr>
        <w:trPr>
          <w:trHeight w:val="210"/>
        </w:trPr>
        <w:tc>
          <w:tcPr>
            <w:tcW w:w="114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(loss) realized and reclassified to earnings</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492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-2116455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-2116455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-2116455</wp:posOffset>
            </wp:positionV>
            <wp:extent cx="596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-1824990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-1807845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-1824990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-1807845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-1824990</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-1807845</wp:posOffset>
            </wp:positionV>
            <wp:extent cx="596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-805180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-805180</wp:posOffset>
            </wp:positionV>
            <wp:extent cx="342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-805180</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-513715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-496570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-513715</wp:posOffset>
            </wp:positionV>
            <wp:extent cx="342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-496570</wp:posOffset>
            </wp:positionV>
            <wp:extent cx="342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-513715</wp:posOffset>
            </wp:positionV>
            <wp:extent cx="596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-496570</wp:posOffset>
            </wp:positionV>
            <wp:extent cx="596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8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73"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 and generate revenue from the provision of our connectivity and entertainment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key OEMs and dealers for equipment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Gogo 5G;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w:t>
      </w:r>
    </w:p>
    <w:p>
      <w:pPr>
        <w:spacing w:after="0" w:line="10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the measures implemented to combat it, including global shortages of certain electronic components and global logistics issues;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or pursue strategic opportunities;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equipment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highly skilled employees;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10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rights to use our licensed 3Mhz of ATG spectrum in the United States and obtain rights to additional spectrum if needed;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use of open source software;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equipment failures or material software defects;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service disruptions caused by, among other things, force majeure events, cyber-attacks or other malicious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assertions by third parties of infringement, misappropriation or other violations;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provide products and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regulation of the internet and conflict minerals;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possession and use of personal information;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expenses, liabilities or business disruptions resulting from litigation;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limitations and restrictions in the agreements governing our current and future indebtedness and our ability to service our indebtedness;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4" w:name="page25"/>
    <w:bookmarkEnd w:id="24"/>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tax assets; and</w:t>
      </w:r>
    </w:p>
    <w:p>
      <w:pPr>
        <w:spacing w:after="0" w:line="10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“Risk Factors” in our Annual Report on Form 10-K for the year ended December 31, 2021, as filed with the Securities and Exchange Commission (the “SEC”) on March 3, 2022 (the “2021 10-K”) and in Item 1A of this Report.</w:t>
      </w:r>
    </w:p>
    <w:p>
      <w:pPr>
        <w:spacing w:after="0" w:line="6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69"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report, refer to Gogo Inc. and its directly and indirectly owned subsidiaries as a combined entity, except where otherwise stated or where it is clear that the terms refer only to Gogo Inc. exclusive of its subsidiaries.</w:t>
      </w:r>
    </w:p>
    <w:p>
      <w:pPr>
        <w:spacing w:after="0" w:line="6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On December 1, 2020, we completed the previously announced sale of our commercial aviation (“CA”) business to a subsidiary of Intelsat Jackson Holdings S.A. (“Intelsat”) for a purchase price of $400.0 million in cash, subject to certain adjustments (the “Transaction”). As a result, all periods presented in our Unaudited Condensed Consolidated Financial Statements and other portions of this Quarterly Report on Form 10-Q have been conformed to present the CA business as discontinued operations.</w:t>
      </w:r>
    </w:p>
    <w:p>
      <w:pPr>
        <w:spacing w:after="0" w:line="66"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2021 10-K, in Item 1A of this report and in “Special Note Regarding Forward-Looking Statements” in this report. Our actual results may differ materially from those contained in or implied by any forward-looking statements.</w:t>
      </w:r>
    </w:p>
    <w:p>
      <w:pPr>
        <w:spacing w:after="0" w:line="63"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8"/>
          <w:szCs w:val="18"/>
          <w:i w:val="1"/>
          <w:iCs w:val="1"/>
          <w:color w:val="auto"/>
        </w:rPr>
        <w:t>Our fiscal year ends December 31 and, unless otherwise noted, references to “years” or “fiscal” are for fiscal years ended December 31.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Gogo is the world’s largest provider of broadband connectivity services for the 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narrowband satellite-based voice and data services made available through strategic partnerships with satellite providers.</w:t>
      </w:r>
    </w:p>
    <w:p>
      <w:pPr>
        <w:spacing w:after="0" w:line="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chief operating decision maker evaluates performance and business results for our operations, and makes resource and operating decisions, on a consolidated basis. As we do not have multiple segments, we do not present segment information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108"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Although these and other key metrics began to recover in the third quarter of 2020 and have since reached pre-COVID levels or better, we continue to monitor the status of the pandemic in the United States and internationally. We are unable to predict whether COVID-19 will have a material adverse effect on our business in the future or with what degree of severity or over what length of time such impact may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94" w:lineRule="exact"/>
        <w:rPr>
          <w:sz w:val="20"/>
          <w:szCs w:val="20"/>
          <w:color w:val="auto"/>
        </w:rPr>
      </w:pPr>
    </w:p>
    <w:p>
      <w:pPr>
        <w:jc w:val="both"/>
        <w:ind w:right="440" w:firstLine="509"/>
        <w:spacing w:after="0" w:line="236" w:lineRule="auto"/>
        <w:rPr>
          <w:sz w:val="20"/>
          <w:szCs w:val="20"/>
          <w:color w:val="auto"/>
        </w:rPr>
      </w:pPr>
      <w:r>
        <w:rPr>
          <w:rFonts w:ascii="Times New Roman" w:cs="Times New Roman" w:eastAsia="Times New Roman" w:hAnsi="Times New Roman"/>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64" w:lineRule="exact"/>
        <w:rPr>
          <w:sz w:val="20"/>
          <w:szCs w:val="20"/>
          <w:color w:val="auto"/>
        </w:rPr>
      </w:pPr>
    </w:p>
    <w:p>
      <w:pPr>
        <w:ind w:left="1020" w:right="1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implementation of, and our ability to implement on a timely basis, our technology roadmap, including upgrades to and installation of the ATG technologies we currently offer, Gogo 5G, and any other next generation or other new technology;</w:t>
      </w:r>
    </w:p>
    <w:p>
      <w:pPr>
        <w:spacing w:after="0" w:line="40"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and other equipment developers and providers, some of which are single-source;</w:t>
      </w:r>
    </w:p>
    <w:p>
      <w:pPr>
        <w:spacing w:after="0" w:line="61"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spectrum and make other improvements to our network and operations as technology and user expectations change;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aircraft in service in our markets, including consolidations or changes in fleet size by one or more of our large-fleet customers;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 w:name="page27"/>
    <w:bookmarkEnd w:id="26"/>
    <w:p>
      <w:pPr>
        <w:ind w:left="1020" w:right="5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environment and other trends that affect both business and leisure aviation travel, including the impact of COVID-19 on restrictions on and demand for air travel;</w:t>
      </w:r>
    </w:p>
    <w:p>
      <w:pPr>
        <w:spacing w:after="0" w:line="40"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supply chains and installations, including COVID-19-related shortages of electronic components that have resulted in longer lead times and delays in obtaining certain electronic components used in the airborne equipment that we manufacture;</w:t>
      </w:r>
    </w:p>
    <w:p>
      <w:pPr>
        <w:spacing w:after="0" w:line="67" w:lineRule="exact"/>
        <w:rPr>
          <w:rFonts w:ascii="Times New Roman" w:cs="Times New Roman" w:eastAsia="Times New Roman" w:hAnsi="Times New Roman"/>
          <w:sz w:val="18"/>
          <w:szCs w:val="18"/>
          <w:color w:val="auto"/>
        </w:rPr>
      </w:pPr>
    </w:p>
    <w:p>
      <w:pPr>
        <w:ind w:left="1020" w:right="50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suppliers of equipment components and network services on a timely basis and on commercially reasonable terms;</w:t>
      </w:r>
    </w:p>
    <w:p>
      <w:pPr>
        <w:spacing w:after="0" w:line="103" w:lineRule="exact"/>
        <w:rPr>
          <w:rFonts w:ascii="Times New Roman" w:cs="Times New Roman" w:eastAsia="Times New Roman" w:hAnsi="Times New Roman"/>
          <w:sz w:val="18"/>
          <w:szCs w:val="18"/>
          <w:color w:val="auto"/>
        </w:rPr>
      </w:pPr>
    </w:p>
    <w:p>
      <w:pPr>
        <w:ind w:left="1020" w:right="16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82"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our business or the business of our customers and suppliers, including changes that impact the design of our equipment and our ability to obtain required certifications for our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8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online (at period end)</w:t>
            </w: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60" w:type="dxa"/>
            <w:vAlign w:val="bottom"/>
          </w:tcPr>
          <w:p>
            <w:pPr>
              <w:spacing w:after="0"/>
              <w:rPr>
                <w:sz w:val="18"/>
                <w:szCs w:val="18"/>
                <w:color w:val="auto"/>
              </w:rPr>
            </w:pPr>
          </w:p>
        </w:tc>
      </w:tr>
      <w:tr>
        <w:trPr>
          <w:trHeight w:val="216"/>
        </w:trPr>
        <w:tc>
          <w:tcPr>
            <w:tcW w:w="6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6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connectivity service revenue per aircraft online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60" w:type="dxa"/>
            <w:vAlign w:val="bottom"/>
            <w:shd w:val="clear" w:color="auto" w:fill="CFF0FC"/>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sold</w:t>
            </w: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18"/>
                <w:szCs w:val="18"/>
                <w:color w:val="auto"/>
              </w:rPr>
            </w:pPr>
          </w:p>
        </w:tc>
      </w:tr>
      <w:tr>
        <w:trPr>
          <w:trHeight w:val="216"/>
        </w:trPr>
        <w:tc>
          <w:tcPr>
            <w:tcW w:w="6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Average equipment revenue per unit sold (in thousands)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shd w:val="clear" w:color="auto" w:fill="CFF0FC"/>
          </w:tcPr>
          <w:p>
            <w:pPr>
              <w:spacing w:after="0"/>
              <w:rPr>
                <w:sz w:val="18"/>
                <w:szCs w:val="18"/>
                <w:color w:val="auto"/>
              </w:rPr>
            </w:pPr>
          </w:p>
        </w:tc>
      </w:tr>
      <w:tr>
        <w:trPr>
          <w:trHeight w:val="23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Satellite</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0"/>
                <w:szCs w:val="20"/>
                <w:color w:val="auto"/>
              </w:rPr>
            </w:pPr>
          </w:p>
        </w:tc>
      </w:tr>
    </w:tbl>
    <w:p>
      <w:pPr>
        <w:spacing w:after="0" w:line="83" w:lineRule="exact"/>
        <w:rPr>
          <w:sz w:val="20"/>
          <w:szCs w:val="20"/>
          <w:color w:val="auto"/>
        </w:rPr>
      </w:pPr>
    </w:p>
    <w:p>
      <w:pPr>
        <w:ind w:left="1020" w:right="120" w:hanging="503"/>
        <w:spacing w:after="0" w:line="259"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ATG aircraft online. </w:t>
      </w:r>
      <w:r>
        <w:rPr>
          <w:rFonts w:ascii="Times New Roman" w:cs="Times New Roman" w:eastAsia="Times New Roman" w:hAnsi="Times New Roman"/>
          <w:sz w:val="18"/>
          <w:szCs w:val="18"/>
          <w:color w:val="auto"/>
        </w:rPr>
        <w:t>We define ATG aircraft online as the total number of business aircraft for which we provide ATG services as of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each period presented. This number excludes aircraft receiving ATG service as part of the ATG Network Sharing Agreement with Intelsat.</w:t>
      </w:r>
    </w:p>
    <w:p>
      <w:pPr>
        <w:spacing w:after="0" w:line="58"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Satellite aircraft online</w:t>
      </w:r>
      <w:r>
        <w:rPr>
          <w:rFonts w:ascii="Times New Roman" w:cs="Times New Roman" w:eastAsia="Times New Roman" w:hAnsi="Times New Roman"/>
          <w:sz w:val="18"/>
          <w:szCs w:val="18"/>
          <w:color w:val="auto"/>
        </w:rPr>
        <w:t>. We define satellite aircraft online as the total number of business aircraft for which we provide satellite services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last day of each period presented.</w:t>
      </w:r>
    </w:p>
    <w:p>
      <w:pPr>
        <w:spacing w:after="0" w:line="64" w:lineRule="exact"/>
        <w:rPr>
          <w:rFonts w:ascii="Times New Roman" w:cs="Times New Roman" w:eastAsia="Times New Roman" w:hAnsi="Times New Roman"/>
          <w:sz w:val="18"/>
          <w:szCs w:val="18"/>
          <w:color w:val="auto"/>
        </w:rPr>
      </w:pPr>
    </w:p>
    <w:p>
      <w:pPr>
        <w:ind w:left="1020" w:right="200" w:hanging="503"/>
        <w:spacing w:after="0" w:line="25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monthly connectivity service revenue per ATG aircraft online. </w:t>
      </w:r>
      <w:r>
        <w:rPr>
          <w:rFonts w:ascii="Times New Roman" w:cs="Times New Roman" w:eastAsia="Times New Roman" w:hAnsi="Times New Roman"/>
          <w:sz w:val="18"/>
          <w:szCs w:val="18"/>
          <w:color w:val="auto"/>
        </w:rPr>
        <w:t>We define average monthly connectivity service revenue per ATG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the ATG Network Sharing Agreement with Intelsat is excluded from this calculation.</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monthly connectivity service revenue per satellite aircraft online</w:t>
      </w:r>
      <w:r>
        <w:rPr>
          <w:rFonts w:ascii="Times New Roman" w:cs="Times New Roman" w:eastAsia="Times New Roman" w:hAnsi="Times New Roman"/>
          <w:sz w:val="18"/>
          <w:szCs w:val="18"/>
          <w:color w:val="auto"/>
        </w:rPr>
        <w:t>. We define average monthly connectivity service revenue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satellite aircraft online as the aggregate satellite connectivity service revenue for the period divided by the number of months in the period, divided by the number of satellite aircraft online during the period (expressed as an average of the month end figures for each month in such period).</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Units sold</w:t>
      </w:r>
      <w:r>
        <w:rPr>
          <w:rFonts w:ascii="Times New Roman" w:cs="Times New Roman" w:eastAsia="Times New Roman" w:hAnsi="Times New Roman"/>
          <w:sz w:val="18"/>
          <w:szCs w:val="18"/>
          <w:color w:val="auto"/>
        </w:rPr>
        <w:t>. We define units sold as the number of ATG or satellite units for which we recognized revenue during the period.</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7" w:name="page28"/>
    <w:bookmarkEnd w:id="27"/>
    <w:p>
      <w:pPr>
        <w:ind w:left="1020" w:hanging="503"/>
        <w:spacing w:after="0" w:line="284"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equipment revenue per ATG unit sold. </w:t>
      </w:r>
      <w:r>
        <w:rPr>
          <w:rFonts w:ascii="Times New Roman" w:cs="Times New Roman" w:eastAsia="Times New Roman" w:hAnsi="Times New Roman"/>
          <w:sz w:val="18"/>
          <w:szCs w:val="18"/>
          <w:color w:val="auto"/>
        </w:rPr>
        <w:t>We define average equipment revenue per ATG unit sold as the aggregate equipment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all ATG units sold during the period, divided by the number of ATG units sold.</w:t>
      </w:r>
    </w:p>
    <w:p>
      <w:pPr>
        <w:spacing w:after="0" w:line="36" w:lineRule="exact"/>
        <w:rPr>
          <w:rFonts w:ascii="Times New Roman" w:cs="Times New Roman" w:eastAsia="Times New Roman" w:hAnsi="Times New Roman"/>
          <w:sz w:val="18"/>
          <w:szCs w:val="18"/>
          <w:color w:val="auto"/>
        </w:rPr>
      </w:pPr>
    </w:p>
    <w:p>
      <w:pPr>
        <w:ind w:left="1020" w:right="180" w:hanging="503"/>
        <w:spacing w:after="0" w:line="26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equipment revenue per satellite unit sold</w:t>
      </w:r>
      <w:r>
        <w:rPr>
          <w:rFonts w:ascii="Times New Roman" w:cs="Times New Roman" w:eastAsia="Times New Roman" w:hAnsi="Times New Roman"/>
          <w:sz w:val="18"/>
          <w:szCs w:val="18"/>
          <w:color w:val="auto"/>
        </w:rPr>
        <w:t>. We define average equipment revenue per satellite unit sold as the aggregate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earned from all satellite units sold during the period, divided by the number of satellite units sold.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08"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key components of Unaudited Condensed Consolidated Statements of Operations as described in “Management’s Discussion and Analysis of Financial Condition and Results of Operations” (“MD&amp;A”) in our 2021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78"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the valuation allowance related to our deferred income tax assets have the greatest potential impact on and are the most critical to fully understanding and evaluating our reported financial results, and that they require our most difficult, subjective or complex judgments.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MD&amp;A in our 2021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3, “Recent Accounting Pronouncements,” to our Unaudited Condensed Consolidated Financial Statements for additional information.</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0"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354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25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5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92,750</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2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5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57,801</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5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settlement of convertible notes</w:t>
            </w:r>
          </w:p>
        </w:tc>
        <w:tc>
          <w:tcPr>
            <w:tcW w:w="2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5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(5,849 )</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25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2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(5,884 )</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net of tax</w:t>
            </w:r>
          </w:p>
        </w:tc>
        <w:tc>
          <w:tcPr>
            <w:tcW w:w="2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(1,801 )</w:t>
            </w: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500" w:type="dxa"/>
            <w:vAlign w:val="bottom"/>
          </w:tcPr>
          <w:p>
            <w:pPr>
              <w:spacing w:after="0"/>
              <w:rPr>
                <w:sz w:val="18"/>
                <w:szCs w:val="18"/>
                <w:color w:val="auto"/>
              </w:rPr>
            </w:pP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(7,685 )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50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1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-3470910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-3470910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-2356485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-2356485</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-2065020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-2065020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-1224915</wp:posOffset>
            </wp:positionV>
            <wp:extent cx="514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-1224915</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-942340</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-942340</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-659765</wp:posOffset>
            </wp:positionV>
            <wp:extent cx="51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-659765</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Revenue and percent change for the three-month periods ended March 31, 2022 and 2021 were as follows </w:t>
      </w:r>
      <w:r>
        <w:rPr>
          <w:rFonts w:ascii="Times New Roman" w:cs="Times New Roman" w:eastAsia="Times New Roman" w:hAnsi="Times New Roman"/>
          <w:sz w:val="18"/>
          <w:szCs w:val="18"/>
          <w:i w:val="1"/>
          <w:iCs w:val="1"/>
          <w:color w:val="auto"/>
        </w:rPr>
        <w:t>(in thousands, except for percent change)</w:t>
      </w:r>
      <w:r>
        <w:rPr>
          <w:rFonts w:ascii="Times New Roman" w:cs="Times New Roman" w:eastAsia="Times New Roman" w:hAnsi="Times New Roman"/>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59,355</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revenue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1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249"/>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Borders>
              <w:top w:val="single" w:sz="8" w:color="auto"/>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92,750</w:t>
            </w:r>
          </w:p>
        </w:tc>
        <w:tc>
          <w:tcPr>
            <w:tcW w:w="2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2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-25400</wp:posOffset>
            </wp:positionV>
            <wp:extent cx="431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431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431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431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1714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1714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7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increased to $92.8 million for the three-month period ended March 31, 2022, as compared with $73.9 million for the prior-year period, due to increases in both service and equipment revenue.</w:t>
      </w:r>
    </w:p>
    <w:p>
      <w:pPr>
        <w:spacing w:after="0" w:line="40"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Service revenue increased to $70.7 million for the three-month period ended March 31, 2022, as compared with $59.4 million for the prior-year period, primarily due to increases in ATG aircraft online and average monthly service revenue per aircraft online.</w:t>
      </w:r>
    </w:p>
    <w:p>
      <w:pPr>
        <w:spacing w:after="0" w:line="54"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Equipment revenue increased to $22.1 million for the three-month period ended March 31, 2022, as compared with $14.5 million for the prior-year period, primarily due to increases in the number of ATG units sold, with 246 units sold during the three-month period ended March 31, 2022, as compared with 135 units sold during the prior-year period.</w:t>
      </w:r>
    </w:p>
    <w:p>
      <w:pPr>
        <w:spacing w:after="0" w:line="6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expect service revenue to increase in the future as additional ATG aircraft come online and average monthly connectivity service revenue per ATG aircraft online increases. We expect equipment revenue to increase in the future as additional ATG units are sold.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06"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Cost of revenue and percent change for the three-month periods ended March 31, 2022 and 2021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8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72.4 %</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Cost of service revenue increased to $14.6 million for the three-month period ended March 31, 2022, as compared with $14.1 million for the prior-year period, primarily due to an increase in personnel costs.</w:t>
      </w:r>
    </w:p>
    <w:p>
      <w:pPr>
        <w:spacing w:after="0" w:line="4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expect cost of service revenue to increase over time, primarily due to service revenue growth and increasing ATG network costs associated with Gogo 5G.</w:t>
      </w:r>
    </w:p>
    <w:p>
      <w:pPr>
        <w:spacing w:after="0" w:line="6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Cost of equipment revenue increased to $14.3 million for the three-month period ended March 31, 2022, as compared with $8.3 million for the prior-year period, primarily due to an increase in ATG units sold.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cost of equipment revenue will increase with growth in ATG units sold.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Engineering, design and development expenses decreased to $5.4 million for the three-month period ended March 31, 2022, as compared with $5.5 million for the prior-year period, primarily due to a decrease in 5G development costs.</w:t>
      </w:r>
    </w:p>
    <w:p>
      <w:pPr>
        <w:spacing w:after="0" w:line="54"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expect engineering, design and development expenses as a percentage of service revenue to increase in the near term, driven by Gogo 5G development costs, and decrease over the long term as the level of investment decreases and revenue increases.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0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to $6.2 million for the three-month period ended March 31, 2022, as compared with $3.7 million for the prior-year period, primarily due to an increase in personnel and promotional and advertising expenses.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sales and marketing expenses as a percentage of service revenue to remain relatively flat in the future.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to $13.5 million for the three-month period ended March 31, 2022 as compared with $10.4 million for the prior-year period, primarily due to an increase in stock-based compensation and outside services.</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as a percentage of service revenue to decrease over time as the business grows given the relatively fixed cost nature of this operating expense category.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0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decreased to $3.8 million for the three-month period ended March 31, 2022, as compared with $4.1 million for the prior-year period, primarily due to the depreciation of network assets.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depreciation and amortization expense will increase in the future as we launch our Gogo 5G network.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06"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Other (income) expense and percent change for the three-month periods ended March 31, 2022 and 2021 were as follows </w:t>
      </w:r>
      <w:r>
        <w:rPr>
          <w:rFonts w:ascii="Times New Roman" w:cs="Times New Roman" w:eastAsia="Times New Roman" w:hAnsi="Times New Roman"/>
          <w:sz w:val="18"/>
          <w:szCs w:val="18"/>
          <w:i w:val="1"/>
          <w:iCs w:val="1"/>
          <w:color w:val="auto"/>
        </w:rPr>
        <w:t>(in thousands, 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 change)</w:t>
      </w:r>
      <w:r>
        <w:rPr>
          <w:rFonts w:ascii="Times New Roman" w:cs="Times New Roman" w:eastAsia="Times New Roman" w:hAnsi="Times New Roman"/>
          <w:sz w:val="18"/>
          <w:szCs w:val="18"/>
          <w:color w:val="auto"/>
        </w:rPr>
        <w:t>:</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0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22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settlement of convertible notes</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(26 )</w:t>
            </w:r>
          </w:p>
        </w:tc>
        <w:tc>
          <w:tcPr>
            <w:tcW w:w="4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(5 )</w:t>
            </w: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420.0 %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4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2057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2057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45"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Total other expense decreased to $10.8 million for the three-month period ended March 31, 2022, as compared with $33.6 million for the prior-year period, primarily due to lower interest expense as a result of the Refinancing as well as the prior-year period including the loss on settlement of convertible notes.</w:t>
      </w:r>
    </w:p>
    <w:p>
      <w:pPr>
        <w:spacing w:after="0" w:line="6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expect our interest expense to decrease in the future following the maturity of the remaining 2022 Convertible Notes. See Note 9, “Long-Term Debt and Other Liabilities,” to our Unaudited Condensed Consolidated Financial Statements for additional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The effective income tax rates for the three-month periods ended March 31, 2022 and 2021 were 8.0% and (0.6)%, respectively. For the three-month period ended March 31, 2022, our income tax expense was $1.9 million primarily due to pre-tax income, partially offset by the tax benefits for stock-based compensation and a partial release of the valuation allowance on our deferred income tax assets. For the three-month period ended March 31, 2021, our income tax expense was not significant primarily due to the full valuation allowance against our net deferred tax assets. See Note 15, “Income Tax,” to our Unaudited Condensed Consolidated Financial Statements for additional information.</w:t>
      </w:r>
    </w:p>
    <w:p>
      <w:pPr>
        <w:spacing w:after="0" w:line="6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expect our income tax provision to increase in the long term as we generate positive pre-tax income, which may be offset by reversals of our valuation allowance within the next twelve to eighteen months.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our discussion below, we discuss Adjusted EBITDA and Free Cash Flow, as defined below, which are non-GAAP financial measures.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Adjusted EBITDA and Free Cash Flow are not recognized measurements under GAAP; when analyzing our performance with Adjusted EBITDA or liquidity with Free Cash Flow, as applicable, investors should (i) evaluate each adjustment in our reconciliation to the corresponding GAAP measure, and the explanatory footnotes regarding those adjustments, (ii) use Adjusted EBITDA in addition to, and not as an alternative to, net income (loss) attributable to common stock as a measure of operating results and (iii) use Free Cash Flow in addition to, and not as an alternative to, consolidated net cash provided by operating activities when evaluating our liquidity.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1" w:name="page32"/>
    <w:bookmarkEnd w:id="31"/>
    <w:p>
      <w:pPr>
        <w:ind w:left="380"/>
        <w:spacing w:after="0"/>
        <w:rPr>
          <w:sz w:val="20"/>
          <w:szCs w:val="20"/>
          <w:color w:val="auto"/>
        </w:rPr>
      </w:pPr>
      <w:r>
        <w:rPr>
          <w:rFonts w:ascii="Times New Roman" w:cs="Times New Roman" w:eastAsia="Times New Roman" w:hAnsi="Times New Roman"/>
          <w:sz w:val="18"/>
          <w:szCs w:val="18"/>
          <w:i w:val="1"/>
          <w:iCs w:val="1"/>
          <w:color w:val="auto"/>
        </w:rPr>
        <w:t>Definition and Reconciliation of Non-GAAP Measures</w:t>
      </w:r>
    </w:p>
    <w:p>
      <w:pPr>
        <w:spacing w:after="0" w:line="11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represents net income (loss) attributable to common stock before interest expense, interest income, income taxes and depreciation and amortization expense.</w:t>
      </w:r>
    </w:p>
    <w:p>
      <w:pPr>
        <w:spacing w:after="0" w:line="54"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represents EBITDA adjusted for (i) stock-based compensation expense included in the results of continuing operations, (ii) the results of discontinued operations, including stock-based compensation expense, (iii) loss on settlement of convertible notes and (iv) separation costs related to the sale of CA.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7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life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92"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results of our discontinued operations from Adjusted EBITDA because they are not part of our ongoing operations.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loss on settlement of convertible notes from Adjusted EBITDA because this activity is not related to our operating performance.</w:t>
      </w:r>
    </w:p>
    <w:p>
      <w:pPr>
        <w:spacing w:after="0" w:line="40"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separation costs related to the sale of CA from Adjusted EBITDA for the three-month period ended March 31, 2021 because of the non-recurring nature of this activity.</w:t>
      </w:r>
    </w:p>
    <w:p>
      <w:pPr>
        <w:spacing w:after="0" w:line="6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spacing w:after="0" w:line="69" w:lineRule="exact"/>
        <w:rPr>
          <w:sz w:val="20"/>
          <w:szCs w:val="20"/>
          <w:color w:val="auto"/>
        </w:rPr>
      </w:pPr>
    </w:p>
    <w:p>
      <w:pPr>
        <w:ind w:right="340" w:firstLine="562"/>
        <w:spacing w:after="0" w:line="282" w:lineRule="auto"/>
        <w:rPr>
          <w:sz w:val="20"/>
          <w:szCs w:val="20"/>
          <w:color w:val="auto"/>
        </w:rPr>
      </w:pPr>
      <w:r>
        <w:rPr>
          <w:rFonts w:ascii="Times New Roman" w:cs="Times New Roman" w:eastAsia="Times New Roman" w:hAnsi="Times New Roman"/>
          <w:sz w:val="18"/>
          <w:szCs w:val="18"/>
          <w:u w:val="single" w:color="auto"/>
          <w:color w:val="auto"/>
        </w:rPr>
        <w:t>Free Cash Flow</w:t>
      </w:r>
      <w:r>
        <w:rPr>
          <w:rFonts w:ascii="Times New Roman" w:cs="Times New Roman" w:eastAsia="Times New Roman" w:hAnsi="Times New Roman"/>
          <w:sz w:val="18"/>
          <w:szCs w:val="18"/>
          <w:color w:val="auto"/>
        </w:rPr>
        <w:t xml:space="preserve"> represents net cash provided by operating activities, less purchases of property and equipment and the acquisition of intangible assets. We believe that Free Cash Flow provides meaningful information regarding our liquidity.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0" w:right="359" w:bottom="1440" w:gutter="0" w:footer="0" w:header="0"/>
        </w:sectPr>
      </w:pPr>
    </w:p>
    <w:bookmarkStart w:id="32" w:name="page33"/>
    <w:bookmarkEnd w:id="32"/>
    <w:p>
      <w:pPr>
        <w:ind w:left="5240"/>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2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common stock (GAAP)</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(7,685 )</w:t>
            </w: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80" w:type="dxa"/>
            <w:vAlign w:val="bottom"/>
          </w:tcPr>
          <w:p>
            <w:pPr>
              <w:spacing w:after="0"/>
              <w:rPr>
                <w:sz w:val="18"/>
                <w:szCs w:val="18"/>
                <w:color w:val="auto"/>
              </w:rPr>
            </w:pPr>
          </w:p>
        </w:tc>
      </w:tr>
      <w:tr>
        <w:trPr>
          <w:trHeight w:val="209"/>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EBITDA</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25,704</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settlement of convertible notes</w:t>
            </w:r>
          </w:p>
        </w:tc>
        <w:tc>
          <w:tcPr>
            <w:tcW w:w="10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Separation costs related to CA sale</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FF0FC"/>
          </w:tcPr>
          <w:p>
            <w:pPr>
              <w:spacing w:after="0"/>
              <w:rPr>
                <w:sz w:val="18"/>
                <w:szCs w:val="18"/>
                <w:color w:val="auto"/>
              </w:rPr>
            </w:pPr>
          </w:p>
        </w:tc>
      </w:tr>
      <w:tr>
        <w:trPr>
          <w:trHeight w:val="209"/>
        </w:trPr>
        <w:tc>
          <w:tcPr>
            <w:tcW w:w="7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42,773</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33,896</w:t>
            </w:r>
          </w:p>
        </w:tc>
        <w:tc>
          <w:tcPr>
            <w:tcW w:w="8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 (GAAP)</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24,574</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(9,055 )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(702 )</w:t>
            </w:r>
          </w:p>
        </w:tc>
      </w:tr>
      <w:tr>
        <w:trPr>
          <w:trHeight w:val="209"/>
        </w:trPr>
        <w:tc>
          <w:tcPr>
            <w:tcW w:w="7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Free cash flow</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23,872</w:t>
            </w:r>
          </w:p>
        </w:tc>
        <w:tc>
          <w:tcPr>
            <w:tcW w:w="8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-890905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-890905</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Material limitations of Non-GAAP measures</w:t>
      </w:r>
    </w:p>
    <w:p>
      <w:pPr>
        <w:spacing w:after="0" w:line="10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include:</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income or expense;</w:t>
      </w:r>
    </w:p>
    <w:p>
      <w:pPr>
        <w:spacing w:after="0" w:line="10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cash requirements for our income taxes;</w:t>
      </w:r>
    </w:p>
    <w:p>
      <w:pPr>
        <w:spacing w:after="0" w:line="10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components of employee compensation;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results of discontinued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three-month period ended March 31, 2021 does not reflect the separation costs related to the sale of CA;</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loss on settlement of convertible notes;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increase or decrease in our cash balance for the period; and</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other companies in our or related industries may calculate these measures differently from the way we do, their usefulness as comparative measures may be limited.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 activity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56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Continuing operations cash flow activity:</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24,574</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(9,055 )</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(702 )</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(1,879 )</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(3,320 )</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Discontinued operations cash flow activity</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(748 )</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2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146,268</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435,870</w:t>
            </w:r>
          </w:p>
        </w:tc>
        <w:tc>
          <w:tcPr>
            <w:tcW w:w="100" w:type="dxa"/>
            <w:vAlign w:val="bottom"/>
          </w:tcPr>
          <w:p>
            <w:pPr>
              <w:spacing w:after="0"/>
              <w:rPr>
                <w:sz w:val="18"/>
                <w:szCs w:val="18"/>
                <w:color w:val="auto"/>
              </w:rPr>
            </w:pPr>
          </w:p>
        </w:tc>
      </w:tr>
      <w:tr>
        <w:trPr>
          <w:trHeight w:val="249"/>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153,184</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153,184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455,677</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current restricted cash</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152,829</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455,152</w:t>
            </w:r>
          </w:p>
        </w:tc>
        <w:tc>
          <w:tcPr>
            <w:tcW w:w="100" w:type="dxa"/>
            <w:vAlign w:val="bottom"/>
            <w:tcBorders>
              <w:top w:val="single" w:sz="8" w:color="CFF0FC"/>
            </w:tcBorders>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-745490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-728345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-745490</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-728345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6" w:lineRule="exact"/>
        <w:rPr>
          <w:sz w:val="20"/>
          <w:szCs w:val="20"/>
          <w:color w:val="auto"/>
        </w:rPr>
      </w:pPr>
    </w:p>
    <w:p>
      <w:pPr>
        <w:ind w:right="20" w:firstLine="509"/>
        <w:spacing w:after="0" w:line="230" w:lineRule="auto"/>
        <w:rPr>
          <w:sz w:val="20"/>
          <w:szCs w:val="20"/>
          <w:color w:val="auto"/>
        </w:rPr>
      </w:pPr>
      <w:r>
        <w:rPr>
          <w:rFonts w:ascii="Times New Roman" w:cs="Times New Roman" w:eastAsia="Times New Roman" w:hAnsi="Times New Roman"/>
          <w:sz w:val="18"/>
          <w:szCs w:val="18"/>
          <w:color w:val="auto"/>
        </w:rPr>
        <w:t>We have historically financed our growth and cash needs primarily through the issuance of common stock, non-convertible debt, senior convertible preferred stock, convertible debt, credit facilities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0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Based on our current plans, we expect our cash and cash equivalents, cash flows provided by operating activities and access to capital markets will be sufficient to meet the cash requirements of our business, including capital expenditure requirements and debt maturities, for at least the next twelve months and thereafter for the foreseeable future.</w:t>
      </w:r>
    </w:p>
    <w:p>
      <w:pPr>
        <w:spacing w:after="0" w:line="6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As detailed in Note 9, “Long-Term Debt and Other Liabilities,” to our Unaudited Condensed Consolidated Financial Statements,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 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72"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 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For the three-month period ended March 31, 2022, the fee for unused commitments under the Revolving Facility was 0.25%.</w:t>
      </w:r>
    </w:p>
    <w:p>
      <w:pPr>
        <w:spacing w:after="0" w:line="7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 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34" w:name="page35"/>
    <w:bookmarkEnd w:id="34"/>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1"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87" w:lineRule="exact"/>
        <w:rPr>
          <w:sz w:val="20"/>
          <w:szCs w:val="20"/>
          <w:color w:val="auto"/>
        </w:rPr>
      </w:pPr>
    </w:p>
    <w:p>
      <w:pPr>
        <w:jc w:val="both"/>
        <w:ind w:right="20" w:firstLine="509"/>
        <w:spacing w:after="0" w:line="246" w:lineRule="auto"/>
        <w:rPr>
          <w:sz w:val="20"/>
          <w:szCs w:val="20"/>
          <w:color w:val="auto"/>
        </w:rPr>
      </w:pPr>
      <w:r>
        <w:rPr>
          <w:rFonts w:ascii="Times New Roman" w:cs="Times New Roman" w:eastAsia="Times New Roman" w:hAnsi="Times New Roman"/>
          <w:sz w:val="18"/>
          <w:szCs w:val="18"/>
          <w:color w:val="auto"/>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the other fees and expenses incurred in connection with the Refinancing and the Facilities. The Revolving Facility is available for working capital and general corporate purposes of GIH and its subsidiaries and was undrawn as of March 31, 2022 and December 31, 2021.</w:t>
      </w:r>
    </w:p>
    <w:p>
      <w:pPr>
        <w:spacing w:after="0" w:line="73"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2022 Convertible Notes mature on May 15, 2022, unless earlier converted to shares of our common stock. In November 2021, we informed the trustee under the indenture governing the 2022 Convertible Notes that we intend to settle any conversions of the 2022 Convertible Notes occurring after November 15, 2021 in shares of our common stock. To the extent any 2022 Convertible Notes remain outstanding at maturity, we currently expect to pay such principal amount through cash on hand.</w:t>
      </w:r>
    </w:p>
    <w:p>
      <w:pPr>
        <w:spacing w:after="0" w:line="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2021 Credit Agreement and 2022 Convertibles Notes, see Note 9, “Long-Term Debt and Other Liabilities,” to our Unaudited Condensed Consolidated Financial Statements.</w:t>
      </w:r>
    </w:p>
    <w:p>
      <w:pPr>
        <w:spacing w:after="0" w:line="54"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We receive payments in the amounts calculated pursuant to the caps for any period in which the three-month USD LIBOR rate increases beyond the applicable strike rate. The termination date of the cap agreements is July 31, 2027. The notional amounts of the interest rate caps periodically decrease over the life of the caps.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7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interest rate caps, see Note 10, “Derivative Instruments and Hedging Activities,” to our Unaudited Condensed Consolidated Financial Statements.</w:t>
      </w:r>
    </w:p>
    <w:p>
      <w:pPr>
        <w:spacing w:after="0" w:line="40"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Consistent with our capital allocation strategy, and given our cash position and the upcoming maturity of the 2022 Convertible Notes, we are evaluating the return of capital to our stockholders, which may take the form of stock repurchases. The implementation of any capital allocation policy, including any declaration of stock repurchases or other distributions, will be at the discretion of, and subject to the approval by, our Board of Directors and will depend on our financial condition, earnings, liquidity and capital requirements, level of indebtedness, contractual restrictions, restrictions imposed by Delaware law, general business conditions and any other factors that our Board of Directors deems relevant in making any such determination. Therefore, there can be no assurance that we will make any stock repurchases or make other distributions or returns on our common stock, or as to the amount of any such stock repurchases, distributions or returns of capital.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flows from operating activities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 and credits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(15,350 )</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24,574</w:t>
            </w:r>
          </w:p>
        </w:tc>
        <w:tc>
          <w:tcPr>
            <w:tcW w:w="10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4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-659130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-659130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three-month period ended March 31, 2022, net cash provided by operating activities was $17.9 million as compared with net cash provided by operating activities of $24.6 million in the prior-year period. The principal contributors to the year-over-year change in operating cash flows were:</w:t>
      </w:r>
    </w:p>
    <w:p>
      <w:pPr>
        <w:spacing w:after="0" w:line="6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$26.9 million improvement in net income (loss) and non-cash charges and credits, as noted above under “—Results of Operations.”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$33.6 million decrease in cash flows related to operating assets and liabilities resulting from:</w:t>
      </w:r>
    </w:p>
    <w:p>
      <w:pPr>
        <w:spacing w:after="0" w:line="10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decrease in cash flows due to the following:</w:t>
      </w:r>
    </w:p>
    <w:p>
      <w:pPr>
        <w:spacing w:after="0" w:line="117" w:lineRule="exact"/>
        <w:rPr>
          <w:rFonts w:ascii="Times New Roman" w:cs="Times New Roman" w:eastAsia="Times New Roman" w:hAnsi="Times New Roman"/>
          <w:sz w:val="18"/>
          <w:szCs w:val="18"/>
          <w:color w:val="auto"/>
        </w:rPr>
      </w:pPr>
    </w:p>
    <w:p>
      <w:pPr>
        <w:ind w:left="2380" w:right="160" w:hanging="500"/>
        <w:spacing w:after="0" w:line="266" w:lineRule="auto"/>
        <w:tabs>
          <w:tab w:leader="none" w:pos="2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interest primarily due to the timing of interest payments as compared with the prior-year and lower interest expense resulting from the Refinancing;</w:t>
      </w:r>
    </w:p>
    <w:p>
      <w:pPr>
        <w:spacing w:after="0" w:line="54"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receivable due to higher revenue; and</w:t>
      </w:r>
    </w:p>
    <w:p>
      <w:pPr>
        <w:spacing w:after="0" w:line="103"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inventories due to additional purchases to meet increased demand.</w:t>
      </w:r>
    </w:p>
    <w:p>
      <w:pPr>
        <w:spacing w:after="0" w:line="117" w:lineRule="exact"/>
        <w:rPr>
          <w:sz w:val="20"/>
          <w:szCs w:val="20"/>
          <w:color w:val="auto"/>
        </w:rPr>
      </w:pPr>
    </w:p>
    <w:p>
      <w:pPr>
        <w:ind w:left="1540" w:hanging="513"/>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an increase in cash flows from changes in accrued liabilities primarily due to the timing of payments.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three-month period ended March 31, 2022, our Free Cash Flow decreased to $8.8 million as compared to $23.9 million for the prior-year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08"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is primarily for capital expenditures related to cell site construction, software development, and data center upgrades, see “— Capital Expenditures”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0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three-month period ended March 31, 2022 was $1.9 million primarily due to principal payments on the Term Loan Facility.</w:t>
      </w:r>
    </w:p>
    <w:p>
      <w:pPr>
        <w:spacing w:after="0" w:line="6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three-month period ended March 31, 2021 was $3.3 million primarily due to stock-based compensation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operations require capital expenditures associated with our ATG network and data centers. We capitalize software development costs related to network technology solutions. We also capitalize costs related to the build out of our office locations.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 expenditures for the three-month periods ended March 31, 2022 and 2021 were $9.1 million and $0.7 million, respectively.</w:t>
      </w:r>
    </w:p>
    <w:p>
      <w:pPr>
        <w:spacing w:after="0" w:line="10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expect that our capital expenditures will increase in the near-term as we build out Gogo 5G and further invest in capitalized software and decrease substantially after the Gogo 5G build out is completed.</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right="22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12, “Leases,” to our Unaudited Condensed Consolidated Financial Statements for additional information.</w:t>
      </w:r>
    </w:p>
    <w:p>
      <w:pPr>
        <w:spacing w:after="0" w:line="5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Indemnifications and Guarantees</w:t>
      </w:r>
      <w:r>
        <w:rPr>
          <w:rFonts w:ascii="Times New Roman" w:cs="Times New Roman" w:eastAsia="Times New Roman" w:hAnsi="Times New Roman"/>
          <w:sz w:val="18"/>
          <w:szCs w:val="18"/>
          <w:color w:val="auto"/>
        </w:rPr>
        <w:t>: In accordance with Delaware law, we indemnify our officers and directors for certain events or occurrences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81"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69"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March 31, 2022 and December 31, 2021 included amounts in bank deposit accounts and money market funds, and we did not have any short-term investments as of either such date. We believe that a change in average interest rates would not affect our interest income and results of operations by a material amount.</w:t>
      </w:r>
    </w:p>
    <w:p>
      <w:pPr>
        <w:spacing w:after="0" w:line="73" w:lineRule="exact"/>
        <w:rPr>
          <w:sz w:val="20"/>
          <w:szCs w:val="20"/>
          <w:color w:val="auto"/>
        </w:rPr>
      </w:pPr>
    </w:p>
    <w:p>
      <w:pPr>
        <w:jc w:val="both"/>
        <w:ind w:right="500" w:firstLine="509"/>
        <w:spacing w:after="0" w:line="250" w:lineRule="auto"/>
        <w:rPr>
          <w:sz w:val="20"/>
          <w:szCs w:val="20"/>
          <w:color w:val="auto"/>
        </w:rPr>
      </w:pPr>
      <w:r>
        <w:rPr>
          <w:rFonts w:ascii="Times New Roman" w:cs="Times New Roman" w:eastAsia="Times New Roman" w:hAnsi="Times New Roman"/>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80"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interest rate risk on our variable rate indebtedness, which includes borrowings under the Term Loan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March 31, 2022, we had interest rate cap agreements to hedge a portion of our exposure to interest rate movements of our variable rate debt and to manage our interest expense. We receive payments in the amounts calculated pursuant to the caps for any period in which the three-month USD LIBOR rate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75"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notional amount of outstanding debt associated with interest rate cap agreements as of March 31, 2022 was $650.0 million. Based on our March 31, 2022 outstanding variable rate debt balance, a hypothetical one percentage point increase in the three-month LIBOR interest rate would impact our annual interest expense by approximately $0.7 million, which includes the impact of our interest rate caps at a strike rate of 0.75%. Excluding the impact of our interest rate caps, a hypothetical one percentage point increase in the three-month LIBOR interest rate would impact our annual interest expense by approximately $7.2 million. A hypothetical one percentage point decrease in the three-month LIBOR interest rate would impact our annual interest expense by an immaterial amount due to the LIBOR floor of 0.75% in our Term Loan Facility.</w:t>
      </w:r>
    </w:p>
    <w:p>
      <w:pPr>
        <w:spacing w:after="0" w:line="7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earnings are affected by changes in interest rates due to the impact those changes have on interest income generated from our cash and cash equivalents. Our cash and cash equivalents as of both March 31, 2022 and December 31, 2021 included amounts in bank deposit accounts and money market funds. We believe we have minimal interest rate risk related to our cash and cash equivalents, as a 10% decrease in the average interest rate on our portfolio would have reduced interest income for the three-month periods ended March 31, 2022 and 2021 by immaterial amounts.</w:t>
      </w:r>
    </w:p>
    <w:p>
      <w:pPr>
        <w:spacing w:after="0" w:line="67" w:lineRule="exact"/>
        <w:rPr>
          <w:sz w:val="20"/>
          <w:szCs w:val="20"/>
          <w:color w:val="auto"/>
        </w:rPr>
      </w:pPr>
    </w:p>
    <w:p>
      <w:pPr>
        <w:ind w:right="62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do not believe that inflation has had a material effect on our results of operations. However, there can be no assurance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will not be affected by inflation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90" w:lineRule="exact"/>
        <w:rPr>
          <w:sz w:val="20"/>
          <w:szCs w:val="20"/>
          <w:color w:val="auto"/>
        </w:rPr>
      </w:pPr>
    </w:p>
    <w:p>
      <w:pPr>
        <w:ind w:right="280" w:firstLine="509"/>
        <w:spacing w:after="0" w:line="236"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March 31, 2022. Based upon this evaluation, our Chief Executive Officer and the Chief Financial Officer have concluded that our disclosure controls and procedures were effective as of March 31, 2022.</w:t>
      </w:r>
    </w:p>
    <w:p>
      <w:pPr>
        <w:spacing w:after="0" w:line="7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90" w:lineRule="exact"/>
        <w:rPr>
          <w:sz w:val="20"/>
          <w:szCs w:val="20"/>
          <w:color w:val="auto"/>
        </w:rPr>
      </w:pPr>
    </w:p>
    <w:p>
      <w:pPr>
        <w:jc w:val="both"/>
        <w:ind w:right="140" w:firstLine="509"/>
        <w:spacing w:after="0" w:line="236"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7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lawsuits arising out of the conduct of our business. See Note 13, “Commitments and Contingencies,” to our Unaudited Condensed Consolidated Financial Statements for a discussion of litigation matters.</w:t>
      </w:r>
    </w:p>
    <w:p>
      <w:pPr>
        <w:spacing w:after="0" w:line="5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14"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“Item 1A. Risk Factors” of our Form 10-K includes a discussion of our risk factors. The information presented below updates, and should be read in conjunction with, the risk factors and information disclosed in our 2021 10-K. Except as set forth below, there have been no material changes to the risk factors previously disclosed in our 2021 10-K.</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or delayed in developing and deploying Gogo 5G or other next generation technologies.</w:t>
      </w:r>
    </w:p>
    <w:p>
      <w:pPr>
        <w:spacing w:after="0" w:line="108"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 xml:space="preserve">We are currently developing a next generation ATG network using 5G technology and unlicensed spectrum, which we intend to launch on a commercial, nationwide basis in the second half of 2022. Gogo 5G will be capable of working with different spectrum and supporting different next generation technologies. There can be no assurance that we will launch Gogo 5G or any other next generation technology in sufficient time to meet growing user expectations regarding the in-flight connectivity experience and to effectively compete in the business aviation market, due to, among other things, risks associated with: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 As disclosed in the 2021 10-K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The COVID-19 pandemic and the measures implemented to combat it have had, and may continue to have, a material adverse effect on our business,” </w:t>
      </w:r>
      <w:r>
        <w:rPr>
          <w:rFonts w:ascii="Times New Roman" w:cs="Times New Roman" w:eastAsia="Times New Roman" w:hAnsi="Times New Roman"/>
          <w:sz w:val="18"/>
          <w:szCs w:val="18"/>
          <w:color w:val="auto"/>
        </w:rPr>
        <w:t>we have experienced longer lead times and encountered delays in obtaining certain electronic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our business. For instance, manufacturing issues with respect to a component necessitated manufacturing process revisions and additional testing, which delayed the delivery date for this component, and the supplier of the component has informed us that the component is taking longer than expected to manufacture, which will further delay delivery. In addition, our principal 5G supplier subcontracts with contract manufacturers located in China for the manufacture of certain components, and COVID-19- related restrictions recently imposed by the Chinese government are causing delays in the delivery of such components. We believe that we can accommodate these delays without affecting our service launch, but the repeated compression of our schedule resulting from such delays could limit our ability to preserve the current schedule should other significant issues arise. If Gogo 5G or any other next generation technology fails to perform as expected or its commercial availability is significantly delayed as compared to the timelines we establish, our ability to meet users' expectations regarding our systems' performance and to effectively compete in our market may be impaired and our business, financial condition and results of operations may be materially adversely affected.</w:t>
      </w:r>
    </w:p>
    <w:p>
      <w:pPr>
        <w:spacing w:after="0" w:line="86" w:lineRule="exact"/>
        <w:rPr>
          <w:sz w:val="20"/>
          <w:szCs w:val="20"/>
          <w:color w:val="auto"/>
        </w:rPr>
      </w:pPr>
    </w:p>
    <w:p>
      <w:pPr>
        <w:ind w:right="66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misappropriation or other violations by us of their intellectual property rights could result in significant costs and materially adversely affect our business and results of operations.</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recent years, there has been significant litigation involving intellectual property rights in many technology-based industries, including the wireless communications industry. Many companies, including our competitors, are devoting significant resources to obtaining patents that could potentially cover many aspects of our business. While we have reviewed the patent portfolios of certain competitors and other third parties, we have not exhaustively searched all patents relevant to our technologies and business and therefore it is possible that we may be unknowingly infringing the patents of others. We are currently facing, and may in the future face, claims that we or a supplier have violated patent, trademark or other intellectual property rights of third parties. A competitor recently filed a patent infringement suit against us and is seeking a preliminary injunction, which, if granted, would prevent us from proceeding with Gogo 5G until the infringement suit is resolved. Adverse results in this or other infringement suits could require us to develop non-infringing technology, pay damages, enter into royalty or licensing agreements, cease providing certain products or services, adjust our sales, marketing and advertising activities or take other actions to resolve the claims. These actions, if required, may be costly or unavailable on terms acceptable to us. Even if we are successful in defending these claims, such litigation may be time-consuming and costly, divert management resources and could adversely affect our business relating to such disputed technology during its pendency. Any infringement, misappropriation or related claims, whether or not meritorious and whether or not they result in litigation, are time-consuming, divert technical and management personnel and are costly to resolve.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39" w:name="page40"/>
    <w:bookmarkEnd w:id="39"/>
    <w:p>
      <w:pPr>
        <w:ind w:firstLine="509"/>
        <w:spacing w:after="0" w:line="247" w:lineRule="auto"/>
        <w:rPr>
          <w:sz w:val="20"/>
          <w:szCs w:val="20"/>
          <w:color w:val="auto"/>
        </w:rPr>
      </w:pPr>
      <w:r>
        <w:rPr>
          <w:rFonts w:ascii="Times New Roman" w:cs="Times New Roman" w:eastAsia="Times New Roman" w:hAnsi="Times New Roman"/>
          <w:sz w:val="18"/>
          <w:szCs w:val="18"/>
          <w:color w:val="auto"/>
        </w:rPr>
        <w:t>Pursuant to our contracts with certain customers, we have agreed to indemnify such customers against such claims, and our indemnification obligations generally include defending or paying for the defense of the action and paying any judgments or other costs assessed against the customer in the event of an adverse outcome. In most cases, our contracts do not cap our indemnification obligations. In addition, certain of our suppliers do not indemnify us for third-party infringement or misappropriation claims arising from our use of supplier technology, and we may be liable in the event of such claims. Our inability to meet our indemnification obligations and our customers terminating or failing to renew their contracts may have a material adverse effect on our business and financial condition.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1140" w:right="7019" w:hanging="758"/>
        <w:spacing w:after="0" w:line="360" w:lineRule="auto"/>
        <w:tabs>
          <w:tab w:leader="none" w:pos="765"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ind w:left="760" w:hanging="378"/>
        <w:spacing w:after="0"/>
        <w:tabs>
          <w:tab w:leader="none" w:pos="76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Proceeds from Public Offering of Common Stock</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8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15"/>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Amendment No. 2 to the Registration Rights Agreement, dated as of March 2, 2022, by and among Gogo Inc., Silver (XII) Holdings,</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LLC and Silver (Equity) Holdings LP (incorporated by reference to Exhibit 4.10 to Form 10-K filed on March 3, 2022 (File No. 001-</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6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00" w:type="dxa"/>
            <w:vAlign w:val="bottom"/>
          </w:tcPr>
          <w:p>
            <w:pPr>
              <w:spacing w:after="0" w:line="169" w:lineRule="exact"/>
              <w:rPr>
                <w:rFonts w:ascii="Times New Roman" w:cs="Times New Roman" w:eastAsia="Times New Roman" w:hAnsi="Times New Roman"/>
                <w:sz w:val="18"/>
                <w:szCs w:val="18"/>
                <w:color w:val="0000FF"/>
                <w:w w:val="98"/>
              </w:rPr>
            </w:pPr>
            <w:hyperlink r:id="rId290">
              <w:r>
                <w:rPr>
                  <w:rFonts w:ascii="Times New Roman" w:cs="Times New Roman" w:eastAsia="Times New Roman" w:hAnsi="Times New Roman"/>
                  <w:sz w:val="18"/>
                  <w:szCs w:val="18"/>
                  <w:color w:val="0000FF"/>
                  <w:w w:val="98"/>
                </w:rPr>
                <w:t>35975)</w:t>
              </w:r>
              <w:r>
                <w:rPr>
                  <w:rFonts w:ascii="Times New Roman" w:cs="Times New Roman" w:eastAsia="Times New Roman" w:hAnsi="Times New Roman"/>
                  <w:sz w:val="18"/>
                  <w:szCs w:val="18"/>
                  <w:u w:val="single" w:color="auto"/>
                  <w:color w:val="0000FF"/>
                  <w:w w:val="98"/>
                </w:rPr>
                <w:t>)</w:t>
              </w:r>
            </w:hyperlink>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Amendment No. 1, dated March 25, 2022, to the Employment Agreement between Gogo Business Aviation LLC, as assignee of Gogo</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LLC (f/k/a Aircell LLC), and Oakleigh Thorne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0" w:type="dxa"/>
            <w:vAlign w:val="bottom"/>
            <w:tcBorders>
              <w:left w:val="single" w:sz="8" w:color="0000EE"/>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Amendment No. 1, dated March 25, 2022, to the Employment Agreement between Gogo Business Aviation LLC, as assignee of Gogo</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LLC (f/k/a Aircell LLC), and Barry Rowan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Amendment No. 1, dated March 25, 2022, to the Employment Agreement between Gogo Business Aviation LLC and Sergio Aguirre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Amendment No. 3, dated March 25, 2022, to the Employment Agreement between Gogo Business Aviation LLC, as assignee of Gogo</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LLC (f/k/a Aircell LLC), and Marguerite Elias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Amendment No. 1, dated March 25, 2022, to the Employment Agreement between Gogo Business Aviation LLC, as assignee of Gogo</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LLC (f/k/a Aircell LLC), and Karen Jackson</w:t>
            </w:r>
          </w:p>
        </w:tc>
        <w:tc>
          <w:tcPr>
            <w:tcW w:w="20" w:type="dxa"/>
            <w:vAlign w:val="bottom"/>
            <w:tcBorders>
              <w:top w:val="single" w:sz="8" w:color="0000FF"/>
              <w:bottom w:val="single" w:sz="8" w:color="0000EE"/>
            </w:tcBorders>
          </w:tcPr>
          <w:p>
            <w:pPr>
              <w:spacing w:after="0"/>
              <w:rPr>
                <w:sz w:val="14"/>
                <w:szCs w:val="14"/>
                <w:color w:val="auto"/>
              </w:rPr>
            </w:pPr>
          </w:p>
        </w:tc>
        <w:tc>
          <w:tcPr>
            <w:tcW w:w="648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 302 of</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74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Rules 13a-14(a) and 15d-14(a), as adopted pursuant to Section 302 of</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32.1 *</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740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860" w:type="dxa"/>
            <w:vAlign w:val="bottom"/>
            <w:gridSpan w:val="9"/>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32.2 *</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8860" w:type="dxa"/>
            <w:vAlign w:val="bottom"/>
            <w:gridSpan w:val="9"/>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2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91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2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2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60" w:hanging="820"/>
        <w:spacing w:after="0"/>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71" w:lineRule="exact"/>
        <w:rPr>
          <w:rFonts w:ascii="Times New Roman" w:cs="Times New Roman" w:eastAsia="Times New Roman" w:hAnsi="Times New Roman"/>
          <w:sz w:val="18"/>
          <w:szCs w:val="18"/>
          <w:color w:val="auto"/>
        </w:rPr>
      </w:pPr>
    </w:p>
    <w:p>
      <w:pPr>
        <w:ind w:right="4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2" w:name="page43"/>
    <w:bookmarkEnd w:id="4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as amended, the registrant has duly caused this report to be signed on its behalf by the undersigned thereunto duly authorized.</w:t>
      </w:r>
    </w:p>
    <w:p>
      <w:pPr>
        <w:spacing w:after="0" w:line="35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Gogo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5, 2022</w:t>
      </w:r>
    </w:p>
    <w:p>
      <w:pPr>
        <w:spacing w:after="0" w:line="35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8890</wp:posOffset>
            </wp:positionV>
            <wp:extent cx="34721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19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Oakleigh Thorne</w:t>
      </w:r>
    </w:p>
    <w:p>
      <w:pPr>
        <w:spacing w:after="0" w:line="19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8890</wp:posOffset>
            </wp:positionV>
            <wp:extent cx="34721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Barry Rowan</w:t>
      </w:r>
    </w:p>
    <w:p>
      <w:pPr>
        <w:spacing w:after="0" w:line="19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9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20" w:right="5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AMENDMENT NUMBER ONE TO</w:t>
      </w:r>
    </w:p>
    <w:p>
      <w:pPr>
        <w:spacing w:after="0" w:line="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8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Amendment Number One to Employment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between Gogo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Oakleigh Thorne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March 25, 2022.</w:t>
      </w:r>
    </w:p>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have heretofore entered into an Employment Agreement dated as of March 4, 2018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3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WHEREAS, in connection with the consummation of the Company’s sale of Gogo LLC (f/k/a Aircell LLC) to Intelsat Jackson Holdings S.A. on December 1, 2020, the Company assumed the Agreement; and</w:t>
      </w:r>
    </w:p>
    <w:p>
      <w:pPr>
        <w:spacing w:after="0" w:line="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desire to amend the Agreement to add a Term (as defined hereinafter), among other things.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pursuant to Section 17 of the Agreement, the Agreement is hereby amended as follows, effective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1, 2022:</w:t>
      </w:r>
    </w:p>
    <w:p>
      <w:pPr>
        <w:spacing w:after="0" w:line="74" w:lineRule="exact"/>
        <w:rPr>
          <w:sz w:val="20"/>
          <w:szCs w:val="20"/>
          <w:color w:val="auto"/>
        </w:rPr>
      </w:pPr>
    </w:p>
    <w:p>
      <w:pPr>
        <w:ind w:left="1300" w:right="900" w:hanging="734"/>
        <w:spacing w:after="0" w:line="345" w:lineRule="auto"/>
        <w:tabs>
          <w:tab w:leader="none" w:pos="98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 of the Agreement is hereby amended by adding the following sentence at the end of the provision: Executive’s principal place of business shall be Millbrook, NY.</w:t>
      </w:r>
    </w:p>
    <w:p>
      <w:pPr>
        <w:spacing w:after="0" w:line="1" w:lineRule="exact"/>
        <w:rPr>
          <w:rFonts w:ascii="Times New Roman" w:cs="Times New Roman" w:eastAsia="Times New Roman" w:hAnsi="Times New Roman"/>
          <w:sz w:val="22"/>
          <w:szCs w:val="22"/>
          <w:color w:val="auto"/>
        </w:rPr>
      </w:pPr>
    </w:p>
    <w:p>
      <w:pPr>
        <w:jc w:val="both"/>
        <w:ind w:left="1000" w:right="560" w:hanging="434"/>
        <w:spacing w:after="0" w:line="247" w:lineRule="auto"/>
        <w:tabs>
          <w:tab w:leader="none" w:pos="10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 of the Agreement is hereby amended by: (i) restating the existing Section 2 as subparagraph (a) of Section 2; (ii) replacing the fifth sentence thereof with “Notwithstanding the foregoing, Executive may continue to serve as CEO of Thorndale Farm, Inc., as a trustee of certain family trusts, as a member of the Boards of Directors of the Millbrook Tribute Garden, the Millbrook Community Partnership Inc., and the Dutchess Land Conservancy, Inc., and as a member of the Board of Overseers of Columbia Business School; provided that such activities do not materially interfere with Executive’s duties under this Agreement.”; and</w:t>
      </w:r>
    </w:p>
    <w:p>
      <w:pPr>
        <w:ind w:left="1360" w:hanging="368"/>
        <w:spacing w:after="0"/>
        <w:tabs>
          <w:tab w:leader="none" w:pos="13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adding the following new subparagraph (b):</w:t>
      </w:r>
    </w:p>
    <w:p>
      <w:pPr>
        <w:spacing w:after="0" w:line="83" w:lineRule="exact"/>
        <w:rPr>
          <w:rFonts w:ascii="Times New Roman" w:cs="Times New Roman" w:eastAsia="Times New Roman" w:hAnsi="Times New Roman"/>
          <w:sz w:val="22"/>
          <w:szCs w:val="22"/>
          <w:color w:val="auto"/>
        </w:rPr>
      </w:pPr>
    </w:p>
    <w:p>
      <w:pPr>
        <w:jc w:val="both"/>
        <w:ind w:firstLine="1505"/>
        <w:spacing w:after="0" w:line="245" w:lineRule="auto"/>
        <w:tabs>
          <w:tab w:leader="none" w:pos="1829" w:val="left"/>
        </w:tabs>
        <w:numPr>
          <w:ilvl w:val="2"/>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term of Executive’s employment under this Agreement, which is hereinafter referred to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shall begin on April 1, 2022 and, unless terminated earlier as set forth herein, shall continue through and including March 31, 2024 (the “</w:t>
      </w:r>
      <w:r>
        <w:rPr>
          <w:rFonts w:ascii="Times New Roman" w:cs="Times New Roman" w:eastAsia="Times New Roman" w:hAnsi="Times New Roman"/>
          <w:sz w:val="22"/>
          <w:szCs w:val="22"/>
          <w:b w:val="1"/>
          <w:bCs w:val="1"/>
          <w:i w:val="1"/>
          <w:iCs w:val="1"/>
          <w:color w:val="auto"/>
        </w:rPr>
        <w:t>Term Expiration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on or prior to September 30, 2023, the Board shall commence discussions with Executive in regards to the possibility of Executive (i) remaining Chief Executive Officer for an extended period or (ii) transitioning to a role of “Executive Chair” as of the date immediately following the Term Expiration Date, including that the Board and Executive shall discuss any annual compensation, equity compensation, severance benefits and other rights to which Executive would be entitled in connection with any such extension or transition. If the parties do not reach an agreement as to any such extension or transition, Executive shall step down from the position of Chief Executive Officer, effective as of the date immediately after the Term Expiration Date (“</w:t>
      </w:r>
      <w:r>
        <w:rPr>
          <w:rFonts w:ascii="Times New Roman" w:cs="Times New Roman" w:eastAsia="Times New Roman" w:hAnsi="Times New Roman"/>
          <w:sz w:val="22"/>
          <w:szCs w:val="22"/>
          <w:b w:val="1"/>
          <w:bCs w:val="1"/>
          <w:i w:val="1"/>
          <w:iCs w:val="1"/>
          <w:color w:val="auto"/>
        </w:rPr>
        <w:t>End of Term Resignation</w:t>
      </w:r>
      <w:r>
        <w:rPr>
          <w:rFonts w:ascii="Times New Roman" w:cs="Times New Roman" w:eastAsia="Times New Roman" w:hAnsi="Times New Roman"/>
          <w:sz w:val="22"/>
          <w:szCs w:val="22"/>
          <w:color w:val="auto"/>
        </w:rPr>
        <w:t>”). If Executive’s employment is terminated by his End of Term Resignation, Executive shall be entitled to the severance benefits set forth under Section 9(a), including, for the avoidance of doubt, the equity treatment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ind w:left="418" w:hanging="418"/>
        <w:spacing w:after="0"/>
        <w:tabs>
          <w:tab w:leader="none" w:pos="4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3(b) of the Agreement is hereby deleted in its entirety and is replaced with the following:</w:t>
      </w:r>
    </w:p>
    <w:p>
      <w:pPr>
        <w:spacing w:after="0" w:line="107" w:lineRule="exact"/>
        <w:rPr>
          <w:rFonts w:ascii="Times New Roman" w:cs="Times New Roman" w:eastAsia="Times New Roman" w:hAnsi="Times New Roman"/>
          <w:sz w:val="22"/>
          <w:szCs w:val="22"/>
          <w:color w:val="auto"/>
        </w:rPr>
      </w:pPr>
    </w:p>
    <w:p>
      <w:pPr>
        <w:jc w:val="both"/>
        <w:ind w:left="-562" w:firstLine="1505"/>
        <w:spacing w:after="0" w:line="248" w:lineRule="auto"/>
        <w:tabs>
          <w:tab w:leader="none" w:pos="2433"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Reimbursement of Expenses, Company Facilities</w:t>
      </w:r>
      <w:r>
        <w:rPr>
          <w:rFonts w:ascii="Times New Roman" w:cs="Times New Roman" w:eastAsia="Times New Roman" w:hAnsi="Times New Roman"/>
          <w:sz w:val="22"/>
          <w:szCs w:val="22"/>
          <w:color w:val="auto"/>
        </w:rPr>
        <w:t>. The Company shall pay or reimburse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for all reasonable, ordinary and necessary travel and other expenses incurred by Executive in the performance of Executive’s obligations under this Agreement, in accordance with the Company’s travel and expense reimbursement policies for management employees. The Company shall provide to Executive, at the Company’s principal place of business, the necessary office facilities and equipment to perform Executive’s obligations under this Agreement. Business travel between Millbrook, NY and the Company’s headquarters in Broomfield, CO shall be reimbursed upon submission of appropriate documentation in accordance with the Company’s travel reimbursement policies.</w:t>
      </w:r>
    </w:p>
    <w:p>
      <w:pPr>
        <w:spacing w:after="0" w:line="77" w:lineRule="exact"/>
        <w:rPr>
          <w:rFonts w:ascii="Times New Roman" w:cs="Times New Roman" w:eastAsia="Times New Roman" w:hAnsi="Times New Roman"/>
          <w:sz w:val="22"/>
          <w:szCs w:val="22"/>
          <w:b w:val="1"/>
          <w:bCs w:val="1"/>
          <w:color w:val="auto"/>
        </w:rPr>
      </w:pPr>
    </w:p>
    <w:p>
      <w:pPr>
        <w:jc w:val="both"/>
        <w:ind w:left="418" w:right="580" w:hanging="418"/>
        <w:spacing w:after="0" w:line="247" w:lineRule="auto"/>
        <w:tabs>
          <w:tab w:leader="none" w:pos="4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3(f) of the Agreement is hereby amended by deleting the first and second sentences thereof in their entirety along with the Exhibits referenced therein,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references in the Agreement to the “Committee” shall continue to be interpreted as references to the Compensation Committee of the Board of Directors of the Company and any references in the Agreement to the “Plan” shall continue to be interpreted as references to the Gogo Inc. 2016 Omnibus Stock Incentive Plan.</w:t>
      </w:r>
    </w:p>
    <w:p>
      <w:pPr>
        <w:spacing w:after="0" w:line="75" w:lineRule="exact"/>
        <w:rPr>
          <w:rFonts w:ascii="Times New Roman" w:cs="Times New Roman" w:eastAsia="Times New Roman" w:hAnsi="Times New Roman"/>
          <w:sz w:val="22"/>
          <w:szCs w:val="22"/>
          <w:color w:val="auto"/>
        </w:rPr>
      </w:pPr>
    </w:p>
    <w:p>
      <w:pPr>
        <w:ind w:left="418" w:hanging="418"/>
        <w:spacing w:after="0"/>
        <w:tabs>
          <w:tab w:leader="none" w:pos="4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deleting Section 3(g) thereof in its entirety.</w:t>
      </w:r>
    </w:p>
    <w:p>
      <w:pPr>
        <w:spacing w:after="0" w:line="111" w:lineRule="exact"/>
        <w:rPr>
          <w:rFonts w:ascii="Times New Roman" w:cs="Times New Roman" w:eastAsia="Times New Roman" w:hAnsi="Times New Roman"/>
          <w:sz w:val="22"/>
          <w:szCs w:val="22"/>
          <w:color w:val="auto"/>
        </w:rPr>
      </w:pPr>
    </w:p>
    <w:p>
      <w:pPr>
        <w:ind w:left="418" w:right="580" w:hanging="418"/>
        <w:spacing w:after="0" w:line="271" w:lineRule="auto"/>
        <w:tabs>
          <w:tab w:leader="none" w:pos="4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8(d)(8) of the Agreement is hereby amended by replacing each instance of the phrase “State of Illinois” with the phrase “State of New York.”</w:t>
      </w:r>
    </w:p>
    <w:p>
      <w:pPr>
        <w:spacing w:after="0" w:line="49" w:lineRule="exact"/>
        <w:rPr>
          <w:rFonts w:ascii="Times New Roman" w:cs="Times New Roman" w:eastAsia="Times New Roman" w:hAnsi="Times New Roman"/>
          <w:sz w:val="22"/>
          <w:szCs w:val="22"/>
          <w:color w:val="auto"/>
        </w:rPr>
      </w:pPr>
    </w:p>
    <w:p>
      <w:pPr>
        <w:ind w:left="418" w:hanging="418"/>
        <w:spacing w:after="0"/>
        <w:tabs>
          <w:tab w:leader="none" w:pos="4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8(f) of the Agreement is hereby deleted in its entirety and is replaced with the following:</w:t>
      </w:r>
    </w:p>
    <w:p>
      <w:pPr>
        <w:spacing w:after="0" w:line="107" w:lineRule="exact"/>
        <w:rPr>
          <w:rFonts w:ascii="Times New Roman" w:cs="Times New Roman" w:eastAsia="Times New Roman" w:hAnsi="Times New Roman"/>
          <w:sz w:val="22"/>
          <w:szCs w:val="22"/>
          <w:color w:val="auto"/>
        </w:rPr>
      </w:pPr>
    </w:p>
    <w:p>
      <w:pPr>
        <w:jc w:val="both"/>
        <w:ind w:left="-562" w:firstLine="1505"/>
        <w:spacing w:after="0" w:line="238" w:lineRule="auto"/>
        <w:tabs>
          <w:tab w:leader="none" w:pos="1261"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by Executive for Good Reason</w:t>
      </w:r>
      <w:r>
        <w:rPr>
          <w:rFonts w:ascii="Times New Roman" w:cs="Times New Roman" w:eastAsia="Times New Roman" w:hAnsi="Times New Roman"/>
          <w:sz w:val="22"/>
          <w:szCs w:val="22"/>
          <w:color w:val="auto"/>
        </w:rPr>
        <w:t>. Executive may terminate his employment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upon written notice (and in accordance with all other provisions of this Agreement) by Executive to the Company of a termination for “Good Reason,” which for purposes of this Agreement shall mean the occurrence of any of the following events, without the written consent of Executive, (i) a diminution in Executive’s Base Salary beyond what is permitted by Section 3(a) or Target Bonus; (ii) a diminution in Executive’s duties, authority, or responsibilities; (iii) a material interference with the discharge of Executive’s duties and responsibilities; or (iv) a requirement that Executive discharge his duties from any location aside from his principal place of business of Millbrook, NY. In the event that Executive believes that circumstances constituting “Good Reason” have occurred and Executive wishes to terminate his employment as a result of such occurrence, Executive must provide the Company written notice within 90 days from the initial existence of the occurrence. If within 30 days following the Company’s receipt of such notice it corrects the circumstances constituting “Good Reason,” then Executive shall not be entitled to terminate his employment under this Section 8(f) as a result of such circumstances. Furthermore, Executive shall not be entitled to terminate his employment under this Section 8(f) as a result of any circumstances constituting “Good Reason” unless his resignation occurs within 30 days following the expiration of the Company’s cure period;</w:t>
      </w:r>
    </w:p>
    <w:p>
      <w:pPr>
        <w:spacing w:after="0" w:line="77" w:lineRule="exact"/>
        <w:rPr>
          <w:rFonts w:ascii="Times New Roman" w:cs="Times New Roman" w:eastAsia="Times New Roman" w:hAnsi="Times New Roman"/>
          <w:sz w:val="22"/>
          <w:szCs w:val="22"/>
          <w:b w:val="1"/>
          <w:bCs w:val="1"/>
          <w:color w:val="auto"/>
        </w:rPr>
      </w:pPr>
    </w:p>
    <w:p>
      <w:pPr>
        <w:ind w:left="418" w:hanging="418"/>
        <w:spacing w:after="0"/>
        <w:tabs>
          <w:tab w:leader="none" w:pos="41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9(a) of the Agreement is hereby deleted in its entirety and is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563880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8"/>
          </w:cols>
          <w:pgMar w:left="882" w:top="355" w:right="339" w:bottom="1440" w:gutter="0" w:footer="0" w:header="0"/>
        </w:sectPr>
      </w:pPr>
    </w:p>
    <w:bookmarkStart w:id="45" w:name="page46"/>
    <w:bookmarkEnd w:id="45"/>
    <w:p>
      <w:pPr>
        <w:jc w:val="both"/>
        <w:ind w:left="-566" w:firstLine="1505"/>
        <w:spacing w:after="0" w:line="255" w:lineRule="auto"/>
        <w:tabs>
          <w:tab w:leader="none" w:pos="1260" w:val="left"/>
        </w:tabs>
        <w:numPr>
          <w:ilvl w:val="1"/>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by the Company Without Cause or by Executive for Good Reason or Upon an End of Term Resignation</w:t>
      </w:r>
      <w:r>
        <w:rPr>
          <w:rFonts w:ascii="Times New Roman" w:cs="Times New Roman" w:eastAsia="Times New Roman" w:hAnsi="Times New Roman"/>
          <w:sz w:val="21"/>
          <w:szCs w:val="21"/>
          <w:color w:val="auto"/>
        </w:rPr>
        <w:t>. If Executive is terminated under Section 8(a), resigns for Good Reason under Section 8(f) or if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terminates as a result of his End of Term Resignation under Section 2(b), and following the execution (and expiration of any revocation period), not later than forty-five (45) days following the termination date, of a separation agreement containing a general release of all claims against the Company, the Company and their Affiliates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the Company shall pay Executive a lump sum amount equal to twelve (12) months of Executive’s then-current Base Salary and Target Bonus (paid at target), (the “</w:t>
      </w:r>
      <w:r>
        <w:rPr>
          <w:rFonts w:ascii="Times New Roman" w:cs="Times New Roman" w:eastAsia="Times New Roman" w:hAnsi="Times New Roman"/>
          <w:sz w:val="21"/>
          <w:szCs w:val="21"/>
          <w:b w:val="1"/>
          <w:bCs w:val="1"/>
          <w:i w:val="1"/>
          <w:iCs w:val="1"/>
          <w:color w:val="auto"/>
        </w:rPr>
        <w:t>Severance Payment</w:t>
      </w:r>
      <w:r>
        <w:rPr>
          <w:rFonts w:ascii="Times New Roman" w:cs="Times New Roman" w:eastAsia="Times New Roman" w:hAnsi="Times New Roman"/>
          <w:sz w:val="21"/>
          <w:szCs w:val="21"/>
          <w:color w:val="auto"/>
        </w:rPr>
        <w:t>”) and an award under the annual bonus program referred to in Section 3(a), pro-rated based on the number of days that Executive was employed during the calendar year in which Executive terminates from the Company and paid based on actual performance as determined by the Compensation Committee, to be paid at the same time as other executives (the “</w:t>
      </w:r>
      <w:r>
        <w:rPr>
          <w:rFonts w:ascii="Times New Roman" w:cs="Times New Roman" w:eastAsia="Times New Roman" w:hAnsi="Times New Roman"/>
          <w:sz w:val="21"/>
          <w:szCs w:val="21"/>
          <w:b w:val="1"/>
          <w:bCs w:val="1"/>
          <w:i w:val="1"/>
          <w:iCs w:val="1"/>
          <w:color w:val="auto"/>
        </w:rPr>
        <w:t>Pro Rata Bonus</w:t>
      </w:r>
      <w:r>
        <w:rPr>
          <w:rFonts w:ascii="Times New Roman" w:cs="Times New Roman" w:eastAsia="Times New Roman" w:hAnsi="Times New Roman"/>
          <w:sz w:val="21"/>
          <w:szCs w:val="21"/>
          <w:color w:val="auto"/>
        </w:rPr>
        <w:t>”). The Severance Payment shall be made on the first payroll date after the execution (and expiration of any revocation period) of such separation agreement or, if the forty-five (45)-day period following the termination date spans two calendar years and the Severance Payment is subject to Section 409A of the Internal Revenue Code, after such forty-five (45)-day period. The Company shall also pay Executive (A) any salary earned but unpaid prior to termination and all accrued but unused personal time, (B) any business expenses incurred but not reimbursed as of the date of termination, (C) vested employee benefits in accordance with the terms of the applicable plan and (D) any award under the annual bonus program referred to in Section 3(a) earned based on actual performance (as approved by the Compensation Committee and the Company’s Board of Directors for senior executives generally) but not paid prior to termination ((A), (B), (C) and (D) together, the “</w:t>
      </w:r>
      <w:r>
        <w:rPr>
          <w:rFonts w:ascii="Times New Roman" w:cs="Times New Roman" w:eastAsia="Times New Roman" w:hAnsi="Times New Roman"/>
          <w:sz w:val="21"/>
          <w:szCs w:val="21"/>
          <w:b w:val="1"/>
          <w:bCs w:val="1"/>
          <w:i w:val="1"/>
          <w:iCs w:val="1"/>
          <w:color w:val="auto"/>
        </w:rPr>
        <w:t>Accrued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Benefits</w:t>
      </w:r>
      <w:r>
        <w:rPr>
          <w:rFonts w:ascii="Times New Roman" w:cs="Times New Roman" w:eastAsia="Times New Roman" w:hAnsi="Times New Roman"/>
          <w:sz w:val="21"/>
          <w:szCs w:val="21"/>
          <w:color w:val="auto"/>
        </w:rPr>
        <w:t>”). In addition, (x) all outstanding unvested options to purchase common stock in the Company and restricted stock units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granted under the Company’s equity plans at least six (6) months prior to the date of Executive’s termination of employment shall fully vest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approval of any such grant is contingent upon shareholder approval, the six (6) month period shall be measured from the date that the grant was originally approved by the Company) and (y) all vested stock options to purchase common stock in the Company (after giving effect to (x)) shall remain exercisable through the earlier of (A) the original option term or (B) until the latest of (x) December 1, 2025, (y) the fifth anniversary of grant or (z) the expiration of the normal post-termination exercise period (generally ninety (90) days post-termination);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exercise period of such options shall in no event be shorter than the post-termination exercise period provided for in the applicable equity award agreement (the “</w:t>
      </w:r>
      <w:r>
        <w:rPr>
          <w:rFonts w:ascii="Times New Roman" w:cs="Times New Roman" w:eastAsia="Times New Roman" w:hAnsi="Times New Roman"/>
          <w:sz w:val="21"/>
          <w:szCs w:val="21"/>
          <w:b w:val="1"/>
          <w:bCs w:val="1"/>
          <w:i w:val="1"/>
          <w:iCs w:val="1"/>
          <w:color w:val="auto"/>
        </w:rPr>
        <w:t>Severance Equity Treatment</w:t>
      </w:r>
      <w:r>
        <w:rPr>
          <w:rFonts w:ascii="Times New Roman" w:cs="Times New Roman" w:eastAsia="Times New Roman" w:hAnsi="Times New Roman"/>
          <w:sz w:val="21"/>
          <w:szCs w:val="21"/>
          <w:color w:val="auto"/>
        </w:rPr>
        <w:t>”). All benefits provided under this Section 9(a), except for the Accrued Benefits, shall be subject to Executive’s execution and non-revocation of the Release.</w:t>
      </w:r>
    </w:p>
    <w:p>
      <w:pPr>
        <w:spacing w:after="0" w:line="82" w:lineRule="exact"/>
        <w:rPr>
          <w:rFonts w:ascii="Times New Roman" w:cs="Times New Roman" w:eastAsia="Times New Roman" w:hAnsi="Times New Roman"/>
          <w:sz w:val="21"/>
          <w:szCs w:val="21"/>
          <w:b w:val="1"/>
          <w:bCs w:val="1"/>
          <w:color w:val="auto"/>
        </w:rPr>
      </w:pPr>
    </w:p>
    <w:p>
      <w:pPr>
        <w:ind w:left="434" w:right="580" w:hanging="434"/>
        <w:spacing w:after="0" w:line="271" w:lineRule="auto"/>
        <w:tabs>
          <w:tab w:leader="none" w:pos="43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renumbering Section 9(b), and all references thereto, as Section 9(c) and by adding the following new Section 9(b), to read as follows:</w:t>
      </w:r>
    </w:p>
    <w:p>
      <w:pPr>
        <w:spacing w:after="0" w:line="45" w:lineRule="exact"/>
        <w:rPr>
          <w:rFonts w:ascii="Times New Roman" w:cs="Times New Roman" w:eastAsia="Times New Roman" w:hAnsi="Times New Roman"/>
          <w:sz w:val="22"/>
          <w:szCs w:val="22"/>
          <w:color w:val="auto"/>
        </w:rPr>
      </w:pPr>
    </w:p>
    <w:p>
      <w:pPr>
        <w:jc w:val="both"/>
        <w:ind w:left="-566" w:firstLine="1505"/>
        <w:spacing w:after="0" w:line="253" w:lineRule="auto"/>
        <w:tabs>
          <w:tab w:leader="none" w:pos="1271"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by the Company Without Cause or by Executive for Good Reason or Upon an End of Term Resignation Following a Change in Control</w:t>
      </w:r>
      <w:r>
        <w:rPr>
          <w:rFonts w:ascii="Times New Roman" w:cs="Times New Roman" w:eastAsia="Times New Roman" w:hAnsi="Times New Roman"/>
          <w:sz w:val="22"/>
          <w:szCs w:val="22"/>
          <w:color w:val="auto"/>
        </w:rPr>
        <w:t>. In the event that Executive is terminated under Section 8(a), resigns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Reason under Section 8(f) or if Executive’s employment terminates as a result of his End of Term Resignation under Section 2(b), in each case, within twenty-four months following a Change in Control (as defined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538480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4"/>
          </w:cols>
          <w:pgMar w:left="886" w:top="351" w:right="339" w:bottom="1440" w:gutter="0" w:footer="0" w:header="0"/>
        </w:sectPr>
      </w:pPr>
    </w:p>
    <w:bookmarkStart w:id="46" w:name="page47"/>
    <w:bookmarkEnd w:id="46"/>
    <w:p>
      <w:pPr>
        <w:jc w:val="both"/>
        <w:spacing w:after="0" w:line="247" w:lineRule="auto"/>
        <w:rPr>
          <w:sz w:val="20"/>
          <w:szCs w:val="20"/>
          <w:color w:val="auto"/>
        </w:rPr>
      </w:pPr>
      <w:r>
        <w:rPr>
          <w:rFonts w:ascii="Times New Roman" w:cs="Times New Roman" w:eastAsia="Times New Roman" w:hAnsi="Times New Roman"/>
          <w:sz w:val="22"/>
          <w:szCs w:val="22"/>
          <w:color w:val="auto"/>
        </w:rPr>
        <w:t>and subject to Executive’s execution and non-revocation of the Release in the same manner as set forth in Section 9(a), the Company shall pay Executive an amount equal to eighteen (18) months of Executive’s then-current Base Salary and Target Bonus (paid at target), payable in a cash lump sum in the same manner as the Severance Payment. In addition, upon any such termination or resignation, Executive shall be entitled to the Severance Equity Treatment, except that the Severance Equity Treatment shall apply to all outstanding unvested options to purchase common stock in the Company and restricted stock units granted under the Company’s equity plans, regardless of whether any such awards were granted within six (6) months of Executive’s termination of employment. In addition, the Company will provide the Accrued Benefits and the Pro Rata Bonus in accordance with Section 9(a).</w:t>
      </w:r>
    </w:p>
    <w:p>
      <w:pPr>
        <w:spacing w:after="0" w:line="77" w:lineRule="exact"/>
        <w:rPr>
          <w:sz w:val="20"/>
          <w:szCs w:val="20"/>
          <w:color w:val="auto"/>
        </w:rPr>
      </w:pPr>
    </w:p>
    <w:p>
      <w:pPr>
        <w:ind w:left="1020" w:hanging="454"/>
        <w:spacing w:after="0" w:line="258" w:lineRule="auto"/>
        <w:tabs>
          <w:tab w:leader="none" w:pos="10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14(c) of the Agreement is amended by deleting the first sentence thereof and inserting the following sentence in its place:</w:t>
      </w:r>
    </w:p>
    <w:p>
      <w:pPr>
        <w:spacing w:after="0" w:line="63"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arbitration shall be conducted in New York, NY (unless Executive otherwise agrees that the arbitration shall occur at the corporate headquarters of the Company as of the time of any such arbitration).</w:t>
      </w:r>
    </w:p>
    <w:p>
      <w:pPr>
        <w:spacing w:after="0" w:line="50" w:lineRule="exact"/>
        <w:rPr>
          <w:rFonts w:ascii="Times New Roman" w:cs="Times New Roman" w:eastAsia="Times New Roman" w:hAnsi="Times New Roman"/>
          <w:sz w:val="22"/>
          <w:szCs w:val="22"/>
          <w:b w:val="1"/>
          <w:bCs w:val="1"/>
          <w:color w:val="auto"/>
        </w:rPr>
      </w:pPr>
    </w:p>
    <w:p>
      <w:pPr>
        <w:ind w:left="1020" w:hanging="454"/>
        <w:spacing w:after="0"/>
        <w:tabs>
          <w:tab w:leader="none" w:pos="10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by this Amendment, the Agreement remains in full force and effect.</w:t>
      </w:r>
    </w:p>
    <w:p>
      <w:pPr>
        <w:spacing w:after="0" w:line="10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and the Company have caused this instrument to be executed by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thereof and Executive has executed this instrument as of this 25th day of March, 2022.</w:t>
      </w:r>
    </w:p>
    <w:p>
      <w:pPr>
        <w:spacing w:after="0" w:line="39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Gogo Inc.</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Marguerite M. Elias</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Name: Marguerite M. Elias</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Title: EVP</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u w:val="single" w:color="auto"/>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AMENDMENT NUMBER ONE TO</w:t>
      </w:r>
    </w:p>
    <w:p>
      <w:pPr>
        <w:spacing w:after="0" w:line="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This Amendment Number One to Employment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between Gogo Business Aviation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Barry Rowan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March 25, 2022.</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have heretofore entered into an Employment Agreement dated as of April 24, 2017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in connection with the consummation of Gogo Inc.’s sale of Gogo LLC (f/k/a Aircell LLC) to Intelsat Jackson Holdings S.A. on December 1, 2020, the Company assumed the Agreement;</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WHEREAS, the Company and Executive desire to amend the Agreement to add a Transition Term (as defined hereinafter), among other things; and</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WHEREAS, the Agreement as modified by this Amendment supersedes and replaces all other agreements, whether oral or written, related to the terms of Executive’s employment with the Company with respect to the subject matter hereof, with the exception of that certain Change in Control Severance Agreement, as amended to date (the “</w:t>
      </w:r>
      <w:r>
        <w:rPr>
          <w:rFonts w:ascii="Times New Roman" w:cs="Times New Roman" w:eastAsia="Times New Roman" w:hAnsi="Times New Roman"/>
          <w:sz w:val="22"/>
          <w:szCs w:val="22"/>
          <w:u w:val="single" w:color="auto"/>
          <w:color w:val="auto"/>
        </w:rPr>
        <w:t>Change in Control Agreement</w:t>
      </w:r>
      <w:r>
        <w:rPr>
          <w:rFonts w:ascii="Times New Roman" w:cs="Times New Roman" w:eastAsia="Times New Roman" w:hAnsi="Times New Roman"/>
          <w:sz w:val="22"/>
          <w:szCs w:val="22"/>
          <w:color w:val="auto"/>
        </w:rPr>
        <w:t>”), between Executive and Gogo Inc.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which shall remain in effect as modified by this Amendment.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pursuant to Section 17 of the Agreement, the Agreement is hereby amended as follows, effective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25, 2022:</w:t>
      </w:r>
    </w:p>
    <w:p>
      <w:pPr>
        <w:spacing w:after="0" w:line="88" w:lineRule="exact"/>
        <w:rPr>
          <w:sz w:val="20"/>
          <w:szCs w:val="20"/>
          <w:color w:val="auto"/>
        </w:rPr>
      </w:pPr>
    </w:p>
    <w:p>
      <w:pPr>
        <w:ind w:left="620" w:hanging="425"/>
        <w:spacing w:after="0"/>
        <w:tabs>
          <w:tab w:leader="none" w:pos="6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 of the Agreement is hereby amended by adding the following sentences at the end of the provision:</w:t>
      </w: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During the Transition Term (as defined below), Executive’s principal place of employment shall be Broomfield,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Colorado.</w:t>
      </w:r>
    </w:p>
    <w:p>
      <w:pPr>
        <w:spacing w:after="0" w:line="74" w:lineRule="exact"/>
        <w:rPr>
          <w:sz w:val="20"/>
          <w:szCs w:val="20"/>
          <w:color w:val="auto"/>
        </w:rPr>
      </w:pPr>
    </w:p>
    <w:p>
      <w:pPr>
        <w:ind w:left="620" w:right="580" w:hanging="425"/>
        <w:spacing w:after="0" w:line="271" w:lineRule="auto"/>
        <w:tabs>
          <w:tab w:leader="none" w:pos="6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8(f) of the Agreement is hereby amended by deleting clause (3) thereof and inserting the following in its place:</w:t>
      </w:r>
    </w:p>
    <w:p>
      <w:pPr>
        <w:spacing w:after="0" w:line="49" w:lineRule="exact"/>
        <w:rPr>
          <w:rFonts w:ascii="Times New Roman" w:cs="Times New Roman" w:eastAsia="Times New Roman" w:hAnsi="Times New Roman"/>
          <w:sz w:val="22"/>
          <w:szCs w:val="22"/>
          <w:color w:val="auto"/>
        </w:rPr>
      </w:pPr>
    </w:p>
    <w:p>
      <w:pPr>
        <w:ind w:firstLine="1505"/>
        <w:spacing w:after="0" w:line="271" w:lineRule="auto"/>
        <w:tabs>
          <w:tab w:leader="none" w:pos="181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Executive’s principal place of employment to a geographic location greater than fifty (50) miles from the Company’s office in Broomfield, Colorado;</w:t>
      </w:r>
    </w:p>
    <w:p>
      <w:pPr>
        <w:spacing w:after="0" w:line="36" w:lineRule="exact"/>
        <w:rPr>
          <w:rFonts w:ascii="Times New Roman" w:cs="Times New Roman" w:eastAsia="Times New Roman" w:hAnsi="Times New Roman"/>
          <w:sz w:val="22"/>
          <w:szCs w:val="22"/>
          <w:color w:val="auto"/>
        </w:rPr>
      </w:pPr>
    </w:p>
    <w:p>
      <w:pPr>
        <w:ind w:left="620" w:hanging="425"/>
        <w:spacing w:after="0"/>
        <w:tabs>
          <w:tab w:leader="none" w:pos="6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 of the Agreement is hereby amended by adding the following new subparagraph (g):</w:t>
      </w:r>
    </w:p>
    <w:p>
      <w:pPr>
        <w:spacing w:after="0" w:line="108" w:lineRule="exact"/>
        <w:rPr>
          <w:sz w:val="20"/>
          <w:szCs w:val="20"/>
          <w:color w:val="auto"/>
        </w:rPr>
      </w:pPr>
    </w:p>
    <w:p>
      <w:pPr>
        <w:jc w:val="both"/>
        <w:ind w:firstLine="1505"/>
        <w:spacing w:after="0" w:line="245" w:lineRule="auto"/>
        <w:tabs>
          <w:tab w:leader="none" w:pos="1803"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Term</w:t>
      </w:r>
      <w:r>
        <w:rPr>
          <w:rFonts w:ascii="Times New Roman" w:cs="Times New Roman" w:eastAsia="Times New Roman" w:hAnsi="Times New Roman"/>
          <w:sz w:val="22"/>
          <w:szCs w:val="22"/>
          <w:color w:val="auto"/>
        </w:rPr>
        <w:t>. The Company and Executive agree that as of the date of the 2022 fiscal year earnings call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(which is expected to be in March 2023), Executive’s employment with the Company shall automatically end;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Executive has remained continuously employed with the Company from the date hereof through such date (the “</w:t>
      </w:r>
      <w:r>
        <w:rPr>
          <w:rFonts w:ascii="Times New Roman" w:cs="Times New Roman" w:eastAsia="Times New Roman" w:hAnsi="Times New Roman"/>
          <w:sz w:val="22"/>
          <w:szCs w:val="22"/>
          <w:b w:val="1"/>
          <w:bCs w:val="1"/>
          <w:i w:val="1"/>
          <w:iCs w:val="1"/>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w:t>
      </w:r>
    </w:p>
    <w:p>
      <w:pPr>
        <w:spacing w:after="0" w:line="78" w:lineRule="exact"/>
        <w:rPr>
          <w:rFonts w:ascii="Times New Roman" w:cs="Times New Roman" w:eastAsia="Times New Roman" w:hAnsi="Times New Roman"/>
          <w:sz w:val="22"/>
          <w:szCs w:val="22"/>
          <w:b w:val="1"/>
          <w:bCs w:val="1"/>
          <w:color w:val="auto"/>
        </w:rPr>
      </w:pPr>
    </w:p>
    <w:p>
      <w:pPr>
        <w:ind w:left="980" w:hanging="418"/>
        <w:spacing w:after="0"/>
        <w:tabs>
          <w:tab w:leader="none" w:pos="9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9(a) of the Agreement is hereby deleted in its entirety and is replaced with the following:</w:t>
      </w:r>
    </w:p>
    <w:p>
      <w:pPr>
        <w:spacing w:after="0" w:line="94" w:lineRule="exact"/>
        <w:rPr>
          <w:rFonts w:ascii="Times New Roman" w:cs="Times New Roman" w:eastAsia="Times New Roman" w:hAnsi="Times New Roman"/>
          <w:sz w:val="22"/>
          <w:szCs w:val="22"/>
          <w:color w:val="auto"/>
        </w:rPr>
      </w:pPr>
    </w:p>
    <w:p>
      <w:pPr>
        <w:ind w:right="20" w:firstLine="1505"/>
        <w:spacing w:after="0" w:line="275" w:lineRule="auto"/>
        <w:tabs>
          <w:tab w:leader="none" w:pos="1814"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by the Company Without Cause, Resignation for Good Reason or the End of Transition Term</w:t>
      </w:r>
      <w:r>
        <w:rPr>
          <w:rFonts w:ascii="Times New Roman" w:cs="Times New Roman" w:eastAsia="Times New Roman" w:hAnsi="Times New Roman"/>
          <w:sz w:val="22"/>
          <w:szCs w:val="22"/>
          <w:color w:val="auto"/>
        </w:rPr>
        <w:t>. If Executive is terminated under Section 8(a), resigns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21"/>
          <w:szCs w:val="21"/>
          <w:color w:val="auto"/>
        </w:rPr>
        <w:t>for Good Reason under Section 8(f) or if Executive’s employment terminates as a result of the end of the Transition Term under Section 8(g), and following the execution (and expiration of any revocation period), not later than forty-five (45) days following the termination date, of a separation agreement containing a general release of all claims against Parent, the Company and its Affiliates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the Company shall pay Executive an amount equal to twelve (12) months of Executive’s then-current Base Salary, payable in installments as set forth hereinafter (each such payment a “</w:t>
      </w:r>
      <w:r>
        <w:rPr>
          <w:rFonts w:ascii="Times New Roman" w:cs="Times New Roman" w:eastAsia="Times New Roman" w:hAnsi="Times New Roman"/>
          <w:sz w:val="21"/>
          <w:szCs w:val="21"/>
          <w:b w:val="1"/>
          <w:bCs w:val="1"/>
          <w:i w:val="1"/>
          <w:iCs w:val="1"/>
          <w:color w:val="auto"/>
        </w:rPr>
        <w:t>Severance Payment</w:t>
      </w:r>
      <w:r>
        <w:rPr>
          <w:rFonts w:ascii="Times New Roman" w:cs="Times New Roman" w:eastAsia="Times New Roman" w:hAnsi="Times New Roman"/>
          <w:sz w:val="21"/>
          <w:szCs w:val="21"/>
          <w:color w:val="auto"/>
        </w:rPr>
        <w:t>”). The Severance Payment shall be payable in installments, by direct deposit, in accordance with the Company’s normal payroll practices. The first installment of the Severance Payment shall be made on the first payroll date after the execution (and expiration of any revocation period) of such separation agreement or, if the forty-five (45)-day period following the termination date spans two calendar years and the Severance Payment is subject to Section 409A of the Internal Revenue Code, after such forty-five (45)-day period, and shall include all installments of the Severance Payment that would have been paid if the Release had been fully effective on the termination date. In addition, during the twelve (12) months following termination, should Executive timely elect to continue coverage pursuant to COBRA, the Company agrees to reimburse Executive for the COBRA premiums due to maintain health insurance coverage that is substantially equivalent to that which he received immediately prior to Executive’s termination. The Company shall also (i) pay Executive (A) any salary earned but unpaid prior to termination and all accrued but unused personal time, (B) any business expenses incurred but not reimbursed as of the date of termination ((A) and (B) together, the “</w:t>
      </w:r>
      <w:r>
        <w:rPr>
          <w:rFonts w:ascii="Times New Roman" w:cs="Times New Roman" w:eastAsia="Times New Roman" w:hAnsi="Times New Roman"/>
          <w:sz w:val="21"/>
          <w:szCs w:val="21"/>
          <w:b w:val="1"/>
          <w:bCs w:val="1"/>
          <w:i w:val="1"/>
          <w:iCs w:val="1"/>
          <w:color w:val="auto"/>
        </w:rPr>
        <w:t>Accrued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Benefits</w:t>
      </w:r>
      <w:r>
        <w:rPr>
          <w:rFonts w:ascii="Times New Roman" w:cs="Times New Roman" w:eastAsia="Times New Roman" w:hAnsi="Times New Roman"/>
          <w:sz w:val="21"/>
          <w:szCs w:val="21"/>
          <w:color w:val="auto"/>
        </w:rPr>
        <w:t>”) and (C) any award under the annual bonus program referred to in Section 3(b) for a completed fiscal year but not paid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prior to termination (which shall be paid at the time bonuses are paid to senior executives generally following approval by the Company’s Chief Executive Officer and Parent’s Board of Directors) and solely to the extent Executive’s employment terminates</w:t>
      </w:r>
    </w:p>
    <w:p>
      <w:pPr>
        <w:spacing w:after="0" w:line="9" w:lineRule="exact"/>
        <w:rPr>
          <w:sz w:val="20"/>
          <w:szCs w:val="20"/>
          <w:color w:val="auto"/>
        </w:rPr>
      </w:pPr>
    </w:p>
    <w:p>
      <w:pPr>
        <w:jc w:val="both"/>
        <w:ind w:firstLine="8"/>
        <w:spacing w:after="0" w:line="242" w:lineRule="auto"/>
        <w:tabs>
          <w:tab w:leader="none" w:pos="38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Transition Term as a result of Executive’s termination by the Company without Cause under Section 8(a) or Executive’s resignation for Good Reason under Section 8(f) or (B) as a result of the end of the Transition Term under Section 8(g), (x) ensure Executive is eligible to receive an award under the annual bonus program referred to in Section 3(a), pro-rated based on the number of days that Executive was employed during the calendar year in which Executive terminates from the Company and paid based on actual performance as determined by the Compensation Committee, to be paid at the same time as other executives, (y) cause all outstanding unvested options to purchase common stock in Parent and restricted stock and restricted stock units granted under Parent’s equity plans at least six (6) months prior to the date of Executive’s termination of employment to fully vest upon Executive’s termination of employment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approval of any such grant is contingent upon shareholder approval that was subsequently obtained, the six (6) month period shall be measured from the date that the grant was originally approved) and (z) cause all vested stock options to purchase common stock in Parent (after giving effect to (y)) to remain exercisable through the earlier of (A) the original option term or (B) December 1, 2025 (ii);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exercise period of such options shall in no event be shorter than the post-termination exercise period 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in the applicable equity award agreement. All benefits provided under this Section 9(a), except for the Accrued Benefits, shall be subject to Executive’s execution and non-revocation of the Release.</w:t>
      </w:r>
    </w:p>
    <w:p>
      <w:pPr>
        <w:spacing w:after="0" w:line="90" w:lineRule="exact"/>
        <w:rPr>
          <w:rFonts w:ascii="Times New Roman" w:cs="Times New Roman" w:eastAsia="Times New Roman" w:hAnsi="Times New Roman"/>
          <w:sz w:val="22"/>
          <w:szCs w:val="22"/>
          <w:color w:val="auto"/>
        </w:rPr>
      </w:pPr>
    </w:p>
    <w:p>
      <w:pPr>
        <w:ind w:left="980" w:hanging="418"/>
        <w:spacing w:after="0"/>
        <w:tabs>
          <w:tab w:leader="none" w:pos="98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9(c) of the Agreement is hereby deleted in its entirety and is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ind w:left="-195" w:firstLine="1505"/>
        <w:spacing w:after="0" w:line="275" w:lineRule="auto"/>
        <w:tabs>
          <w:tab w:leader="none" w:pos="1731"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Survival of Obligations</w:t>
      </w:r>
      <w:r>
        <w:rPr>
          <w:rFonts w:ascii="Times New Roman" w:cs="Times New Roman" w:eastAsia="Times New Roman" w:hAnsi="Times New Roman"/>
          <w:sz w:val="22"/>
          <w:szCs w:val="22"/>
          <w:color w:val="auto"/>
        </w:rPr>
        <w:t>. Executive’s obligations pursuant to Sections 4, 5 and 20 shall survive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of the term of Executive’s employment under this Agreement or any early termination thereof.</w:t>
      </w:r>
    </w:p>
    <w:p>
      <w:pPr>
        <w:spacing w:after="0" w:line="31" w:lineRule="exact"/>
        <w:rPr>
          <w:rFonts w:ascii="Times New Roman" w:cs="Times New Roman" w:eastAsia="Times New Roman" w:hAnsi="Times New Roman"/>
          <w:sz w:val="22"/>
          <w:szCs w:val="22"/>
          <w:b w:val="1"/>
          <w:bCs w:val="1"/>
          <w:color w:val="auto"/>
        </w:rPr>
      </w:pPr>
    </w:p>
    <w:p>
      <w:pPr>
        <w:ind w:left="425" w:hanging="425"/>
        <w:spacing w:after="0"/>
        <w:tabs>
          <w:tab w:leader="none" w:pos="42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 of the Agreement is hereby amended by adding the following new subparagraph (e):</w:t>
      </w:r>
    </w:p>
    <w:p>
      <w:pPr>
        <w:spacing w:after="0" w:line="107" w:lineRule="exact"/>
        <w:rPr>
          <w:rFonts w:ascii="Times New Roman" w:cs="Times New Roman" w:eastAsia="Times New Roman" w:hAnsi="Times New Roman"/>
          <w:sz w:val="22"/>
          <w:szCs w:val="22"/>
          <w:color w:val="auto"/>
        </w:rPr>
      </w:pPr>
    </w:p>
    <w:p>
      <w:pPr>
        <w:jc w:val="both"/>
        <w:ind w:left="-195" w:firstLine="1505"/>
        <w:spacing w:after="0" w:line="248" w:lineRule="auto"/>
        <w:tabs>
          <w:tab w:leader="none" w:pos="1643" w:val="left"/>
        </w:tabs>
        <w:numPr>
          <w:ilvl w:val="1"/>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 In the event that Executive becomes entitled to either the benefits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those set forth in the Change in Control Agreement, Executive shall be entitled to the “better of” the two arrangements, which, for the avoidance of doubt, shall ensure that Executive shall receive (i) except as otherwise provided herein, the severance benefits set forth in the Change in Control Agreement upon resignation at the end of the Transition Term if the end of the Transition Term occurs during the covered period of the Change in Control Agreement and (ii) treatment of awards under Parent’s equity plans upon a termination following a Change in Control that shall be no worse than the treatment of such awards that is set forth in this Agreement.</w:t>
      </w:r>
    </w:p>
    <w:p>
      <w:pPr>
        <w:spacing w:after="0" w:line="77" w:lineRule="exact"/>
        <w:rPr>
          <w:rFonts w:ascii="Times New Roman" w:cs="Times New Roman" w:eastAsia="Times New Roman" w:hAnsi="Times New Roman"/>
          <w:sz w:val="22"/>
          <w:szCs w:val="22"/>
          <w:b w:val="1"/>
          <w:bCs w:val="1"/>
          <w:color w:val="auto"/>
        </w:rPr>
      </w:pPr>
    </w:p>
    <w:p>
      <w:pPr>
        <w:ind w:left="425" w:right="580" w:hanging="425"/>
        <w:spacing w:after="0" w:line="258" w:lineRule="auto"/>
        <w:tabs>
          <w:tab w:leader="none" w:pos="42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renumbering Section 20, and all references thereto, as Section 21 and by adding the following new Section 20, to read as follows:</w:t>
      </w:r>
    </w:p>
    <w:p>
      <w:pPr>
        <w:spacing w:after="0" w:line="60" w:lineRule="exact"/>
        <w:rPr>
          <w:sz w:val="20"/>
          <w:szCs w:val="20"/>
          <w:color w:val="auto"/>
        </w:rPr>
      </w:pPr>
    </w:p>
    <w:p>
      <w:pPr>
        <w:jc w:val="both"/>
        <w:ind w:left="-195" w:firstLine="1505"/>
        <w:spacing w:after="0" w:line="247" w:lineRule="auto"/>
        <w:tabs>
          <w:tab w:leader="none" w:pos="1653" w:val="left"/>
        </w:tabs>
        <w:numPr>
          <w:ilvl w:val="1"/>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With accommodation to Executive’s business or personal schedule, Executive shall make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himself available for a period of twelve (12) months following the date of Executive’s termination of employment to consult with the Company or its Affiliates regarding business matters of the Company or its Affiliates in which Executive has expertise or was previously involved. The Company shall reimburse Executive for any reasonable expenses (subject to prior approval) and provide a per diem rate of $3,288 (Executive’s current base salary and target annual bonus divided by 260 (the number of weekdays in a calendar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notwithstanding the foregoing, the Company and Executive shall use their reasonable best efforts to ensure that the level of Executive’s services during the aforementioned cooperation period is consistent with the intent that Executive’s termination of employment constitutes a “separation from service” (within the meaning of Section 409A of the Code).</w:t>
      </w:r>
    </w:p>
    <w:p>
      <w:pPr>
        <w:spacing w:after="0" w:line="77" w:lineRule="exact"/>
        <w:rPr>
          <w:rFonts w:ascii="Times New Roman" w:cs="Times New Roman" w:eastAsia="Times New Roman" w:hAnsi="Times New Roman"/>
          <w:sz w:val="22"/>
          <w:szCs w:val="22"/>
          <w:b w:val="1"/>
          <w:bCs w:val="1"/>
          <w:color w:val="auto"/>
        </w:rPr>
      </w:pPr>
    </w:p>
    <w:p>
      <w:pPr>
        <w:ind w:left="445" w:hanging="445"/>
        <w:spacing w:after="0"/>
        <w:tabs>
          <w:tab w:leader="none" w:pos="44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by this Amendment, the Agreement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581025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5"/>
          </w:cols>
          <w:pgMar w:left="515" w:top="351" w:right="339" w:bottom="1440" w:gutter="0" w:footer="0" w:header="0"/>
        </w:sectPr>
      </w:pPr>
    </w:p>
    <w:bookmarkStart w:id="50" w:name="page51"/>
    <w:bookmarkEnd w:id="50"/>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has caused this instrument to be executed by its duly authorized officer and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executed this instrument as of this 25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of March, 2022.</w:t>
      </w:r>
    </w:p>
    <w:p>
      <w:pPr>
        <w:spacing w:after="0" w:line="200" w:lineRule="exact"/>
        <w:rPr>
          <w:sz w:val="20"/>
          <w:szCs w:val="20"/>
          <w:color w:val="auto"/>
        </w:rPr>
      </w:pPr>
    </w:p>
    <w:p>
      <w:pPr>
        <w:spacing w:after="0" w:line="21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Gogo Business Aviation LLC</w:t>
      </w:r>
    </w:p>
    <w:p>
      <w:pPr>
        <w:spacing w:after="0" w:line="200" w:lineRule="exact"/>
        <w:rPr>
          <w:sz w:val="20"/>
          <w:szCs w:val="20"/>
          <w:color w:val="auto"/>
        </w:rPr>
      </w:pPr>
    </w:p>
    <w:p>
      <w:pPr>
        <w:spacing w:after="0" w:line="2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Oakleigh Thorne</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Name: Oakleigh Thorne</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-13970</wp:posOffset>
            </wp:positionV>
            <wp:extent cx="10972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11180"/>
          </w:cols>
          <w:pgMar w:left="320" w:top="716" w:right="3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AMENDMENT NUMBER ONE TO</w:t>
      </w:r>
    </w:p>
    <w:p>
      <w:pPr>
        <w:spacing w:after="0" w:line="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This Amendment Number One to Employment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between Gogo Business Aviation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Sergio Aguirre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March 25, 2022.</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have heretofore entered into an Employment Agreement dated as of August 27, 2018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desire to assign the Agreement to Gogo Inc.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to amend its terms to provide for the promotion of Mr. Aguirre to President and Chief Operating Officer of Parent, among other things; and</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WHEREAS, the Agreement as modified by this Amendment supersedes and replaces all other agreements, whether oral or written, related to the terms of Executive’s employment with the Company or Parent with respect to the subject matter hereof, with the exception of that certain Change in Control Severance Agreement, as amended to date (the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between Executive and Parent, which shall remain in effect as modified by this Amendment.</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NOW, THEREFORE, pursuant to Sections 16 and 17 of the Agreement, the Agreement is hereby amended as follows, effective as of April 1, 2022:</w:t>
      </w:r>
    </w:p>
    <w:p>
      <w:pPr>
        <w:spacing w:after="0" w:line="36" w:lineRule="exact"/>
        <w:rPr>
          <w:sz w:val="20"/>
          <w:szCs w:val="20"/>
          <w:color w:val="auto"/>
        </w:rPr>
      </w:pPr>
    </w:p>
    <w:p>
      <w:pPr>
        <w:ind w:left="1000" w:hanging="434"/>
        <w:spacing w:after="0"/>
        <w:tabs>
          <w:tab w:leader="none" w:pos="10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Preamble to the Agreement is hereby deleted in its entirety and is replaced with the following:</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effective August 27, 2018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xml:space="preserve">”), amended as of April 1, 2022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2022 Amendment Effective Date</w:t>
      </w:r>
      <w:r>
        <w:rPr>
          <w:rFonts w:ascii="Times New Roman" w:cs="Times New Roman" w:eastAsia="Times New Roman" w:hAnsi="Times New Roman"/>
          <w:sz w:val="19"/>
          <w:szCs w:val="19"/>
          <w:color w:val="auto"/>
        </w:rPr>
        <w:t>”), by and between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i w:val="1"/>
          <w:iCs w:val="1"/>
          <w:color w:val="auto"/>
        </w:rPr>
        <w:t>Gogo Inc.,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105 Edgeview Drive, Suite 300, Broomfield, Colorado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80021 (“</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and Sergio Aguirre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xml:space="preserve">”) for the benefit of Parent, Executive and </w:t>
      </w:r>
      <w:r>
        <w:rPr>
          <w:rFonts w:ascii="Times New Roman" w:cs="Times New Roman" w:eastAsia="Times New Roman" w:hAnsi="Times New Roman"/>
          <w:sz w:val="19"/>
          <w:szCs w:val="19"/>
          <w:b w:val="1"/>
          <w:bCs w:val="1"/>
          <w:i w:val="1"/>
          <w:iCs w:val="1"/>
          <w:color w:val="auto"/>
        </w:rPr>
        <w:t>Gogo Business Aviation LLC</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This Agreement supersedes and replaces all other agreements, whether oral or written, related to the terms of Executive’s employment with Parent or the Company and any reference to Executive’s employment with the Company shall be interpreted as a reference to Executive’s employment with Parent.</w:t>
      </w:r>
    </w:p>
    <w:p>
      <w:pPr>
        <w:spacing w:after="0" w:line="68" w:lineRule="exact"/>
        <w:rPr>
          <w:sz w:val="20"/>
          <w:szCs w:val="20"/>
          <w:color w:val="auto"/>
        </w:rPr>
      </w:pPr>
    </w:p>
    <w:p>
      <w:pPr>
        <w:ind w:left="1000" w:hanging="434"/>
        <w:spacing w:after="0"/>
        <w:tabs>
          <w:tab w:leader="none" w:pos="10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 of the Agreement is hereby deleted in its entirety and is replaced with the following:</w:t>
      </w:r>
    </w:p>
    <w:p>
      <w:pPr>
        <w:spacing w:after="0" w:line="107"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Capacity, Duties, Term</w:t>
      </w:r>
      <w:r>
        <w:rPr>
          <w:rFonts w:ascii="Times New Roman" w:cs="Times New Roman" w:eastAsia="Times New Roman" w:hAnsi="Times New Roman"/>
          <w:sz w:val="22"/>
          <w:szCs w:val="22"/>
          <w:color w:val="auto"/>
        </w:rPr>
        <w:t>.</w:t>
      </w:r>
    </w:p>
    <w:p>
      <w:pPr>
        <w:spacing w:after="0" w:line="115" w:lineRule="exact"/>
        <w:rPr>
          <w:rFonts w:ascii="Times New Roman" w:cs="Times New Roman" w:eastAsia="Times New Roman" w:hAnsi="Times New Roman"/>
          <w:sz w:val="22"/>
          <w:szCs w:val="22"/>
          <w:color w:val="auto"/>
        </w:rPr>
      </w:pPr>
    </w:p>
    <w:p>
      <w:pPr>
        <w:jc w:val="both"/>
        <w:ind w:firstLine="1505"/>
        <w:spacing w:after="0" w:line="250" w:lineRule="auto"/>
        <w:tabs>
          <w:tab w:leader="none" w:pos="2995"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Capacity and Duties</w:t>
      </w:r>
      <w:r>
        <w:rPr>
          <w:rFonts w:ascii="Times New Roman" w:cs="Times New Roman" w:eastAsia="Times New Roman" w:hAnsi="Times New Roman"/>
          <w:sz w:val="20"/>
          <w:szCs w:val="20"/>
          <w:color w:val="auto"/>
        </w:rPr>
        <w:t>.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2022 Amendment Effective Date, Executive shall be employed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Parent as its President and Chief Operating Officer. During Executive’s employment with Parent, Executive shall perform the duties and bear the responsibilities commensurate with Executive’s position and shall serve Parent faithfully and to the best of Executive’s ability, under the direction of the Chief Executive Officer of the Company. Executive’s actions shall at all times be such that they do not discredit Parent or its products and services, and Executive shall not engage in any business activity or activities that require significant personal services by Executive or that, in the sole judgment of Parent, may conflict with the proper performance of Executive’s duties hereunder. Executive shall devote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Executive’s working time, working attention, and working energies to the business of Parent</w:t>
      </w:r>
      <w:r>
        <w:rPr>
          <w:rFonts w:ascii="Times New Roman" w:cs="Times New Roman" w:eastAsia="Times New Roman" w:hAnsi="Times New Roman"/>
          <w:sz w:val="21"/>
          <w:szCs w:val="21"/>
          <w:color w:val="auto"/>
        </w:rPr>
        <w:t>.</w:t>
      </w:r>
    </w:p>
    <w:p>
      <w:pPr>
        <w:spacing w:after="0" w:line="119" w:lineRule="exact"/>
        <w:rPr>
          <w:sz w:val="20"/>
          <w:szCs w:val="20"/>
          <w:color w:val="auto"/>
        </w:rPr>
      </w:pPr>
    </w:p>
    <w:p>
      <w:pPr>
        <w:jc w:val="both"/>
        <w:ind w:firstLine="1505"/>
        <w:spacing w:after="0" w:line="246" w:lineRule="auto"/>
        <w:tabs>
          <w:tab w:leader="none" w:pos="2995"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term of Executive’s employment under this Agreement shall begin on the 2022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Effective Date and, unless terminated earlier as set forth herein, shall continue through and including December 31, 2026 (the “</w:t>
      </w:r>
      <w:r>
        <w:rPr>
          <w:rFonts w:ascii="Times New Roman" w:cs="Times New Roman" w:eastAsia="Times New Roman" w:hAnsi="Times New Roman"/>
          <w:sz w:val="22"/>
          <w:szCs w:val="22"/>
          <w:b w:val="1"/>
          <w:bCs w:val="1"/>
          <w:i w:val="1"/>
          <w:iCs w:val="1"/>
          <w:color w:val="auto"/>
        </w:rPr>
        <w:t>Initial Expiration Date</w:t>
      </w:r>
      <w:r>
        <w:rPr>
          <w:rFonts w:ascii="Times New Roman" w:cs="Times New Roman" w:eastAsia="Times New Roman" w:hAnsi="Times New Roman"/>
          <w:sz w:val="22"/>
          <w:szCs w:val="22"/>
          <w:color w:val="auto"/>
        </w:rPr>
        <w:t>”), provided that on the Initial Expiration Date and each subsequent anniversary of the Initial Expiration Date, the term of Executive’s employment under this Agreement shall be automatically extended for one additional year unless either party provides written notice to the other party at least three months prior to the Initial Expiration Date (or any such anniversary, as applicable) that Executive’s employment hereunder shall not be so extended (in which case Executive’s employment and this Agreement shall terminate on the Initial Expiration Date or the expiration of the extended term, as applicable); provided, however, that Executive’s employment and this Agreement may be terminated at any time pursuant to the provisions of Section 8. The period of time from the 2022 Amendment Effective Date through the termination of this Agreement and Executive’s employment pursuant to its terms is herein referred to as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w:t>
      </w:r>
    </w:p>
    <w:p>
      <w:pPr>
        <w:spacing w:after="0" w:line="83" w:lineRule="exact"/>
        <w:rPr>
          <w:rFonts w:ascii="Times New Roman" w:cs="Times New Roman" w:eastAsia="Times New Roman" w:hAnsi="Times New Roman"/>
          <w:sz w:val="22"/>
          <w:szCs w:val="22"/>
          <w:color w:val="auto"/>
        </w:rPr>
      </w:pPr>
    </w:p>
    <w:p>
      <w:pPr>
        <w:ind w:left="980" w:hanging="418"/>
        <w:spacing w:after="0"/>
        <w:tabs>
          <w:tab w:leader="none" w:pos="9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3(a) of the Agreement is hereby deleted in its entirety and is replaced with the following:</w:t>
      </w:r>
    </w:p>
    <w:p>
      <w:pPr>
        <w:spacing w:after="0" w:line="94" w:lineRule="exact"/>
        <w:rPr>
          <w:rFonts w:ascii="Times New Roman" w:cs="Times New Roman" w:eastAsia="Times New Roman" w:hAnsi="Times New Roman"/>
          <w:sz w:val="22"/>
          <w:szCs w:val="22"/>
          <w:color w:val="auto"/>
        </w:rPr>
      </w:pPr>
    </w:p>
    <w:p>
      <w:pPr>
        <w:jc w:val="both"/>
        <w:ind w:firstLine="1505"/>
        <w:spacing w:after="0" w:line="247" w:lineRule="auto"/>
        <w:tabs>
          <w:tab w:leader="none" w:pos="2995" w:val="left"/>
        </w:tabs>
        <w:numPr>
          <w:ilvl w:val="1"/>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Parent shall pay to Executive as base compensation for all of the services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rendered by Executive under this Agreement a salary at the rate of $400,000 per annum (the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payable in accordance with such normal payroll practices as are adopted by Parent from time to time, subject to withholdings for federal, state and local taxes, FICA and other withholding required by applicable law, regulation or ruling. The Base Salary shall be reviewed at least annually for increases but not decreases. In addition, Executive shall be eligible for an annual discretionary bonus with a target of eighty percent (80%) of Base Salary. The amount of such annual bonus, if any, shall be decided by the Compensation Committee of the Board of Directors of Parent, and shall be based upon achievement of objectives established by the Compensation Committee, all as determined in the reasonable discretion of the Compensation Committee</w:t>
      </w:r>
      <w:r>
        <w:rPr>
          <w:rFonts w:ascii="Times New Roman" w:cs="Times New Roman" w:eastAsia="Times New Roman" w:hAnsi="Times New Roman"/>
          <w:sz w:val="19"/>
          <w:szCs w:val="19"/>
          <w:color w:val="auto"/>
        </w:rPr>
        <w:t>.</w:t>
      </w:r>
    </w:p>
    <w:p>
      <w:pPr>
        <w:spacing w:after="0" w:line="81" w:lineRule="exact"/>
        <w:rPr>
          <w:rFonts w:ascii="Times New Roman" w:cs="Times New Roman" w:eastAsia="Times New Roman" w:hAnsi="Times New Roman"/>
          <w:sz w:val="20"/>
          <w:szCs w:val="20"/>
          <w:b w:val="1"/>
          <w:bCs w:val="1"/>
          <w:color w:val="auto"/>
        </w:rPr>
      </w:pPr>
    </w:p>
    <w:p>
      <w:pPr>
        <w:ind w:left="1000" w:hanging="434"/>
        <w:spacing w:after="0"/>
        <w:tabs>
          <w:tab w:leader="none" w:pos="10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 of the Agreement is hereby amended by adding the following new subparagraph (f):</w:t>
      </w:r>
    </w:p>
    <w:p>
      <w:pPr>
        <w:spacing w:after="0" w:line="107" w:lineRule="exact"/>
        <w:rPr>
          <w:rFonts w:ascii="Times New Roman" w:cs="Times New Roman" w:eastAsia="Times New Roman" w:hAnsi="Times New Roman"/>
          <w:sz w:val="22"/>
          <w:szCs w:val="22"/>
          <w:color w:val="auto"/>
        </w:rPr>
      </w:pPr>
    </w:p>
    <w:p>
      <w:pPr>
        <w:jc w:val="both"/>
        <w:ind w:firstLine="1505"/>
        <w:spacing w:after="0" w:line="248" w:lineRule="auto"/>
        <w:tabs>
          <w:tab w:leader="none" w:pos="1772"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Promotion Equity Grant</w:t>
      </w:r>
      <w:r>
        <w:rPr>
          <w:rFonts w:ascii="Times New Roman" w:cs="Times New Roman" w:eastAsia="Times New Roman" w:hAnsi="Times New Roman"/>
          <w:sz w:val="22"/>
          <w:szCs w:val="22"/>
          <w:color w:val="auto"/>
        </w:rPr>
        <w:t>. On or around the 2022 Amendment Effective Date, Parent shall make a grant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time-based restricted stock units (the “</w:t>
      </w:r>
      <w:r>
        <w:rPr>
          <w:rFonts w:ascii="Times New Roman" w:cs="Times New Roman" w:eastAsia="Times New Roman" w:hAnsi="Times New Roman"/>
          <w:sz w:val="22"/>
          <w:szCs w:val="22"/>
          <w:b w:val="1"/>
          <w:bCs w:val="1"/>
          <w:i w:val="1"/>
          <w:iCs w:val="1"/>
          <w:color w:val="auto"/>
        </w:rPr>
        <w:t>Promotion RSUs</w:t>
      </w:r>
      <w:r>
        <w:rPr>
          <w:rFonts w:ascii="Times New Roman" w:cs="Times New Roman" w:eastAsia="Times New Roman" w:hAnsi="Times New Roman"/>
          <w:sz w:val="22"/>
          <w:szCs w:val="22"/>
          <w:color w:val="auto"/>
        </w:rPr>
        <w:t>”) to Executive with a grant date fair value of $300,000. The Promotion RSUs shall be granted pursuant to the Amended and Restated Parent 2016 Omnibus Incentive Plan (“</w:t>
      </w:r>
      <w:r>
        <w:rPr>
          <w:rFonts w:ascii="Times New Roman" w:cs="Times New Roman" w:eastAsia="Times New Roman" w:hAnsi="Times New Roman"/>
          <w:sz w:val="22"/>
          <w:szCs w:val="22"/>
          <w:b w:val="1"/>
          <w:bCs w:val="1"/>
          <w:i w:val="1"/>
          <w:iCs w:val="1"/>
          <w:color w:val="auto"/>
        </w:rPr>
        <w:t>2016 Plan</w:t>
      </w:r>
      <w:r>
        <w:rPr>
          <w:rFonts w:ascii="Times New Roman" w:cs="Times New Roman" w:eastAsia="Times New Roman" w:hAnsi="Times New Roman"/>
          <w:sz w:val="22"/>
          <w:szCs w:val="22"/>
          <w:color w:val="auto"/>
        </w:rPr>
        <w:t>”) and shall vest in 1/3 increments on each of the third, fourth and fifth anniversaries of the grant date, subject to the terms and conditions of the 2016 Plan and the applicable award agreement.</w:t>
      </w:r>
    </w:p>
    <w:p>
      <w:pPr>
        <w:spacing w:after="0" w:line="69" w:lineRule="exact"/>
        <w:rPr>
          <w:rFonts w:ascii="Times New Roman" w:cs="Times New Roman" w:eastAsia="Times New Roman" w:hAnsi="Times New Roman"/>
          <w:sz w:val="22"/>
          <w:szCs w:val="22"/>
          <w:b w:val="1"/>
          <w:bCs w:val="1"/>
          <w:color w:val="auto"/>
        </w:rPr>
      </w:pPr>
    </w:p>
    <w:p>
      <w:pPr>
        <w:jc w:val="both"/>
        <w:ind w:firstLine="1505"/>
        <w:spacing w:after="0" w:line="259" w:lineRule="auto"/>
        <w:tabs>
          <w:tab w:leader="none" w:pos="1857"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Legal Fees</w:t>
      </w:r>
      <w:r>
        <w:rPr>
          <w:rFonts w:ascii="Times New Roman" w:cs="Times New Roman" w:eastAsia="Times New Roman" w:hAnsi="Times New Roman"/>
          <w:sz w:val="22"/>
          <w:szCs w:val="22"/>
          <w:color w:val="auto"/>
        </w:rPr>
        <w:t>. Following receipt of appropriate supporting documentation, Parent agrees to reimburse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for Executive’s reasonable attorneys’ fees specifically related to the negotiation of the amendment of this Agreement (which such amendment shall become effective as of the 2022 Amendment Effective Date), up to a total of $5,000.</w:t>
      </w:r>
    </w:p>
    <w:p>
      <w:pPr>
        <w:spacing w:after="0" w:line="62" w:lineRule="exact"/>
        <w:rPr>
          <w:rFonts w:ascii="Times New Roman" w:cs="Times New Roman" w:eastAsia="Times New Roman" w:hAnsi="Times New Roman"/>
          <w:sz w:val="22"/>
          <w:szCs w:val="22"/>
          <w:b w:val="1"/>
          <w:bCs w:val="1"/>
          <w:color w:val="auto"/>
        </w:rPr>
      </w:pPr>
    </w:p>
    <w:p>
      <w:pPr>
        <w:ind w:left="980" w:hanging="418"/>
        <w:spacing w:after="0"/>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9(a) of the Agreement is hereby deleted in its entirety and is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jc w:val="both"/>
        <w:ind w:firstLine="1505"/>
        <w:spacing w:after="0" w:line="255" w:lineRule="auto"/>
        <w:tabs>
          <w:tab w:leader="none" w:pos="1811" w:val="left"/>
        </w:tabs>
        <w:numPr>
          <w:ilvl w:val="1"/>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by Parent Without Cause, Resignation for Good Reason or Non-Renewal of the Term by the Company</w:t>
      </w:r>
      <w:r>
        <w:rPr>
          <w:rFonts w:ascii="Times New Roman" w:cs="Times New Roman" w:eastAsia="Times New Roman" w:hAnsi="Times New Roman"/>
          <w:sz w:val="21"/>
          <w:szCs w:val="21"/>
          <w:color w:val="auto"/>
        </w:rPr>
        <w:t>. If Executive is terminated under Section 8(a), resigns for Good Reason under Section 8(f) or if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terminates as a result of the end of the Term resulting from the Company’s delivery of a notice of non-renewal pursuant to Section 2(b), and following the execution (and expiration of any revocation period), not later than forty-five (45) days following the termination date, of a separation agreement containing a general release of all claims against Parent, the Company and their Affiliates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Parent shall pay Executive an amount equal to twelve (12) months of Executive’s then-current Base Salary, payable in installments as set forth hereinafter (each such payment a “</w:t>
      </w:r>
      <w:r>
        <w:rPr>
          <w:rFonts w:ascii="Times New Roman" w:cs="Times New Roman" w:eastAsia="Times New Roman" w:hAnsi="Times New Roman"/>
          <w:sz w:val="21"/>
          <w:szCs w:val="21"/>
          <w:b w:val="1"/>
          <w:bCs w:val="1"/>
          <w:i w:val="1"/>
          <w:iCs w:val="1"/>
          <w:color w:val="auto"/>
        </w:rPr>
        <w:t>Severance Payment</w:t>
      </w:r>
      <w:r>
        <w:rPr>
          <w:rFonts w:ascii="Times New Roman" w:cs="Times New Roman" w:eastAsia="Times New Roman" w:hAnsi="Times New Roman"/>
          <w:sz w:val="21"/>
          <w:szCs w:val="21"/>
          <w:color w:val="auto"/>
        </w:rPr>
        <w:t>”). The Severance Payment shall be payable in installments, by direct deposit, in accordance with Parent’s normal payroll practices. The first installment of the Severance Payment shall be made on the first payroll date after the execution (and expiration of any revocation period) of such separation agreement or, if the forty-five (45)-day period following the termination date spans two calendar years and the Severance Payment is subject to Section 409A of the Internal Revenue Code, after such forty-five (45)-day period, and shall include all installments of the Severance Payment that would have been paid if the Release had been fully effective on the termination date. In addition, during the twelve (12) months following termination, should Executive timely elect to continue coverage pursuant to COBRA, Parent agrees to reimburse Executive for the COBRA premiums due to maintain health insurance coverage that is substantially equivalent to that which he received immediately prior to Executive’s termination. Parent shall also</w:t>
      </w:r>
    </w:p>
    <w:p>
      <w:pPr>
        <w:spacing w:after="0" w:line="13" w:lineRule="exact"/>
        <w:rPr>
          <w:rFonts w:ascii="Times New Roman" w:cs="Times New Roman" w:eastAsia="Times New Roman" w:hAnsi="Times New Roman"/>
          <w:sz w:val="21"/>
          <w:szCs w:val="21"/>
          <w:b w:val="1"/>
          <w:bCs w:val="1"/>
          <w:color w:val="auto"/>
        </w:rPr>
      </w:pPr>
    </w:p>
    <w:p>
      <w:pPr>
        <w:jc w:val="both"/>
        <w:ind w:firstLine="8"/>
        <w:spacing w:after="0" w:line="243" w:lineRule="auto"/>
        <w:tabs>
          <w:tab w:leader="none" w:pos="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Executive (A) any salary earned but unpaid prior to termination and all accrued but unused personal time, (B) any business expenses incurred but not reimbursed as of the date of termination ((A) and (B) together, the “</w:t>
      </w:r>
      <w:r>
        <w:rPr>
          <w:rFonts w:ascii="Times New Roman" w:cs="Times New Roman" w:eastAsia="Times New Roman" w:hAnsi="Times New Roman"/>
          <w:sz w:val="22"/>
          <w:szCs w:val="22"/>
          <w:b w:val="1"/>
          <w:bCs w:val="1"/>
          <w:i w:val="1"/>
          <w:iCs w:val="1"/>
          <w:color w:val="auto"/>
        </w:rPr>
        <w:t>Accrued Benefits</w:t>
      </w:r>
      <w:r>
        <w:rPr>
          <w:rFonts w:ascii="Times New Roman" w:cs="Times New Roman" w:eastAsia="Times New Roman" w:hAnsi="Times New Roman"/>
          <w:sz w:val="22"/>
          <w:szCs w:val="22"/>
          <w:color w:val="auto"/>
        </w:rPr>
        <w:t>”) and</w:t>
      </w:r>
    </w:p>
    <w:p>
      <w:pPr>
        <w:jc w:val="both"/>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any award under the annual bonus program referred to in Section 3(a) that has been approved by the Company’s Chief Executive Officer and Parent’s Board of Directors but not paid prior to termination and (ii) solely to the extent Executive’s employment terminates (A) during the Term as a result of Executive’s termination by the Company without Cause under Section 8(a) or Executive’s resignation for Good Reason under Section 8(f) or (B) the end of the Term resulting from the Company’s delivery of a notice of non-renewal pursuant to Section 2(b), (x) ensure Executive is eligible to receive an award under the annual bonus program referred to in Section 3(a), pro-rated based on the number of days that Executive was employed during the calendar year in which Executive terminates from the Company and paid based on actual performance as determined by the Compensation Committee, to be paid at the same time as other executives, (y) cause all outstanding unvested options to purchase common stock in Parent and restricted stock and restricted stock units granted under Parent’s equity plans at least six (6) months prior to the date of Executive’s termination of employment to fully vest upon Executive’s termination of employment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approval of any such grant is contingent upon shareholder approval that was subsequently obtained, the six (6) month period shall be measured from the date that the grant was originally approved) and (y) cause all vested stock options to purchase common stock in Parent (after giving effect to (y)) to remain exercisable through the earlier of (A) the original option term or (B) until the later of (i) December 1, 2025, (ii) the fifth anniversary of grant or (iii) the expiration of the normal post-termination exercise period (generally ninety (90) days post-termination);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exercise period of such options shall in no event be shorter than the post-termination exercise period provided for in the applicable equity award agreement. All benefits provided under this Section 9(a), except for the Accrued Benefits, shall be subject to Executive’s execution and non-revocation of the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ind w:left="1000" w:hanging="434"/>
        <w:spacing w:after="0"/>
        <w:tabs>
          <w:tab w:leader="none" w:pos="10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 of the Agreement is hereby amended by adding the following new subparagraph (e):</w:t>
      </w:r>
    </w:p>
    <w:p>
      <w:pPr>
        <w:spacing w:after="0" w:line="107" w:lineRule="exact"/>
        <w:rPr>
          <w:rFonts w:ascii="Times New Roman" w:cs="Times New Roman" w:eastAsia="Times New Roman" w:hAnsi="Times New Roman"/>
          <w:sz w:val="22"/>
          <w:szCs w:val="22"/>
          <w:color w:val="auto"/>
        </w:rPr>
      </w:pPr>
    </w:p>
    <w:p>
      <w:pPr>
        <w:jc w:val="both"/>
        <w:ind w:firstLine="1505"/>
        <w:spacing w:after="0" w:line="247" w:lineRule="auto"/>
        <w:tabs>
          <w:tab w:leader="none" w:pos="1822"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Benefits; Amendment to Change in Control Agreement</w:t>
      </w:r>
      <w:r>
        <w:rPr>
          <w:rFonts w:ascii="Times New Roman" w:cs="Times New Roman" w:eastAsia="Times New Roman" w:hAnsi="Times New Roman"/>
          <w:sz w:val="22"/>
          <w:szCs w:val="22"/>
          <w:color w:val="auto"/>
        </w:rPr>
        <w:t>. In the event that Executive becomes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to either the benefits set forth in this Agreement or those set forth in the Change in Control Agreement, Executive shall be entitled to the “better of” the two arrangements, which, for the avoidance of doubt, shall ensure that Executive shall receive (i) except as otherwise provided herein, the severance benefits set forth in the Change in Control Agreement upon non-renewal of the Term if the end of the Term occurs during the covered period of the Change in Control Agreement and (ii) treatment of awards under Parent’s equity plans upon a termination following a Change in Control that shall be no worse than the treatment of such awards that is set forth in this Agreement. In addition, the Change in Control Agreement hereby is amended by replacing the definition of “Good Reason” contained in Section 16 thereof with the definition of “Good Reason” contained in Section 8(f) of this Agreement.</w:t>
      </w:r>
    </w:p>
    <w:p>
      <w:pPr>
        <w:spacing w:after="0" w:line="77" w:lineRule="exact"/>
        <w:rPr>
          <w:rFonts w:ascii="Times New Roman" w:cs="Times New Roman" w:eastAsia="Times New Roman" w:hAnsi="Times New Roman"/>
          <w:sz w:val="22"/>
          <w:szCs w:val="22"/>
          <w:b w:val="1"/>
          <w:bCs w:val="1"/>
          <w:color w:val="auto"/>
        </w:rPr>
      </w:pPr>
    </w:p>
    <w:p>
      <w:pPr>
        <w:ind w:left="1020" w:hanging="454"/>
        <w:spacing w:after="0"/>
        <w:tabs>
          <w:tab w:leader="none" w:pos="10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by this Amendment, the Agreement remains in full force and effect.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Parent and the Company have caused this instrument to be executed by a duly authorized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Executive has executed this instrument as of this 25th day of March, 2022.</w:t>
      </w:r>
    </w:p>
    <w:p>
      <w:pPr>
        <w:spacing w:after="0" w:line="200" w:lineRule="exact"/>
        <w:rPr>
          <w:sz w:val="20"/>
          <w:szCs w:val="20"/>
          <w:color w:val="auto"/>
        </w:rPr>
      </w:pPr>
    </w:p>
    <w:p>
      <w:pPr>
        <w:spacing w:after="0" w:line="21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Gogo Inc.</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Oakleigh Thorne</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Name: Oakleigh Thorne</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Gogo Business Aviation LLC</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Oakleigh Thorne</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Name: Oakleigh Thorne</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/s/ Sergio Aguirre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-13970</wp:posOffset>
            </wp:positionV>
            <wp:extent cx="10972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10880"/>
          </w:cols>
          <w:pgMar w:left="320" w:top="959" w:right="6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3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AMENDMENT NUMBER THREE TO</w:t>
      </w:r>
    </w:p>
    <w:p>
      <w:pPr>
        <w:spacing w:after="0" w:line="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8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This Amendment Number Three to Employment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between Gogo Business Aviation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Marguerite Elias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March 25, 2022.</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WHEREAS, the Company and Executive have heretofore entered into an Employment Agreement dated as of January 1, 2008, as amended by Amendment Number One thereto dated as of January 1, 2009 and Amendment Number Two thereto dated as of November 30, 2017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in connection with the consummation of Gogo Inc.’s sale of Gogo LLC (f/k/a Aircell LLC) to Intelsat Jackson Holdings S.A. on December 1, 2020, the Company assumed the Agreement;</w:t>
      </w:r>
    </w:p>
    <w:p>
      <w:pPr>
        <w:spacing w:after="0" w:line="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desire to amend the Agreement to add a Transition Term (as defined hereinafter), among other things; and</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WHEREAS, the Agreement as modified by this Amendment supersedes and replaces all other agreements, whether oral or written, related to the terms of Executive’s employment with the Company with respect to the subject matter hereof, with the exception of that certain Change in Control Severance Agreement, as amended to date (the “</w:t>
      </w:r>
      <w:r>
        <w:rPr>
          <w:rFonts w:ascii="Times New Roman" w:cs="Times New Roman" w:eastAsia="Times New Roman" w:hAnsi="Times New Roman"/>
          <w:sz w:val="22"/>
          <w:szCs w:val="22"/>
          <w:u w:val="single" w:color="auto"/>
          <w:color w:val="auto"/>
        </w:rPr>
        <w:t>Change in Control Agreement</w:t>
      </w:r>
      <w:r>
        <w:rPr>
          <w:rFonts w:ascii="Times New Roman" w:cs="Times New Roman" w:eastAsia="Times New Roman" w:hAnsi="Times New Roman"/>
          <w:sz w:val="22"/>
          <w:szCs w:val="22"/>
          <w:color w:val="auto"/>
        </w:rPr>
        <w:t>”), between Executive and Gogo Inc.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which shall remain in effect as modified by this Amendment.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pursuant to Section 17 of the Agreement, the Agreement is hereby amended as follows, effective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25, 2022:</w:t>
      </w:r>
    </w:p>
    <w:p>
      <w:pPr>
        <w:spacing w:after="0" w:line="74" w:lineRule="exact"/>
        <w:rPr>
          <w:sz w:val="20"/>
          <w:szCs w:val="20"/>
          <w:color w:val="auto"/>
        </w:rPr>
      </w:pPr>
    </w:p>
    <w:p>
      <w:pPr>
        <w:ind w:left="1000" w:hanging="434"/>
        <w:spacing w:after="0"/>
        <w:tabs>
          <w:tab w:leader="none" w:pos="10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 of the Agreement is hereby amended by adding the following sentences at the end of the provision:</w:t>
      </w:r>
    </w:p>
    <w:p>
      <w:pPr>
        <w:spacing w:after="0" w:line="112"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22"/>
          <w:szCs w:val="22"/>
          <w:color w:val="auto"/>
        </w:rPr>
        <w:t xml:space="preserve">Notwithstanding the foregoing, during the Transition Term (as defined below), Executive’s duties shall be modified such that Executive shall perform such duties as may be requested from time to time by the Company’s Chief Executive Officer or Parent’s Board of Directors, including (i) related to Executive’s role as Executive Vice President, General Counsel and Secretary and (ii) assisting the Company in identifying a successor for Executive’s role at the Company and in the Company’s hiring of such successor. In addition, the Company anticipates that during the Transition Term, Executive’s principal place of employment shall remain Chicago, Illinois. Executive cannot relocate without the prior written approval of the Company’s Chief Executive Officer,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Executive may work remotely, subject to required business travel to the Company’s offices in Chicago, Illinois or Broomfield, Colorado, as requested by the Company’s Chief Executive Officer.</w:t>
      </w:r>
    </w:p>
    <w:p>
      <w:pPr>
        <w:spacing w:after="0" w:line="64" w:lineRule="exact"/>
        <w:rPr>
          <w:sz w:val="20"/>
          <w:szCs w:val="20"/>
          <w:color w:val="auto"/>
        </w:rPr>
      </w:pPr>
    </w:p>
    <w:p>
      <w:pPr>
        <w:ind w:left="1000" w:hanging="434"/>
        <w:spacing w:after="0"/>
        <w:tabs>
          <w:tab w:leader="none" w:pos="10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8(f) of the Agreement is hereby deleted in its entirety and is replaced with the following:</w:t>
      </w:r>
    </w:p>
    <w:p>
      <w:pPr>
        <w:spacing w:after="0" w:line="107" w:lineRule="exact"/>
        <w:rPr>
          <w:rFonts w:ascii="Times New Roman" w:cs="Times New Roman" w:eastAsia="Times New Roman" w:hAnsi="Times New Roman"/>
          <w:sz w:val="22"/>
          <w:szCs w:val="22"/>
          <w:color w:val="auto"/>
        </w:rPr>
      </w:pPr>
    </w:p>
    <w:p>
      <w:pPr>
        <w:jc w:val="both"/>
        <w:ind w:firstLine="1505"/>
        <w:spacing w:after="0" w:line="252" w:lineRule="auto"/>
        <w:tabs>
          <w:tab w:leader="none" w:pos="1845"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Executive may terminate her employment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upon a showing of “Good Reason,” which for purposes of this Agreement shall mean (i) a reduction by the Company in Executive’s Base Salary; (ii) (A)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jc w:val="both"/>
        <w:spacing w:after="0" w:line="251" w:lineRule="auto"/>
        <w:rPr>
          <w:sz w:val="20"/>
          <w:szCs w:val="20"/>
          <w:color w:val="auto"/>
        </w:rPr>
      </w:pPr>
      <w:r>
        <w:rPr>
          <w:rFonts w:ascii="Times New Roman" w:cs="Times New Roman" w:eastAsia="Times New Roman" w:hAnsi="Times New Roman"/>
          <w:sz w:val="21"/>
          <w:szCs w:val="21"/>
          <w:color w:val="auto"/>
        </w:rPr>
        <w:t>to the time that the Company hires a successor for Executive’s role at the Company, a material diminution of Executive’s duties or responsibilities such that such duties and responsibilities, when viewed in the aggregate, are not at least commensurate with those duties and responsibilities normally associated with and appropriate to her position or (B) Executive ceasing to be a direct report to the Chief Executive Officer of the Company; (iii) the relocation of Executive’s principal place of employment to a geographic location more than fifty (50) miles from the Company’s office in Chicago, Illinois; or (iv) any material breach by the Company of its obligations to Executive hereunder. In the event that Executive believes that circumstances constituting “Good Reason” have occurred and Executive wishes to terminate her employment as a result of such occurrence, Executive must provide the Company written notice within thirty (30) days from the initial existence of the occurrence. If within thirty (30) days following the Company’s receipt of such notice it corrects the circumstances constituting “Good Reason,” then Executive shall not be entitled to terminate her employment under this Section 8(f) as a result of such circumstances. Furthermore, Executive shall not be entitled to terminate her employment under this Section 8(f) as a result of any circumstances constituting “Good Reason” unless her resignation occurs within thirty (30) days following the expiration of the Company’s cure period;</w:t>
      </w:r>
    </w:p>
    <w:p>
      <w:pPr>
        <w:spacing w:after="0" w:line="61" w:lineRule="exact"/>
        <w:rPr>
          <w:sz w:val="20"/>
          <w:szCs w:val="20"/>
          <w:color w:val="auto"/>
        </w:rPr>
      </w:pPr>
    </w:p>
    <w:p>
      <w:pPr>
        <w:ind w:left="1000" w:hanging="434"/>
        <w:spacing w:after="0"/>
        <w:tabs>
          <w:tab w:leader="none" w:pos="10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 of the Agreement is hereby amended by adding the following new subparagraph (g):</w:t>
      </w:r>
    </w:p>
    <w:p>
      <w:pPr>
        <w:spacing w:after="0" w:line="107" w:lineRule="exact"/>
        <w:rPr>
          <w:rFonts w:ascii="Times New Roman" w:cs="Times New Roman" w:eastAsia="Times New Roman" w:hAnsi="Times New Roman"/>
          <w:sz w:val="22"/>
          <w:szCs w:val="22"/>
          <w:color w:val="auto"/>
        </w:rPr>
      </w:pPr>
    </w:p>
    <w:p>
      <w:pPr>
        <w:jc w:val="both"/>
        <w:ind w:firstLine="1505"/>
        <w:spacing w:after="0" w:line="245" w:lineRule="auto"/>
        <w:tabs>
          <w:tab w:leader="none" w:pos="1817"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Term</w:t>
      </w:r>
      <w:r>
        <w:rPr>
          <w:rFonts w:ascii="Times New Roman" w:cs="Times New Roman" w:eastAsia="Times New Roman" w:hAnsi="Times New Roman"/>
          <w:sz w:val="22"/>
          <w:szCs w:val="22"/>
          <w:color w:val="auto"/>
        </w:rPr>
        <w:t>. The Company and Executive agree that as of the later of (i) September 30, 2022 or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date that is six (6) months after the date Executive began co-working with a suitable successor for Executive’s role at the Company, Executive’s employment with the Company shall automatically end;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Executive has remained continuously employed with the Company from the date hereof through such date (the “</w:t>
      </w:r>
      <w:r>
        <w:rPr>
          <w:rFonts w:ascii="Times New Roman" w:cs="Times New Roman" w:eastAsia="Times New Roman" w:hAnsi="Times New Roman"/>
          <w:sz w:val="22"/>
          <w:szCs w:val="22"/>
          <w:b w:val="1"/>
          <w:bCs w:val="1"/>
          <w:i w:val="1"/>
          <w:iCs w:val="1"/>
          <w:color w:val="auto"/>
        </w:rPr>
        <w:t>Transition Term</w:t>
      </w:r>
      <w:r>
        <w:rPr>
          <w:rFonts w:ascii="Times New Roman" w:cs="Times New Roman" w:eastAsia="Times New Roman" w:hAnsi="Times New Roman"/>
          <w:sz w:val="22"/>
          <w:szCs w:val="22"/>
          <w:color w:val="auto"/>
        </w:rPr>
        <w:t>”).</w:t>
      </w:r>
    </w:p>
    <w:p>
      <w:pPr>
        <w:spacing w:after="0" w:line="78" w:lineRule="exact"/>
        <w:rPr>
          <w:rFonts w:ascii="Times New Roman" w:cs="Times New Roman" w:eastAsia="Times New Roman" w:hAnsi="Times New Roman"/>
          <w:sz w:val="22"/>
          <w:szCs w:val="22"/>
          <w:b w:val="1"/>
          <w:bCs w:val="1"/>
          <w:color w:val="auto"/>
        </w:rPr>
      </w:pPr>
    </w:p>
    <w:p>
      <w:pPr>
        <w:ind w:left="980" w:hanging="418"/>
        <w:spacing w:after="0"/>
        <w:tabs>
          <w:tab w:leader="none" w:pos="9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9(a) of the Agreement is hereby deleted in its entirety and is replaced with the following:</w:t>
      </w:r>
    </w:p>
    <w:p>
      <w:pPr>
        <w:spacing w:after="0" w:line="94" w:lineRule="exact"/>
        <w:rPr>
          <w:rFonts w:ascii="Times New Roman" w:cs="Times New Roman" w:eastAsia="Times New Roman" w:hAnsi="Times New Roman"/>
          <w:sz w:val="22"/>
          <w:szCs w:val="22"/>
          <w:color w:val="auto"/>
        </w:rPr>
      </w:pPr>
    </w:p>
    <w:p>
      <w:pPr>
        <w:jc w:val="both"/>
        <w:ind w:firstLine="1505"/>
        <w:spacing w:after="0" w:line="244" w:lineRule="auto"/>
        <w:tabs>
          <w:tab w:leader="none" w:pos="1814"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by the Company Without Cause, Resignation for Good Reason or the End of Transition Term</w:t>
      </w:r>
      <w:r>
        <w:rPr>
          <w:rFonts w:ascii="Times New Roman" w:cs="Times New Roman" w:eastAsia="Times New Roman" w:hAnsi="Times New Roman"/>
          <w:sz w:val="22"/>
          <w:szCs w:val="22"/>
          <w:color w:val="auto"/>
        </w:rPr>
        <w:t>. If Executive is terminated under Section 8(a), resigns for Good Reason under Section 8(f) or if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terminates as a result of the end of the Transition Term under Section 8(g), and following the execution (and expiration of any revocation period), not later than forty-five (45) days following the termination date, of a separation agreement containing a general release of all claims against Parent, the Company and its Affiliates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the Company shall pay Executive an amount equal to twelve (12) months of Executive’s then-current Base Salary, payable in installments as set forth hereinafter (each such payment a “</w:t>
      </w:r>
      <w:r>
        <w:rPr>
          <w:rFonts w:ascii="Times New Roman" w:cs="Times New Roman" w:eastAsia="Times New Roman" w:hAnsi="Times New Roman"/>
          <w:sz w:val="22"/>
          <w:szCs w:val="22"/>
          <w:b w:val="1"/>
          <w:bCs w:val="1"/>
          <w:i w:val="1"/>
          <w:iCs w:val="1"/>
          <w:color w:val="auto"/>
        </w:rPr>
        <w:t>Severance Payment</w:t>
      </w:r>
      <w:r>
        <w:rPr>
          <w:rFonts w:ascii="Times New Roman" w:cs="Times New Roman" w:eastAsia="Times New Roman" w:hAnsi="Times New Roman"/>
          <w:sz w:val="22"/>
          <w:szCs w:val="22"/>
          <w:color w:val="auto"/>
        </w:rPr>
        <w:t>”). The Severance Payment shall be payable in installments, by direct deposit, in accordance with the Company’s normal payroll practices. The first installment of the Severance Payment shall be made on the first payroll date after the execution (and expiration of any revocation period) of such separation agreement or, if the forty-five (45)-day period following the termination date spans two calendar years and the Severance Payment is subject to Section 409A of the Internal Revenue Code, after such forty-five (45)-day period, and shall include all installments of the Severance Payment that would have been paid if the Release had been fully effective on the termination date. In addition, during the twelve (12) months following termination, should Executive timely elect to continue coverage pursuant to COBRA, the Company agrees to reimburse Executive for the COBRA premiums due to maintain health insurance coverage that is substantially equivalent to that which she received immediately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8" w:name="page59"/>
    <w:bookmarkEnd w:id="58"/>
    <w:p>
      <w:pPr>
        <w:spacing w:after="0" w:line="266" w:lineRule="auto"/>
        <w:rPr>
          <w:sz w:val="20"/>
          <w:szCs w:val="20"/>
          <w:color w:val="auto"/>
        </w:rPr>
      </w:pPr>
      <w:r>
        <w:rPr>
          <w:rFonts w:ascii="Times New Roman" w:cs="Times New Roman" w:eastAsia="Times New Roman" w:hAnsi="Times New Roman"/>
          <w:sz w:val="21"/>
          <w:szCs w:val="21"/>
          <w:color w:val="auto"/>
        </w:rPr>
        <w:t>Executive’s termination. The Company shall also (i) pay Executive (A) any salary earned but unpaid prior to termination and all accrued but unused personal time, (B) any business expenses incurred but not reimbursed as of the date of termination ((A) and</w:t>
      </w:r>
    </w:p>
    <w:p>
      <w:pPr>
        <w:spacing w:after="0" w:line="2" w:lineRule="exact"/>
        <w:rPr>
          <w:sz w:val="20"/>
          <w:szCs w:val="20"/>
          <w:color w:val="auto"/>
        </w:rPr>
      </w:pPr>
    </w:p>
    <w:p>
      <w:pPr>
        <w:jc w:val="both"/>
        <w:ind w:firstLine="8"/>
        <w:spacing w:after="0" w:line="255" w:lineRule="auto"/>
        <w:tabs>
          <w:tab w:leader="none" w:pos="342"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together, the “</w:t>
      </w:r>
      <w:r>
        <w:rPr>
          <w:rFonts w:ascii="Times New Roman" w:cs="Times New Roman" w:eastAsia="Times New Roman" w:hAnsi="Times New Roman"/>
          <w:sz w:val="21"/>
          <w:szCs w:val="21"/>
          <w:b w:val="1"/>
          <w:bCs w:val="1"/>
          <w:i w:val="1"/>
          <w:iCs w:val="1"/>
          <w:color w:val="auto"/>
        </w:rPr>
        <w:t>Accrued Benefits</w:t>
      </w:r>
      <w:r>
        <w:rPr>
          <w:rFonts w:ascii="Times New Roman" w:cs="Times New Roman" w:eastAsia="Times New Roman" w:hAnsi="Times New Roman"/>
          <w:sz w:val="21"/>
          <w:szCs w:val="21"/>
          <w:color w:val="auto"/>
        </w:rPr>
        <w:t>”) and (C) any award under the annual bonus program referred to in Section 3(a) that has been approved by the Company’s Chief Executive Officer and Parent’s Board of Directors but not paid prior to termination and (ii) solely to the extent Executive’s employment terminates (A) during the Transition Term as a result of Executive’s termination by the Company without Cause under Section 8(a) or Executive’s resignation for Good Reason under Section 8(f) or (B) as a result of the end of the Transition Term under Section 8(g), (x) ensure Executive is eligible to receive an award under the annual bonus program referred to in Section 3(a), pro-rated based on the number of days that Executive was employed during the calendar year in which Executive terminates from the Company and paid based on actual performance as determined by the Compensation Committee, to be paid at the same time as other executives, (y) cause all outstanding unvested options to purchase common stock in Parent and restricted stock and restricted stock units granted under Parent’s equity plans at least six (6) months prior to the date of Executive’s termination of employment to fully vest upon Executive’s termination of employment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approval of any such grant is contingent upon shareholder approval that was subsequently obtained, the six (6) month period shall be measured from the date that the grant was originally approved) and (z) cause all vested stock options to purchase common stock in Parent (after giving effect to (y)) to remain exercisable through the earlier of (A) the original option term or (B) December 1, 2025;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exercise period of such options shall in no event be shorter than the post-termination exercise period provided for in the applicable equity award agreement. All benefits provided under this Section 9(a), except for the Accrued Benefits, shall be subject to Executive’s execution and non-revocation of the Release.</w:t>
      </w:r>
    </w:p>
    <w:p>
      <w:pPr>
        <w:spacing w:after="0" w:line="69" w:lineRule="exact"/>
        <w:rPr>
          <w:rFonts w:ascii="Times New Roman" w:cs="Times New Roman" w:eastAsia="Times New Roman" w:hAnsi="Times New Roman"/>
          <w:sz w:val="21"/>
          <w:szCs w:val="21"/>
          <w:color w:val="auto"/>
        </w:rPr>
      </w:pPr>
    </w:p>
    <w:p>
      <w:pPr>
        <w:ind w:left="980" w:hanging="418"/>
        <w:spacing w:after="0"/>
        <w:tabs>
          <w:tab w:leader="none" w:pos="9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9(c) of the Agreement is hereby deleted in its entirety and is replaced with the following:</w:t>
      </w:r>
    </w:p>
    <w:p>
      <w:pPr>
        <w:spacing w:after="0" w:line="107" w:lineRule="exact"/>
        <w:rPr>
          <w:rFonts w:ascii="Times New Roman" w:cs="Times New Roman" w:eastAsia="Times New Roman" w:hAnsi="Times New Roman"/>
          <w:sz w:val="22"/>
          <w:szCs w:val="22"/>
          <w:color w:val="auto"/>
        </w:rPr>
      </w:pPr>
    </w:p>
    <w:p>
      <w:pPr>
        <w:ind w:firstLine="1505"/>
        <w:spacing w:after="0" w:line="262" w:lineRule="auto"/>
        <w:tabs>
          <w:tab w:leader="none" w:pos="1926" w:val="left"/>
        </w:tabs>
        <w:numPr>
          <w:ilvl w:val="2"/>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Survival of Obligations</w:t>
      </w:r>
      <w:r>
        <w:rPr>
          <w:rFonts w:ascii="Times New Roman" w:cs="Times New Roman" w:eastAsia="Times New Roman" w:hAnsi="Times New Roman"/>
          <w:sz w:val="22"/>
          <w:szCs w:val="22"/>
          <w:color w:val="auto"/>
        </w:rPr>
        <w:t>. Executive’s obligations pursuant to Sections 4, 5 and 20 shall survive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of the term of Executive’s employment under this Agreement or any early termination thereof.</w:t>
      </w:r>
    </w:p>
    <w:p>
      <w:pPr>
        <w:spacing w:after="0" w:line="59" w:lineRule="exact"/>
        <w:rPr>
          <w:rFonts w:ascii="Times New Roman" w:cs="Times New Roman" w:eastAsia="Times New Roman" w:hAnsi="Times New Roman"/>
          <w:sz w:val="22"/>
          <w:szCs w:val="22"/>
          <w:b w:val="1"/>
          <w:bCs w:val="1"/>
          <w:color w:val="auto"/>
        </w:rPr>
      </w:pPr>
    </w:p>
    <w:p>
      <w:pPr>
        <w:ind w:left="1000" w:hanging="434"/>
        <w:spacing w:after="0"/>
        <w:tabs>
          <w:tab w:leader="none" w:pos="10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 of the Agreement is hereby amended by adding the following new subparagraph (e):</w:t>
      </w:r>
    </w:p>
    <w:p>
      <w:pPr>
        <w:spacing w:after="0" w:line="107" w:lineRule="exact"/>
        <w:rPr>
          <w:rFonts w:ascii="Times New Roman" w:cs="Times New Roman" w:eastAsia="Times New Roman" w:hAnsi="Times New Roman"/>
          <w:sz w:val="22"/>
          <w:szCs w:val="22"/>
          <w:color w:val="auto"/>
        </w:rPr>
      </w:pPr>
    </w:p>
    <w:p>
      <w:pPr>
        <w:jc w:val="both"/>
        <w:ind w:firstLine="1505"/>
        <w:spacing w:after="0" w:line="246" w:lineRule="auto"/>
        <w:tabs>
          <w:tab w:leader="none" w:pos="1838" w:val="left"/>
        </w:tabs>
        <w:numPr>
          <w:ilvl w:val="2"/>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 In the event that Executive becomes entitled to either the benefits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those set forth in the Change in Control Agreement, Executive shall be entitled to the “better of” the two arrangements, which, for the avoidance of doubt, shall ensure that Executive shall receive (i) except as otherwise provided herein, the severance benefits set forth in the Change in Control Agreement upon resignation at the end of the Transition Term if the end of the Transition Term occurs during the covered period of the Change in Control Agreement and (ii) treatment of awards under Parent’s equity plans upon a termination following a Change in Control that shall be no worse than the treatment of such awards that is set forth in this Agreement.</w:t>
      </w:r>
    </w:p>
    <w:p>
      <w:pPr>
        <w:spacing w:after="0" w:line="78" w:lineRule="exact"/>
        <w:rPr>
          <w:rFonts w:ascii="Times New Roman" w:cs="Times New Roman" w:eastAsia="Times New Roman" w:hAnsi="Times New Roman"/>
          <w:sz w:val="22"/>
          <w:szCs w:val="22"/>
          <w:b w:val="1"/>
          <w:bCs w:val="1"/>
          <w:color w:val="auto"/>
        </w:rPr>
      </w:pPr>
    </w:p>
    <w:p>
      <w:pPr>
        <w:ind w:left="1000" w:right="580" w:hanging="434"/>
        <w:spacing w:after="0" w:line="271" w:lineRule="auto"/>
        <w:tabs>
          <w:tab w:leader="none" w:pos="10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renumbering Section 20, and all references thereto, as Section 21 and by adding the following new Section 20,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9" w:name="page60"/>
    <w:bookmarkEnd w:id="59"/>
    <w:p>
      <w:pPr>
        <w:jc w:val="both"/>
        <w:ind w:firstLine="440"/>
        <w:spacing w:after="0" w:line="247" w:lineRule="auto"/>
        <w:tabs>
          <w:tab w:leader="none" w:pos="756"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With accommodation to Executive’s business or personal schedule, Executive shall make herself available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a period of twelve (12) months following the date of Executive’s termination of employment to consult with the Company or its Affiliates regarding business matters of the Company or its Affiliates in which Executive has expertise or was previously involved. The Company shall reimburse Executive for any reasonable expenses (subject to prior approval) and provide a per diem rate of $2,288 (Executive’s current base salary and target annual bonus divided by 260 (the number of weekdays in a calendar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notwithstanding the foregoing, the Company and Executive shall use their reasonable best efforts to ensure that the level of Executive’s services during the aforementioned cooperation period is consistent with the intent that Executive’s termination of employment constitutes a “separation from service” (within the meaning of Section 409A of the Code).</w:t>
      </w:r>
    </w:p>
    <w:p>
      <w:pPr>
        <w:spacing w:after="0" w:line="77" w:lineRule="exact"/>
        <w:rPr>
          <w:rFonts w:ascii="Times New Roman" w:cs="Times New Roman" w:eastAsia="Times New Roman" w:hAnsi="Times New Roman"/>
          <w:sz w:val="22"/>
          <w:szCs w:val="22"/>
          <w:b w:val="1"/>
          <w:bCs w:val="1"/>
          <w:color w:val="auto"/>
        </w:rPr>
      </w:pPr>
    </w:p>
    <w:p>
      <w:pPr>
        <w:ind w:left="1020" w:hanging="454"/>
        <w:spacing w:after="0"/>
        <w:tabs>
          <w:tab w:leader="none" w:pos="102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by this Amendment, the Agreement remains in full force and effect.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0" w:name="page61"/>
    <w:bookmarkEnd w:id="60"/>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has caused this instrument to be executed by its duly authorized officer and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executed this instrument as of this 25th day of March, 2022.</w:t>
      </w:r>
    </w:p>
    <w:p>
      <w:pPr>
        <w:spacing w:after="0" w:line="200" w:lineRule="exact"/>
        <w:rPr>
          <w:sz w:val="20"/>
          <w:szCs w:val="20"/>
          <w:color w:val="auto"/>
        </w:rPr>
      </w:pPr>
    </w:p>
    <w:p>
      <w:pPr>
        <w:spacing w:after="0" w:line="21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Gogo Business Aviation LLC</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Oakleigh Thorne</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Name: Oakleigh Thorne</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/s/ Marguerite M. Elias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-13970</wp:posOffset>
            </wp:positionV>
            <wp:extent cx="13716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ectPr>
          <w:pgSz w:w="11900" w:h="16838" w:orient="portrait"/>
          <w:cols w:equalWidth="0" w:num="1">
            <w:col w:w="11180"/>
          </w:cols>
          <w:pgMar w:left="320" w:top="959" w:right="399" w:bottom="1440" w:gutter="0" w:footer="0" w:header="0"/>
        </w:sectPr>
      </w:pPr>
    </w:p>
    <w:bookmarkStart w:id="61" w:name="page62"/>
    <w:bookmarkEnd w:id="61"/>
    <w:p>
      <w:pPr>
        <w:ind w:left="10180"/>
        <w:spacing w:after="0"/>
        <w:rPr>
          <w:sz w:val="20"/>
          <w:szCs w:val="20"/>
          <w:color w:val="auto"/>
        </w:rPr>
      </w:pPr>
      <w:r>
        <w:rPr>
          <w:rFonts w:ascii="Times New Roman" w:cs="Times New Roman" w:eastAsia="Times New Roman" w:hAnsi="Times New Roman"/>
          <w:sz w:val="17"/>
          <w:szCs w:val="17"/>
          <w:b w:val="1"/>
          <w:bCs w:val="1"/>
          <w:color w:val="auto"/>
        </w:rPr>
        <w:t>Exhibit 10.2.5</w:t>
      </w:r>
    </w:p>
    <w:p>
      <w:pPr>
        <w:spacing w:after="0" w:line="2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AMENDMENT NUMBER ONE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EMPLOYMENT AGREEMENT</w:t>
      </w:r>
    </w:p>
    <w:p>
      <w:pPr>
        <w:spacing w:after="0" w:line="8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This Amendment Number One to Amended and Restated Employment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between Gogo Business Aviation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Karen Jackson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March 25, 2022.</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have heretofore entered into an Amended and Restated Employment Agreement dated as of February 10, 2020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WHEREAS, in connection with the consummation of Gogo Inc.’s sale of Gogo LLC (f/k/a Aircell LLC) to Intelsat Jackson Holdings S.A. on December 1, 2020, the Company assumed the Agreement;</w:t>
      </w:r>
    </w:p>
    <w:p>
      <w:pPr>
        <w:spacing w:after="0" w:line="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desire to amend the Agreement to add a Transition Term (as defined hereinafter), among other things; and</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WHEREAS, the Agreement as modified by this Amendment supersedes and replaces all other agreements, whether oral or written, related to the terms of Executive’s employment with the Company with respect to the subject matter hereof, with the exception of that certain Change in Control Severance Agreement, as amended to date (the “</w:t>
      </w:r>
      <w:r>
        <w:rPr>
          <w:rFonts w:ascii="Times New Roman" w:cs="Times New Roman" w:eastAsia="Times New Roman" w:hAnsi="Times New Roman"/>
          <w:sz w:val="22"/>
          <w:szCs w:val="22"/>
          <w:u w:val="single" w:color="auto"/>
          <w:color w:val="auto"/>
        </w:rPr>
        <w:t>Change in Control Agreement</w:t>
      </w:r>
      <w:r>
        <w:rPr>
          <w:rFonts w:ascii="Times New Roman" w:cs="Times New Roman" w:eastAsia="Times New Roman" w:hAnsi="Times New Roman"/>
          <w:sz w:val="22"/>
          <w:szCs w:val="22"/>
          <w:color w:val="auto"/>
        </w:rPr>
        <w:t>”), between Executive and Gogo Inc.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which shall remain in effect as modified by this Amendment.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pursuant to Section 17 of the Agreement, the Agreement is hereby amended as follows, effective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25, 2022:</w:t>
      </w:r>
    </w:p>
    <w:p>
      <w:pPr>
        <w:spacing w:after="0" w:line="74" w:lineRule="exact"/>
        <w:rPr>
          <w:sz w:val="20"/>
          <w:szCs w:val="20"/>
          <w:color w:val="auto"/>
        </w:rPr>
      </w:pPr>
    </w:p>
    <w:p>
      <w:pPr>
        <w:ind w:left="1000" w:hanging="434"/>
        <w:spacing w:after="0"/>
        <w:tabs>
          <w:tab w:leader="none" w:pos="10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 of the Agreement is hereby amended by adding the following sentences at the end of the provision:</w:t>
      </w:r>
    </w:p>
    <w:p>
      <w:pPr>
        <w:spacing w:after="0" w:line="11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the foregoing, during the Transition Term (as defined below), Executive’s duties shall be modified such that Executive shall perform such duties as may be requested from time to time by the Company’s Chief Executive Officer or Parent’s Board of Directors, including (i) related to Executive’s role as Executive Vice President, Chief People Experience Officer and (ii) assisting the Company in identifying a successor for Executive’s role at the Company and in the Company’s hiring of such successor. In addition, the Company anticipates that during the Transition Term, Executive’s principal place of employment shall remain Chicago, Illinois, although Executive shall be required to undertake business travel to Broomfield, Colorado on a regular basis. Executive cannot relocate without the prior written approval of the Company’s Chief Executive Officer,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Transition Term is extended by mutual agreement pursuant to Section 8(g), the Company and Executive shall discuss Executive’s ongoing principal place of employment at the time of such extension.</w:t>
      </w:r>
    </w:p>
    <w:p>
      <w:pPr>
        <w:spacing w:after="0" w:line="78" w:lineRule="exact"/>
        <w:rPr>
          <w:sz w:val="20"/>
          <w:szCs w:val="20"/>
          <w:color w:val="auto"/>
        </w:rPr>
      </w:pPr>
    </w:p>
    <w:p>
      <w:pPr>
        <w:ind w:left="1000" w:right="580" w:hanging="434"/>
        <w:spacing w:after="0" w:line="271" w:lineRule="auto"/>
        <w:tabs>
          <w:tab w:leader="none" w:pos="10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3(a) of the Agreement is hereby amended by deleting the second sentence thereof and inserting the following sentence in its place:</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The Base Salary shall be reviewed at least annually for increases but not decreases.</w:t>
      </w:r>
    </w:p>
    <w:p>
      <w:pPr>
        <w:spacing w:after="0" w:line="112" w:lineRule="exact"/>
        <w:rPr>
          <w:sz w:val="20"/>
          <w:szCs w:val="20"/>
          <w:color w:val="auto"/>
        </w:rPr>
      </w:pPr>
    </w:p>
    <w:p>
      <w:pPr>
        <w:ind w:left="1000" w:hanging="434"/>
        <w:spacing w:after="0"/>
        <w:tabs>
          <w:tab w:leader="none" w:pos="10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8(f) of the Agreement is hereby deleted in its entirety and is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2" w:name="page63"/>
    <w:bookmarkEnd w:id="62"/>
    <w:p>
      <w:pPr>
        <w:jc w:val="both"/>
        <w:ind w:left="-8" w:firstLine="1505"/>
        <w:spacing w:after="0" w:line="259" w:lineRule="auto"/>
        <w:tabs>
          <w:tab w:leader="none" w:pos="1837" w:val="left"/>
        </w:tabs>
        <w:numPr>
          <w:ilvl w:val="2"/>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Resignation for Good Reason</w:t>
      </w:r>
      <w:r>
        <w:rPr>
          <w:rFonts w:ascii="Times New Roman" w:cs="Times New Roman" w:eastAsia="Times New Roman" w:hAnsi="Times New Roman"/>
          <w:sz w:val="21"/>
          <w:szCs w:val="21"/>
          <w:color w:val="auto"/>
        </w:rPr>
        <w:t>. Executive may terminate her employment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immediately upon a showing of “Good Reason,” which for purposes of this Agreement shall mean (i) a reduction by the Company in Executive’s Base Salary; (ii) Executive ceasing to be a direct report to the Chief Executive Officer of the Company;</w:t>
      </w:r>
    </w:p>
    <w:p>
      <w:pPr>
        <w:spacing w:after="0" w:line="2" w:lineRule="exact"/>
        <w:rPr>
          <w:rFonts w:ascii="Times New Roman" w:cs="Times New Roman" w:eastAsia="Times New Roman" w:hAnsi="Times New Roman"/>
          <w:sz w:val="21"/>
          <w:szCs w:val="21"/>
          <w:b w:val="1"/>
          <w:bCs w:val="1"/>
          <w:color w:val="auto"/>
        </w:rPr>
      </w:pPr>
    </w:p>
    <w:p>
      <w:pPr>
        <w:jc w:val="both"/>
        <w:ind w:left="-8" w:firstLine="8"/>
        <w:spacing w:after="0" w:line="235" w:lineRule="auto"/>
        <w:tabs>
          <w:tab w:leader="none" w:pos="39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relocation of Executive’s principal place of employment to a geographic location more than fifty (50) miles from the Company’s office in Chicago, Illinois,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Executive acknowledges that business travel to Broomfield, Colorado shall be required on a regular basis and, upon reasonable notice from the Company or Parent, a relocation to Broomfield, Colorado shall not be a basis for having Good Reason under this Agreement; or (iv) any material breach by the Company of its obligations to Executive hereunder. In the event that Executive believes that circumstances constituting “Good Reason” have occurred and Executive wishes to terminate her employment as a result of such occurrence, Executive must provide the Company written notice within thirty (30) days from the initial existence of the occurrence. If within thirty (30) days following the Company’s receipt of such notice it corrects the circumstances constituting “Good Reason,” then Executive shall not be entitled to terminate her employment under this Section 8(f) as a result of such circumstances. Furthermore, Executive shall not be entitled to terminate her employment under this Section 8(f) as a result of any circumstances constituting “Good Reason” unless her resignation occurs within thirty (30) days following the expiration of the Company’s cure period;</w:t>
      </w:r>
    </w:p>
    <w:p>
      <w:pPr>
        <w:spacing w:after="0" w:line="86" w:lineRule="exact"/>
        <w:rPr>
          <w:rFonts w:ascii="Times New Roman" w:cs="Times New Roman" w:eastAsia="Times New Roman" w:hAnsi="Times New Roman"/>
          <w:sz w:val="22"/>
          <w:szCs w:val="22"/>
          <w:color w:val="auto"/>
        </w:rPr>
      </w:pPr>
    </w:p>
    <w:p>
      <w:pPr>
        <w:ind w:left="992" w:hanging="434"/>
        <w:spacing w:after="0"/>
        <w:tabs>
          <w:tab w:leader="none" w:pos="99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 of the Agreement is hereby amended by adding the following new subparagraph (g):</w:t>
      </w:r>
    </w:p>
    <w:p>
      <w:pPr>
        <w:spacing w:after="0" w:line="107" w:lineRule="exact"/>
        <w:rPr>
          <w:rFonts w:ascii="Times New Roman" w:cs="Times New Roman" w:eastAsia="Times New Roman" w:hAnsi="Times New Roman"/>
          <w:sz w:val="22"/>
          <w:szCs w:val="22"/>
          <w:color w:val="auto"/>
        </w:rPr>
      </w:pPr>
    </w:p>
    <w:p>
      <w:pPr>
        <w:jc w:val="both"/>
        <w:ind w:left="-8" w:firstLine="1505"/>
        <w:spacing w:after="0" w:line="241" w:lineRule="auto"/>
        <w:tabs>
          <w:tab w:leader="none" w:pos="1809" w:val="left"/>
        </w:tabs>
        <w:numPr>
          <w:ilvl w:val="2"/>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Term</w:t>
      </w:r>
      <w:r>
        <w:rPr>
          <w:rFonts w:ascii="Times New Roman" w:cs="Times New Roman" w:eastAsia="Times New Roman" w:hAnsi="Times New Roman"/>
          <w:sz w:val="22"/>
          <w:szCs w:val="22"/>
          <w:color w:val="auto"/>
        </w:rPr>
        <w:t>. The Company and Executive agree that, unless otherwise mutually agreed no later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(3) months prior to the end of the Transition Term (as defined below)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inform Executive if it does not intend to seek an extension), as of January 1, 2024, Executive’s employment with the Company shall automatically end;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Executive has remained continuously employed with the Company from the date hereof through such date (the “</w:t>
      </w:r>
      <w:r>
        <w:rPr>
          <w:rFonts w:ascii="Times New Roman" w:cs="Times New Roman" w:eastAsia="Times New Roman" w:hAnsi="Times New Roman"/>
          <w:sz w:val="22"/>
          <w:szCs w:val="22"/>
          <w:b w:val="1"/>
          <w:bCs w:val="1"/>
          <w:i w:val="1"/>
          <w:iCs w:val="1"/>
          <w:color w:val="auto"/>
        </w:rPr>
        <w:t>Transition Term</w:t>
      </w:r>
      <w:r>
        <w:rPr>
          <w:rFonts w:ascii="Times New Roman" w:cs="Times New Roman" w:eastAsia="Times New Roman" w:hAnsi="Times New Roman"/>
          <w:sz w:val="22"/>
          <w:szCs w:val="22"/>
          <w:color w:val="auto"/>
        </w:rPr>
        <w:t>”).</w:t>
      </w:r>
    </w:p>
    <w:p>
      <w:pPr>
        <w:spacing w:after="0" w:line="83" w:lineRule="exact"/>
        <w:rPr>
          <w:rFonts w:ascii="Times New Roman" w:cs="Times New Roman" w:eastAsia="Times New Roman" w:hAnsi="Times New Roman"/>
          <w:sz w:val="22"/>
          <w:szCs w:val="22"/>
          <w:b w:val="1"/>
          <w:bCs w:val="1"/>
          <w:color w:val="auto"/>
        </w:rPr>
      </w:pPr>
    </w:p>
    <w:p>
      <w:pPr>
        <w:ind w:left="972" w:hanging="418"/>
        <w:spacing w:after="0"/>
        <w:tabs>
          <w:tab w:leader="none" w:pos="97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9(a) of the Agreement is hereby deleted in its entirety and is replaced with the following:</w:t>
      </w:r>
    </w:p>
    <w:p>
      <w:pPr>
        <w:spacing w:after="0" w:line="107" w:lineRule="exact"/>
        <w:rPr>
          <w:rFonts w:ascii="Times New Roman" w:cs="Times New Roman" w:eastAsia="Times New Roman" w:hAnsi="Times New Roman"/>
          <w:sz w:val="22"/>
          <w:szCs w:val="22"/>
          <w:color w:val="auto"/>
        </w:rPr>
      </w:pPr>
    </w:p>
    <w:p>
      <w:pPr>
        <w:jc w:val="both"/>
        <w:ind w:left="-8" w:firstLine="1505"/>
        <w:spacing w:after="0" w:line="257" w:lineRule="auto"/>
        <w:tabs>
          <w:tab w:leader="none" w:pos="1806" w:val="left"/>
        </w:tabs>
        <w:numPr>
          <w:ilvl w:val="2"/>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by the Company Without Cause, Resignation for Good Reason or the End of Transition Term</w:t>
      </w:r>
      <w:r>
        <w:rPr>
          <w:rFonts w:ascii="Times New Roman" w:cs="Times New Roman" w:eastAsia="Times New Roman" w:hAnsi="Times New Roman"/>
          <w:sz w:val="21"/>
          <w:szCs w:val="21"/>
          <w:color w:val="auto"/>
        </w:rPr>
        <w:t>. If Executive is terminated under Section 8(a), resigns for Good Reason under Section 8(f) or if Executive’s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terminates as a result of the end of the Transition Term under Section 8(g), and following the execution (and expiration of any revocation period), not later than forty-five (45) days following the termination date, of a separation agreement containing a general release of all claims against Parent, the Company and its Affiliates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the Company shall pay Executive an amount equal to twelve (12) months of Executive’s then-current Base Salary, payable in installments as set forth hereinafter (each such payment a “</w:t>
      </w:r>
      <w:r>
        <w:rPr>
          <w:rFonts w:ascii="Times New Roman" w:cs="Times New Roman" w:eastAsia="Times New Roman" w:hAnsi="Times New Roman"/>
          <w:sz w:val="21"/>
          <w:szCs w:val="21"/>
          <w:b w:val="1"/>
          <w:bCs w:val="1"/>
          <w:i w:val="1"/>
          <w:iCs w:val="1"/>
          <w:color w:val="auto"/>
        </w:rPr>
        <w:t>Severance Payment</w:t>
      </w:r>
      <w:r>
        <w:rPr>
          <w:rFonts w:ascii="Times New Roman" w:cs="Times New Roman" w:eastAsia="Times New Roman" w:hAnsi="Times New Roman"/>
          <w:sz w:val="21"/>
          <w:szCs w:val="21"/>
          <w:color w:val="auto"/>
        </w:rPr>
        <w:t>”). The Severance Payment shall be payable in installments, by direct deposit, in accordance with the Company’s normal payroll practices. The first installment of the Severance Payment shall be made on the first payroll date after the execution (and expiration of any revocation period) of such separation agreement or, if the forty-five (45)-day period following the termination date spans two calendar years and the Severance Payment is subject to Section 409A of the Internal Revenue Code, after such forty-five (45)-day period, and shall include all installments of the Severance Payment that would have been paid if the Release had been fully effective on the termination date. In addition, during the twelve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51" w:right="339" w:bottom="1440" w:gutter="0" w:footer="0" w:header="0"/>
        </w:sectPr>
      </w:pPr>
    </w:p>
    <w:bookmarkStart w:id="63" w:name="page64"/>
    <w:bookmarkEnd w:id="63"/>
    <w:p>
      <w:pPr>
        <w:jc w:val="both"/>
        <w:spacing w:after="0" w:line="244" w:lineRule="auto"/>
        <w:rPr>
          <w:sz w:val="20"/>
          <w:szCs w:val="20"/>
          <w:color w:val="auto"/>
        </w:rPr>
      </w:pPr>
      <w:r>
        <w:rPr>
          <w:rFonts w:ascii="Times New Roman" w:cs="Times New Roman" w:eastAsia="Times New Roman" w:hAnsi="Times New Roman"/>
          <w:sz w:val="22"/>
          <w:szCs w:val="22"/>
          <w:color w:val="auto"/>
        </w:rPr>
        <w:t>following termination, should Executive timely elect to continue coverage pursuant to COBRA, the Company agrees to reimburse Executive for the COBRA premiums due to maintain health insurance coverage that is substantially equivalent to that which she received immediately prior to Executive’s termination. The Company shall also (i) pay Executive (A) any salary earned but unpaid prior to termination and all accrued but unused PTO, (B) any business expenses incurred but not reimbursed as of the date of termination ((A) and (B) together, the “</w:t>
      </w:r>
      <w:r>
        <w:rPr>
          <w:rFonts w:ascii="Times New Roman" w:cs="Times New Roman" w:eastAsia="Times New Roman" w:hAnsi="Times New Roman"/>
          <w:sz w:val="22"/>
          <w:szCs w:val="22"/>
          <w:b w:val="1"/>
          <w:bCs w:val="1"/>
          <w:i w:val="1"/>
          <w:iCs w:val="1"/>
          <w:color w:val="auto"/>
        </w:rPr>
        <w:t>Accrued Benefits</w:t>
      </w:r>
      <w:r>
        <w:rPr>
          <w:rFonts w:ascii="Times New Roman" w:cs="Times New Roman" w:eastAsia="Times New Roman" w:hAnsi="Times New Roman"/>
          <w:sz w:val="22"/>
          <w:szCs w:val="22"/>
          <w:color w:val="auto"/>
        </w:rPr>
        <w:t>”) and (C) any award under the annual bonus program referred to in Section 3(a) that has been approved by the Company’s Chief Executive Officer and Parent’s Board of Directors but not paid prior to termination and (ii) solely to the extent Executive’s employment terminates (A) during the Transition Term as a result of Executive’s termination by the Company without Cause under Section 8(a) or Executive’s resignation for Good Reason under Section 8(f) or (B) as a result of the end of the Transition Term under Section 8(g), (x) ensure Executive is eligible to receive an award under the annual bonus program referred to in Section 3(a), pro-rated based on the number of days that Executive was employed during the calendar year in which Executive terminates from the Company and paid based on actual performance as determined by the Compensation Committee, to be paid at the same time as other executives (which means, for the avoidance of doubt, that if Executive remains employed through the Transition Term, Executive shall be eligible to receive a bonus for 2023 in accordance with the annual bonus plan then in place, to be paid at the same time as other executives), (y) cause all outstanding unvested options to purchase common stock in Parent and restricted stock and restricted stock units granted under Parent’s equity plans at least six (6) months prior to the date of Executive’s termination of employment to fully vest upon Executive’s termination of employment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approval of any such grant is contingent upon shareholder approval that was subsequently obtained, the six (6) month period shall be measured from the date that the grant was originally approved) and (z) cause all vested stock options to purchase common stock in Parent (after giving effect to (y)) to remain exercisable through the earlier of (A) the original option term or (B) December 1, 2025;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exercise period of such options shall in no event be shorter than the post-termination exercise period provided for in the applicable equity award agreement. All benefits provided under this Section 9(a), except for the Accrued Benefits, shall be subject to Executive’s execution and non-revocation of the Release.</w:t>
      </w:r>
    </w:p>
    <w:p>
      <w:pPr>
        <w:spacing w:after="0" w:line="79" w:lineRule="exact"/>
        <w:rPr>
          <w:sz w:val="20"/>
          <w:szCs w:val="20"/>
          <w:color w:val="auto"/>
        </w:rPr>
      </w:pPr>
    </w:p>
    <w:p>
      <w:pPr>
        <w:ind w:left="1000" w:hanging="434"/>
        <w:spacing w:after="0"/>
        <w:tabs>
          <w:tab w:leader="none" w:pos="10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 of the Agreement is hereby amended by adding the following new subparagraph (e):</w:t>
      </w:r>
    </w:p>
    <w:p>
      <w:pPr>
        <w:spacing w:after="0" w:line="107" w:lineRule="exact"/>
        <w:rPr>
          <w:rFonts w:ascii="Times New Roman" w:cs="Times New Roman" w:eastAsia="Times New Roman" w:hAnsi="Times New Roman"/>
          <w:sz w:val="22"/>
          <w:szCs w:val="22"/>
          <w:color w:val="auto"/>
        </w:rPr>
      </w:pPr>
    </w:p>
    <w:p>
      <w:pPr>
        <w:jc w:val="both"/>
        <w:ind w:firstLine="1505"/>
        <w:spacing w:after="0" w:line="246" w:lineRule="auto"/>
        <w:tabs>
          <w:tab w:leader="none" w:pos="1838"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 In the event that Executive becomes entitled to either the benefits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those set forth in the Change in Control Agreement, Executive shall be entitled to the “better of” the two arrangements, which, for the avoidance of doubt, shall ensure that Executive shall receive (i) except as otherwise provided herein, the severance benefits set forth in the Change in Control Agreement upon resignation at the end of the Transition Term if the end of the Transition Term occurs during the covered period of the Change in Control Agreement and (ii) treatment of awards under Parent’s equity plans upon a termination following a Change in Control that shall be no worse than the treatment of such awards that is set forth in this Agreement.</w:t>
      </w:r>
    </w:p>
    <w:p>
      <w:pPr>
        <w:spacing w:after="0" w:line="78" w:lineRule="exact"/>
        <w:rPr>
          <w:rFonts w:ascii="Times New Roman" w:cs="Times New Roman" w:eastAsia="Times New Roman" w:hAnsi="Times New Roman"/>
          <w:sz w:val="22"/>
          <w:szCs w:val="22"/>
          <w:b w:val="1"/>
          <w:bCs w:val="1"/>
          <w:color w:val="auto"/>
        </w:rPr>
      </w:pPr>
    </w:p>
    <w:p>
      <w:pPr>
        <w:ind w:left="1020" w:hanging="454"/>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by this Amendment, the Agreement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has caused this instrument to be executed by its duly authorized officer and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executed this instrument as of this 25th day of March, 2022.</w:t>
      </w:r>
    </w:p>
    <w:p>
      <w:pPr>
        <w:spacing w:after="0" w:line="200" w:lineRule="exact"/>
        <w:rPr>
          <w:sz w:val="20"/>
          <w:szCs w:val="20"/>
          <w:color w:val="auto"/>
        </w:rPr>
      </w:pPr>
    </w:p>
    <w:p>
      <w:pPr>
        <w:spacing w:after="0" w:line="21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Gogo Business Aviation LLC</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Oakleigh Thorne</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Name: Oakleigh Thorne</w:t>
      </w:r>
    </w:p>
    <w:p>
      <w:pPr>
        <w:spacing w:after="0" w:line="1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/s/ Karen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-13970</wp:posOffset>
            </wp:positionV>
            <wp:extent cx="10972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2" w:lineRule="exact"/>
        <w:rPr>
          <w:sz w:val="20"/>
          <w:szCs w:val="20"/>
          <w:color w:val="auto"/>
        </w:rPr>
      </w:pPr>
    </w:p>
    <w:p>
      <w:pPr>
        <w:jc w:val="center"/>
        <w:ind w:left="340" w:right="2540"/>
        <w:spacing w:after="0" w:line="24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OF THE EXCHANGE ACT, AS AMENDED, AS ADOPTED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Oakleigh Thorne, certify that:</w:t>
      </w:r>
    </w:p>
    <w:p>
      <w:pPr>
        <w:spacing w:after="0" w:line="216"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49" w:lineRule="exact"/>
        <w:rPr>
          <w:rFonts w:ascii="Times New Roman" w:cs="Times New Roman" w:eastAsia="Times New Roman" w:hAnsi="Times New Roman"/>
          <w:sz w:val="18"/>
          <w:szCs w:val="18"/>
          <w:color w:val="auto"/>
        </w:rPr>
      </w:pPr>
    </w:p>
    <w:p>
      <w:pPr>
        <w:ind w:left="520" w:right="280" w:hanging="512"/>
        <w:spacing w:after="0" w:line="258" w:lineRule="auto"/>
        <w:tabs>
          <w:tab w:leader="none" w:pos="37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37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8"/>
          <w:szCs w:val="18"/>
          <w:color w:val="auto"/>
        </w:rPr>
      </w:pPr>
    </w:p>
    <w:p>
      <w:pPr>
        <w:ind w:left="1020" w:right="80" w:hanging="479"/>
        <w:spacing w:after="0" w:line="250" w:lineRule="auto"/>
        <w:tabs>
          <w:tab w:leader="none" w:pos="89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8"/>
          <w:szCs w:val="18"/>
          <w:color w:val="auto"/>
        </w:rPr>
      </w:pPr>
    </w:p>
    <w:p>
      <w:pPr>
        <w:ind w:left="1020" w:right="320" w:hanging="479"/>
        <w:spacing w:after="0" w:line="250" w:lineRule="auto"/>
        <w:tabs>
          <w:tab w:leader="none" w:pos="89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1020" w:right="480" w:hanging="479"/>
        <w:spacing w:after="0" w:line="273" w:lineRule="auto"/>
        <w:tabs>
          <w:tab w:leader="none" w:pos="89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120" w:hanging="479"/>
        <w:spacing w:after="0" w:line="258" w:lineRule="auto"/>
        <w:tabs>
          <w:tab w:leader="none" w:pos="89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right="540" w:hanging="479"/>
        <w:spacing w:after="0" w:line="282" w:lineRule="auto"/>
        <w:tabs>
          <w:tab w:leader="none" w:pos="89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May 5,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2" w:lineRule="exact"/>
        <w:rPr>
          <w:sz w:val="20"/>
          <w:szCs w:val="20"/>
          <w:color w:val="auto"/>
        </w:rPr>
      </w:pPr>
    </w:p>
    <w:p>
      <w:pPr>
        <w:jc w:val="center"/>
        <w:ind w:left="340" w:right="2540"/>
        <w:spacing w:after="0" w:line="24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OF THE EXCHANGE ACT, AS AMENDED, AS ADOPTED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Barry Rowan, certify that:</w:t>
      </w:r>
    </w:p>
    <w:p>
      <w:pPr>
        <w:spacing w:after="0" w:line="216" w:lineRule="exact"/>
        <w:rPr>
          <w:sz w:val="20"/>
          <w:szCs w:val="20"/>
          <w:color w:val="auto"/>
        </w:rPr>
      </w:pPr>
    </w:p>
    <w:p>
      <w:pPr>
        <w:ind w:left="360" w:hanging="352"/>
        <w:spacing w:after="0"/>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49" w:lineRule="exact"/>
        <w:rPr>
          <w:rFonts w:ascii="Times New Roman" w:cs="Times New Roman" w:eastAsia="Times New Roman" w:hAnsi="Times New Roman"/>
          <w:sz w:val="18"/>
          <w:szCs w:val="18"/>
          <w:color w:val="auto"/>
        </w:rPr>
      </w:pPr>
    </w:p>
    <w:p>
      <w:pPr>
        <w:ind w:left="520" w:right="280" w:hanging="512"/>
        <w:spacing w:after="0" w:line="258" w:lineRule="auto"/>
        <w:tabs>
          <w:tab w:leader="none" w:pos="3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3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8"/>
          <w:szCs w:val="18"/>
          <w:color w:val="auto"/>
        </w:rPr>
      </w:pPr>
    </w:p>
    <w:p>
      <w:pPr>
        <w:ind w:left="1020" w:right="80" w:hanging="479"/>
        <w:spacing w:after="0" w:line="250" w:lineRule="auto"/>
        <w:tabs>
          <w:tab w:leader="none" w:pos="8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Times New Roman" w:cs="Times New Roman" w:eastAsia="Times New Roman" w:hAnsi="Times New Roman"/>
          <w:sz w:val="18"/>
          <w:szCs w:val="18"/>
          <w:color w:val="auto"/>
        </w:rPr>
      </w:pPr>
    </w:p>
    <w:p>
      <w:pPr>
        <w:ind w:left="1020" w:right="320" w:hanging="479"/>
        <w:spacing w:after="0" w:line="250" w:lineRule="auto"/>
        <w:tabs>
          <w:tab w:leader="none" w:pos="8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1020" w:right="480" w:hanging="479"/>
        <w:spacing w:after="0" w:line="273" w:lineRule="auto"/>
        <w:tabs>
          <w:tab w:leader="none" w:pos="8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120" w:hanging="479"/>
        <w:spacing w:after="0" w:line="258" w:lineRule="auto"/>
        <w:tabs>
          <w:tab w:leader="none" w:pos="8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right="540" w:hanging="479"/>
        <w:spacing w:after="0" w:line="282" w:lineRule="auto"/>
        <w:tabs>
          <w:tab w:leader="none" w:pos="8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May 5,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Barry Rowan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Oakleigh Thorne, Chief Executive Officer of Gogo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80" w:lineRule="exact"/>
        <w:rPr>
          <w:sz w:val="20"/>
          <w:szCs w:val="20"/>
          <w:color w:val="auto"/>
        </w:rPr>
      </w:pPr>
    </w:p>
    <w:p>
      <w:pPr>
        <w:ind w:left="760" w:right="2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(the “Report”) fully complies with the requirements of Section 13(a) or 15(d) of the Securities Exchange Act of 1934; and</w:t>
      </w:r>
    </w:p>
    <w:p>
      <w:pPr>
        <w:spacing w:after="0" w:line="134" w:lineRule="exact"/>
        <w:rPr>
          <w:rFonts w:ascii="Times New Roman" w:cs="Times New Roman" w:eastAsia="Times New Roman" w:hAnsi="Times New Roman"/>
          <w:sz w:val="18"/>
          <w:szCs w:val="18"/>
          <w:color w:val="auto"/>
        </w:rPr>
      </w:pPr>
    </w:p>
    <w:p>
      <w:pPr>
        <w:ind w:left="20" w:right="100" w:firstLine="362"/>
        <w:spacing w:after="0" w:line="493" w:lineRule="auto"/>
        <w:tabs>
          <w:tab w:leader="none" w:pos="7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5, 2022</w:t>
      </w:r>
    </w:p>
    <w:p>
      <w:pPr>
        <w:ind w:left="2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135" w:lineRule="exact"/>
        <w:rPr>
          <w:sz w:val="20"/>
          <w:szCs w:val="20"/>
          <w:color w:val="auto"/>
        </w:rPr>
      </w:pPr>
    </w:p>
    <w:p>
      <w:pPr>
        <w:ind w:left="760" w:right="20" w:hanging="378"/>
        <w:spacing w:after="0" w:line="282" w:lineRule="auto"/>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(the “Report”) fully complies with the requirements of Section 13(a) or 15(d) of the Securities Exchange Act of 1934; and</w:t>
      </w:r>
    </w:p>
    <w:p>
      <w:pPr>
        <w:spacing w:after="0" w:line="134" w:lineRule="exact"/>
        <w:rPr>
          <w:rFonts w:ascii="Times New Roman" w:cs="Times New Roman" w:eastAsia="Times New Roman" w:hAnsi="Times New Roman"/>
          <w:sz w:val="18"/>
          <w:szCs w:val="18"/>
          <w:color w:val="auto"/>
        </w:rPr>
      </w:pPr>
    </w:p>
    <w:p>
      <w:pPr>
        <w:ind w:left="20" w:right="100" w:firstLine="362"/>
        <w:spacing w:after="0" w:line="493" w:lineRule="auto"/>
        <w:tabs>
          <w:tab w:leader="none" w:pos="7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5, 2022</w:t>
      </w:r>
    </w:p>
    <w:p>
      <w:pPr>
        <w:ind w:left="20"/>
        <w:spacing w:after="0"/>
        <w:rPr>
          <w:sz w:val="20"/>
          <w:szCs w:val="20"/>
          <w:color w:val="auto"/>
        </w:rPr>
      </w:pPr>
      <w:r>
        <w:rPr>
          <w:rFonts w:ascii="Times New Roman" w:cs="Times New Roman" w:eastAsia="Times New Roman" w:hAnsi="Times New Roman"/>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Barry Rowan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2"/>
    </w:lvl>
  </w:abstractNum>
  <w:abstractNum w:abstractNumId="4">
    <w:nsid w:val="57E4CCAF"/>
    <w:multiLevelType w:val="hybridMultilevel"/>
    <w:lvl w:ilvl="0">
      <w:lvlJc w:val="left"/>
      <w:lvlText w:val="%1."/>
      <w:numFmt w:val="decimal"/>
      <w:start w:val="3"/>
    </w:lvl>
  </w:abstractNum>
  <w:abstractNum w:abstractNumId="5">
    <w:nsid w:val="7A6D8D3C"/>
    <w:multiLevelType w:val="hybridMultilevel"/>
    <w:lvl w:ilvl="0">
      <w:lvlJc w:val="left"/>
      <w:lvlText w:val="%1."/>
      <w:numFmt w:val="decimal"/>
      <w:start w:val="4"/>
    </w:lvl>
  </w:abstractNum>
  <w:abstractNum w:abstractNumId="6">
    <w:nsid w:val="4B588F54"/>
    <w:multiLevelType w:val="hybridMultilevel"/>
    <w:lvl w:ilvl="0">
      <w:lvlJc w:val="left"/>
      <w:lvlText w:val="%1."/>
      <w:numFmt w:val="decimal"/>
      <w:start w:val="5"/>
    </w:lvl>
  </w:abstractNum>
  <w:abstractNum w:abstractNumId="7">
    <w:nsid w:val="542289EC"/>
    <w:multiLevelType w:val="hybridMultilevel"/>
    <w:lvl w:ilvl="0">
      <w:lvlJc w:val="left"/>
      <w:lvlText w:val="%1."/>
      <w:numFmt w:val="decimal"/>
      <w:start w:val="6"/>
    </w:lvl>
  </w:abstractNum>
  <w:abstractNum w:abstractNumId="8">
    <w:nsid w:val="6DE91B18"/>
    <w:multiLevelType w:val="hybridMultilevel"/>
    <w:lvl w:ilvl="0">
      <w:lvlJc w:val="left"/>
      <w:lvlText w:val="%1."/>
      <w:numFmt w:val="decimal"/>
      <w:start w:val="7"/>
    </w:lvl>
  </w:abstractNum>
  <w:abstractNum w:abstractNumId="9">
    <w:nsid w:val="38437FDB"/>
    <w:multiLevelType w:val="hybridMultilevel"/>
    <w:lvl w:ilvl="0">
      <w:lvlJc w:val="left"/>
      <w:lvlText w:val="(%1)"/>
      <w:numFmt w:val="decimal"/>
      <w:start w:val="1"/>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1."/>
      <w:numFmt w:val="decimal"/>
      <w:start w:val="8"/>
    </w:lvl>
  </w:abstractNum>
  <w:abstractNum w:abstractNumId="12">
    <w:nsid w:val="684A481A"/>
    <w:multiLevelType w:val="hybridMultilevel"/>
    <w:lvl w:ilvl="0">
      <w:lvlJc w:val="left"/>
      <w:lvlText w:val="%1."/>
      <w:numFmt w:val="decimal"/>
      <w:start w:val="9"/>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lowerRoman"/>
      <w:start w:val="2"/>
    </w:lvl>
  </w:abstractNum>
  <w:abstractNum w:abstractNumId="16">
    <w:nsid w:val="1BA026FA"/>
    <w:multiLevelType w:val="hybridMultilevel"/>
    <w:lvl w:ilvl="0">
      <w:lvlJc w:val="left"/>
      <w:lvlText w:val="%1."/>
      <w:numFmt w:val="decimal"/>
      <w:start w:val="10"/>
    </w:lvl>
  </w:abstractNum>
  <w:abstractNum w:abstractNumId="17">
    <w:nsid w:val="79A1DEAA"/>
    <w:multiLevelType w:val="hybridMultilevel"/>
    <w:lvl w:ilvl="0">
      <w:lvlJc w:val="left"/>
      <w:lvlText w:val="%1."/>
      <w:numFmt w:val="decimal"/>
      <w:start w:val="11"/>
    </w:lvl>
  </w:abstractNum>
  <w:abstractNum w:abstractNumId="18">
    <w:nsid w:val="75C6C33A"/>
    <w:multiLevelType w:val="hybridMultilevel"/>
    <w:lvl w:ilvl="0">
      <w:lvlJc w:val="left"/>
      <w:lvlText w:val="%1."/>
      <w:numFmt w:val="decimal"/>
      <w:start w:val="12"/>
    </w:lvl>
  </w:abstractNum>
  <w:abstractNum w:abstractNumId="19">
    <w:nsid w:val="12E685FB"/>
    <w:multiLevelType w:val="hybridMultilevel"/>
    <w:lvl w:ilvl="0">
      <w:lvlJc w:val="left"/>
      <w:lvlText w:val="%1."/>
      <w:numFmt w:val="decimal"/>
      <w:start w:val="13"/>
    </w:lvl>
  </w:abstractNum>
  <w:abstractNum w:abstractNumId="20">
    <w:nsid w:val="70C6A529"/>
    <w:multiLevelType w:val="hybridMultilevel"/>
    <w:lvl w:ilvl="0">
      <w:lvlJc w:val="left"/>
      <w:lvlText w:val="%1."/>
      <w:numFmt w:val="decimal"/>
      <w:start w:val="14"/>
    </w:lvl>
    <w:lvl w:ilvl="1">
      <w:lvlJc w:val="left"/>
      <w:lvlText w:val="•"/>
      <w:numFmt w:val="bullet"/>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decimal"/>
      <w:start w:val="15"/>
    </w:lvl>
  </w:abstractNum>
  <w:abstractNum w:abstractNumId="23">
    <w:nsid w:val="4F4EF005"/>
    <w:multiLevelType w:val="hybridMultilevel"/>
    <w:lvl w:ilvl="0">
      <w:lvlJc w:val="left"/>
      <w:lvlText w:val="%1."/>
      <w:numFmt w:val="decimal"/>
      <w:start w:val="16"/>
    </w:lvl>
  </w:abstractNum>
  <w:abstractNum w:abstractNumId="24">
    <w:nsid w:val="23F9C13C"/>
    <w:multiLevelType w:val="hybridMultilevel"/>
    <w:lvl w:ilvl="0">
      <w:lvlJc w:val="left"/>
      <w:lvlText w:val="%1."/>
      <w:numFmt w:val="decimal"/>
      <w:start w:val="17"/>
    </w:lvl>
  </w:abstractNum>
  <w:abstractNum w:abstractNumId="25">
    <w:nsid w:val="649BB77C"/>
    <w:multiLevelType w:val="hybridMultilevel"/>
    <w:lvl w:ilvl="0">
      <w:lvlJc w:val="left"/>
      <w:lvlText w:val="%1."/>
      <w:numFmt w:val="decimal"/>
      <w:start w:val="18"/>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lvl w:ilvl="1">
      <w:lvlJc w:val="left"/>
      <w:lvlText w:val="▪"/>
      <w:numFmt w:val="bullet"/>
      <w:start w:val="1"/>
    </w:lvl>
  </w:abstractNum>
  <w:abstractNum w:abstractNumId="35">
    <w:nsid w:val="D34B6A8"/>
    <w:multiLevelType w:val="hybridMultilevel"/>
    <w:lvl w:ilvl="0">
      <w:lvlJc w:val="left"/>
      <w:lvlText w:val="o"/>
      <w:numFmt w:val="bullet"/>
      <w:start w:val="1"/>
    </w:lvl>
  </w:abstractNum>
  <w:abstractNum w:abstractNumId="36">
    <w:nsid w:val="10233C99"/>
    <w:multiLevelType w:val="hybridMultilevel"/>
    <w:lvl w:ilvl="0">
      <w:lvlJc w:val="left"/>
      <w:lvlText w:val="(%1)"/>
      <w:numFmt w:val="lowerLetter"/>
      <w:start w:val="1"/>
    </w:lvl>
  </w:abstractNum>
  <w:abstractNum w:abstractNumId="37">
    <w:nsid w:val="3F6AB60F"/>
    <w:multiLevelType w:val="hybridMultilevel"/>
    <w:lvl w:ilvl="0">
      <w:lvlJc w:val="left"/>
      <w:lvlText w:val="(%1)"/>
      <w:numFmt w:val="lowerLetter"/>
      <w:start w:val="2"/>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
      <w:numFmt w:val="bullet"/>
      <w:start w:val="1"/>
    </w:lvl>
    <w:lvl w:ilvl="1">
      <w:lvlJc w:val="left"/>
      <w:lvlText w:val="%2"/>
      <w:numFmt w:val="decimal"/>
      <w:start w:val="104"/>
    </w:lvl>
  </w:abstractNum>
  <w:abstractNum w:abstractNumId="40">
    <w:nsid w:val="77AE35EB"/>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2"/>
    </w:lvl>
  </w:abstractNum>
  <w:abstractNum w:abstractNumId="41">
    <w:nsid w:val="579BE4F1"/>
    <w:multiLevelType w:val="hybridMultilevel"/>
    <w:lvl w:ilvl="0">
      <w:lvlJc w:val="left"/>
      <w:lvlText w:val="%1."/>
      <w:numFmt w:val="decimal"/>
      <w:start w:val="3"/>
    </w:lvl>
    <w:lvl w:ilvl="1">
      <w:lvlJc w:val="left"/>
      <w:lvlText w:val="(%2)"/>
      <w:numFmt w:val="lowerLetter"/>
      <w:start w:val="2"/>
    </w:lvl>
  </w:abstractNum>
  <w:abstractNum w:abstractNumId="42">
    <w:nsid w:val="310C50B3"/>
    <w:multiLevelType w:val="hybridMultilevel"/>
    <w:lvl w:ilvl="0">
      <w:lvlJc w:val="left"/>
      <w:lvlText w:val="%1"/>
      <w:numFmt w:val="decimal"/>
      <w:start w:val="1"/>
    </w:lvl>
    <w:lvl w:ilvl="1">
      <w:lvlJc w:val="left"/>
      <w:lvlText w:val="(%2)"/>
      <w:numFmt w:val="lowerLetter"/>
      <w:start w:val="6"/>
    </w:lvl>
  </w:abstractNum>
  <w:abstractNum w:abstractNumId="43">
    <w:nsid w:val="5FF87E05"/>
    <w:multiLevelType w:val="hybridMultilevel"/>
    <w:lvl w:ilvl="0">
      <w:lvlJc w:val="left"/>
      <w:lvlText w:val="%1."/>
      <w:numFmt w:val="decimal"/>
      <w:start w:val="8"/>
    </w:lvl>
    <w:lvl w:ilvl="1">
      <w:lvlJc w:val="left"/>
      <w:lvlText w:val="%2"/>
      <w:numFmt w:val="lowerLetter"/>
      <w:start w:val="1"/>
    </w:lvl>
  </w:abstractNum>
  <w:abstractNum w:abstractNumId="44">
    <w:nsid w:val="2F305DEF"/>
    <w:multiLevelType w:val="hybridMultilevel"/>
    <w:lvl w:ilvl="0">
      <w:lvlJc w:val="left"/>
      <w:lvlText w:val="%1"/>
      <w:numFmt w:val="decimal"/>
      <w:start w:val="1"/>
    </w:lvl>
    <w:lvl w:ilvl="1">
      <w:lvlJc w:val="left"/>
      <w:lvlText w:val="(%2)"/>
      <w:numFmt w:val="lowerLetter"/>
      <w:start w:val="1"/>
    </w:lvl>
  </w:abstractNum>
  <w:abstractNum w:abstractNumId="45">
    <w:nsid w:val="25A70BF7"/>
    <w:multiLevelType w:val="hybridMultilevel"/>
    <w:lvl w:ilvl="0">
      <w:lvlJc w:val="left"/>
      <w:lvlText w:val="%1."/>
      <w:numFmt w:val="decimal"/>
      <w:start w:val="9"/>
    </w:lvl>
    <w:lvl w:ilvl="1">
      <w:lvlJc w:val="left"/>
      <w:lvlText w:val="(%2)"/>
      <w:numFmt w:val="lowerLetter"/>
      <w:start w:val="2"/>
    </w:lvl>
  </w:abstractNum>
  <w:abstractNum w:abstractNumId="46">
    <w:nsid w:val="1DBABF00"/>
    <w:multiLevelType w:val="hybridMultilevel"/>
    <w:lvl w:ilvl="0">
      <w:lvlJc w:val="left"/>
      <w:lvlText w:val="%1."/>
      <w:numFmt w:val="decimal"/>
      <w:start w:val="10"/>
    </w:lvl>
    <w:lvl w:ilvl="1">
      <w:lvlJc w:val="left"/>
      <w:lvlText w:val="(%2)"/>
      <w:numFmt w:val="lowerLetter"/>
      <w:start w:val="3"/>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2"/>
    </w:lvl>
    <w:lvl w:ilvl="1">
      <w:lvlJc w:val="left"/>
      <w:lvlText w:val="(%2)"/>
      <w:numFmt w:val="decimal"/>
      <w:start w:val="3"/>
    </w:lvl>
  </w:abstractNum>
  <w:abstractNum w:abstractNumId="49">
    <w:nsid w:val="1381823A"/>
    <w:multiLevelType w:val="hybridMultilevel"/>
    <w:lvl w:ilvl="0">
      <w:lvlJc w:val="left"/>
      <w:lvlText w:val="%1"/>
      <w:numFmt w:val="decimal"/>
      <w:start w:val="1"/>
    </w:lvl>
    <w:lvl w:ilvl="1">
      <w:lvlJc w:val="left"/>
      <w:lvlText w:val="(%2)"/>
      <w:numFmt w:val="lowerLetter"/>
      <w:start w:val="7"/>
    </w:lvl>
  </w:abstractNum>
  <w:abstractNum w:abstractNumId="50">
    <w:nsid w:val="5DB70AE5"/>
    <w:multiLevelType w:val="hybridMultilevel"/>
    <w:lvl w:ilvl="0">
      <w:lvlJc w:val="left"/>
      <w:lvlText w:val="%1."/>
      <w:numFmt w:val="decimal"/>
      <w:start w:val="4"/>
    </w:lvl>
    <w:lvl w:ilvl="1">
      <w:lvlJc w:val="left"/>
      <w:lvlText w:val="(%2)"/>
      <w:numFmt w:val="lowerLetter"/>
      <w:start w:val="1"/>
    </w:lvl>
  </w:abstractNum>
  <w:abstractNum w:abstractNumId="51">
    <w:nsid w:val="100F8FCA"/>
    <w:multiLevelType w:val="hybridMultilevel"/>
    <w:lvl w:ilvl="0">
      <w:lvlJc w:val="left"/>
      <w:lvlText w:val="(%1)"/>
      <w:numFmt w:val="upperLetter"/>
      <w:start w:val="1"/>
    </w:lvl>
    <w:lvl w:ilvl="1">
      <w:lvlJc w:val="left"/>
      <w:lvlText w:val="%2."/>
      <w:numFmt w:val="decimal"/>
      <w:start w:val="5"/>
    </w:lvl>
  </w:abstractNum>
  <w:abstractNum w:abstractNumId="52">
    <w:nsid w:val="6590700B"/>
    <w:multiLevelType w:val="hybridMultilevel"/>
    <w:lvl w:ilvl="0">
      <w:lvlJc w:val="left"/>
      <w:lvlText w:val="%1"/>
      <w:numFmt w:val="decimal"/>
      <w:start w:val="1"/>
    </w:lvl>
    <w:lvl w:ilvl="1">
      <w:lvlJc w:val="left"/>
      <w:lvlText w:val="(%2)"/>
      <w:numFmt w:val="lowerLetter"/>
      <w:start w:val="3"/>
    </w:lvl>
  </w:abstractNum>
  <w:abstractNum w:abstractNumId="53">
    <w:nsid w:val="15014ACB"/>
    <w:multiLevelType w:val="hybridMultilevel"/>
    <w:lvl w:ilvl="0">
      <w:lvlJc w:val="left"/>
      <w:lvlText w:val="%1."/>
      <w:numFmt w:val="decimal"/>
      <w:start w:val="6"/>
    </w:lvl>
    <w:lvl w:ilvl="1">
      <w:lvlJc w:val="left"/>
      <w:lvlText w:val="(%2)"/>
      <w:numFmt w:val="lowerLetter"/>
      <w:start w:val="5"/>
    </w:lvl>
  </w:abstractNum>
  <w:abstractNum w:abstractNumId="54">
    <w:nsid w:val="5F5E7FD0"/>
    <w:multiLevelType w:val="hybridMultilevel"/>
    <w:lvl w:ilvl="0">
      <w:lvlJc w:val="left"/>
      <w:lvlText w:val="%1"/>
      <w:numFmt w:val="decimal"/>
      <w:start w:val="1"/>
    </w:lvl>
    <w:lvl w:ilvl="1">
      <w:lvlJc w:val="left"/>
      <w:lvlText w:val="%2."/>
      <w:numFmt w:val="decimal"/>
      <w:start w:val="20"/>
    </w:lvl>
  </w:abstractNum>
  <w:abstractNum w:abstractNumId="55">
    <w:nsid w:val="98A3148"/>
    <w:multiLevelType w:val="hybridMultilevel"/>
    <w:lvl w:ilvl="0">
      <w:lvlJc w:val="left"/>
      <w:lvlText w:val="%1."/>
      <w:numFmt w:val="decimal"/>
      <w:start w:val="8"/>
    </w:lvl>
    <w:lvl w:ilvl="1">
      <w:lvlJc w:val="left"/>
      <w:lvlText w:val="%2"/>
      <w:numFmt w:val="decimal"/>
      <w:start w:val="1"/>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58">
    <w:nsid w:val="42C296B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59">
    <w:nsid w:val="168E121F"/>
    <w:multiLevelType w:val="hybridMultilevel"/>
    <w:lvl w:ilvl="0">
      <w:lvlJc w:val="left"/>
      <w:lvlText w:val="%1"/>
      <w:numFmt w:val="decimal"/>
      <w:start w:val="1"/>
    </w:lvl>
    <w:lvl w:ilvl="1">
      <w:lvlJc w:val="left"/>
      <w:lvlText w:val="(%2)"/>
      <w:numFmt w:val="lowerLetter"/>
      <w:start w:val="2"/>
    </w:lvl>
  </w:abstractNum>
  <w:abstractNum w:abstractNumId="60">
    <w:nsid w:val="1EBA5D23"/>
    <w:multiLevelType w:val="hybridMultilevel"/>
    <w:lvl w:ilvl="0">
      <w:lvlJc w:val="left"/>
      <w:lvlText w:val="%1."/>
      <w:numFmt w:val="decimal"/>
      <w:start w:val="3"/>
    </w:lvl>
    <w:lvl w:ilvl="1">
      <w:lvlJc w:val="left"/>
      <w:lvlText w:val="(%2)"/>
      <w:numFmt w:val="lowerLetter"/>
      <w:start w:val="1"/>
    </w:lvl>
  </w:abstractNum>
  <w:abstractNum w:abstractNumId="61">
    <w:nsid w:val="661E3F1E"/>
    <w:multiLevelType w:val="hybridMultilevel"/>
    <w:lvl w:ilvl="0">
      <w:lvlJc w:val="left"/>
      <w:lvlText w:val="%1"/>
      <w:numFmt w:val="decimal"/>
      <w:start w:val="1"/>
    </w:lvl>
    <w:lvl w:ilvl="1">
      <w:lvlJc w:val="left"/>
      <w:lvlText w:val="(%2)"/>
      <w:numFmt w:val="lowerLetter"/>
      <w:start w:val="6"/>
    </w:lvl>
  </w:abstractNum>
  <w:abstractNum w:abstractNumId="62">
    <w:nsid w:val="5DC79EA8"/>
    <w:multiLevelType w:val="hybridMultilevel"/>
    <w:lvl w:ilvl="0">
      <w:lvlJc w:val="left"/>
      <w:lvlText w:val="%1."/>
      <w:numFmt w:val="decimal"/>
      <w:start w:val="5"/>
    </w:lvl>
    <w:lvl w:ilvl="1">
      <w:lvlJc w:val="left"/>
      <w:lvlText w:val="%2"/>
      <w:numFmt w:val="lowerLetter"/>
      <w:start w:val="1"/>
    </w:lvl>
  </w:abstractNum>
  <w:abstractNum w:abstractNumId="63">
    <w:nsid w:val="540A471C"/>
    <w:multiLevelType w:val="hybridMultilevel"/>
    <w:lvl w:ilvl="0">
      <w:lvlJc w:val="left"/>
      <w:lvlText w:val="%1"/>
      <w:numFmt w:val="lowerLetter"/>
      <w:start w:val="1"/>
    </w:lvl>
    <w:lvl w:ilvl="1">
      <w:lvlJc w:val="left"/>
      <w:lvlText w:val="(%2)"/>
      <w:numFmt w:val="lowerLetter"/>
      <w:start w:val="1"/>
    </w:lvl>
  </w:abstractNum>
  <w:abstractNum w:abstractNumId="64">
    <w:nsid w:val="7BD3EE7B"/>
    <w:multiLevelType w:val="hybridMultilevel"/>
    <w:lvl w:ilvl="0">
      <w:lvlJc w:val="left"/>
      <w:lvlText w:val="(%1)"/>
      <w:numFmt w:val="lowerLetter"/>
      <w:start w:val="9"/>
    </w:lvl>
    <w:lvl w:ilvl="1">
      <w:lvlJc w:val="left"/>
      <w:lvlText w:val="%2"/>
      <w:numFmt w:val="lowerLetter"/>
      <w:start w:val="1"/>
    </w:lvl>
  </w:abstractNum>
  <w:abstractNum w:abstractNumId="65">
    <w:nsid w:val="51D9C564"/>
    <w:multiLevelType w:val="hybridMultilevel"/>
    <w:lvl w:ilvl="0">
      <w:lvlJc w:val="left"/>
      <w:lvlText w:val="%1."/>
      <w:numFmt w:val="decimal"/>
      <w:start w:val="6"/>
    </w:lvl>
    <w:lvl w:ilvl="1">
      <w:lvlJc w:val="left"/>
      <w:lvlText w:val="(%2)"/>
      <w:numFmt w:val="lowerLetter"/>
      <w:start w:val="5"/>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2"/>
    </w:lvl>
    <w:lvl w:ilvl="1">
      <w:lvlJc w:val="left"/>
      <w:lvlText w:val="(%2)"/>
      <w:numFmt w:val="lowerLetter"/>
      <w:start w:val="6"/>
    </w:lvl>
  </w:abstractNum>
  <w:abstractNum w:abstractNumId="68">
    <w:nsid w:val="11447B73"/>
    <w:multiLevelType w:val="hybridMultilevel"/>
    <w:lvl w:ilvl="0">
      <w:lvlJc w:val="left"/>
      <w:lvlText w:val="%1."/>
      <w:numFmt w:val="decimal"/>
      <w:start w:val="3"/>
    </w:lvl>
    <w:lvl w:ilvl="1">
      <w:lvlJc w:val="left"/>
      <w:lvlText w:val="(%2)"/>
      <w:numFmt w:val="lowerLetter"/>
      <w:start w:val="7"/>
    </w:lvl>
  </w:abstractNum>
  <w:abstractNum w:abstractNumId="69">
    <w:nsid w:val="42963E5A"/>
    <w:multiLevelType w:val="hybridMultilevel"/>
    <w:lvl w:ilvl="0">
      <w:lvlJc w:val="left"/>
      <w:lvlText w:val="%1"/>
      <w:numFmt w:val="decimal"/>
      <w:start w:val="1"/>
    </w:lvl>
    <w:lvl w:ilvl="1">
      <w:lvlJc w:val="left"/>
      <w:lvlText w:val="(%2)"/>
      <w:numFmt w:val="lowerLetter"/>
      <w:start w:val="1"/>
    </w:lvl>
  </w:abstractNum>
  <w:abstractNum w:abstractNumId="70">
    <w:nsid w:val="A0382C5"/>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3"/>
    </w:lvl>
  </w:abstractNum>
  <w:abstractNum w:abstractNumId="71">
    <w:nsid w:val="8F2B15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72">
    <w:nsid w:val="1A32234B"/>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73">
    <w:nsid w:val="3B0FD379"/>
    <w:multiLevelType w:val="hybridMultilevel"/>
    <w:lvl w:ilvl="0">
      <w:lvlJc w:val="left"/>
      <w:lvlText w:val="%1."/>
      <w:numFmt w:val="decimal"/>
      <w:start w:val="20"/>
    </w:lvl>
    <w:lvl w:ilvl="1">
      <w:lvlJc w:val="left"/>
      <w:lvlText w:val="%2."/>
      <w:numFmt w:val="decimal"/>
      <w:start w:val="8"/>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2"/>
    </w:lvl>
  </w:abstractNum>
  <w:abstractNum w:abstractNumId="76">
    <w:nsid w:val="60B6DF70"/>
    <w:multiLevelType w:val="hybridMultilevel"/>
    <w:lvl w:ilvl="0">
      <w:lvlJc w:val="left"/>
      <w:lvlText w:val="%1."/>
      <w:numFmt w:val="decimal"/>
      <w:start w:val="3"/>
    </w:lvl>
  </w:abstractNum>
  <w:abstractNum w:abstractNumId="77">
    <w:nsid w:val="6A5EE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78">
    <w:nsid w:val="14330624"/>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7"/>
    </w:lvl>
  </w:abstractNum>
  <w:abstractNum w:abstractNumId="79">
    <w:nsid w:val="7FFFCA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0">
    <w:nsid w:val="1A27709E"/>
    <w:multiLevelType w:val="hybridMultilevel"/>
    <w:lvl w:ilvl="0">
      <w:lvlJc w:val="left"/>
      <w:lvlText w:val="%1."/>
      <w:numFmt w:val="decimal"/>
      <w:start w:val="6"/>
    </w:lvl>
    <w:lvl w:ilvl="1">
      <w:lvlJc w:val="left"/>
      <w:lvlText w:val="(%2)"/>
      <w:numFmt w:val="lowerLetter"/>
      <w:start w:val="5"/>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290" Type="http://schemas.openxmlformats.org/officeDocument/2006/relationships/hyperlink" Target="https://www.sec.gov/Archives/edgar/data/1537054/000095017022002778/gogo-ex4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2022-05-05T09:54:28Z</dcterms:created>
  <dcterms:modified xsi:type="dcterms:W3CDTF">2022-05-05T09:54:28Z</dcterms:modified>
</cp:coreProperties>
</file>