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146050</wp:posOffset>
            </wp:positionV>
            <wp:extent cx="1663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163195</wp:posOffset>
            </wp:positionV>
            <wp:extent cx="1663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309" w:lineRule="exact"/>
        <w:rPr>
          <w:sz w:val="24"/>
          <w:szCs w:val="24"/>
          <w:color w:val="auto"/>
        </w:rPr>
      </w:pPr>
    </w:p>
    <w:p>
      <w:pPr>
        <w:spacing w:after="0" w:line="184" w:lineRule="exact"/>
        <w:tabs>
          <w:tab w:leader="none" w:pos="1940"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40" w:lineRule="exact"/>
        <w:rPr>
          <w:sz w:val="24"/>
          <w:szCs w:val="24"/>
          <w:color w:val="auto"/>
        </w:rPr>
      </w:pPr>
    </w:p>
    <w:p>
      <w:pPr>
        <w:ind w:left="1060" w:hanging="955"/>
        <w:spacing w:after="0"/>
        <w:tabs>
          <w:tab w:leader="none" w:pos="1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2" w:lineRule="exact"/>
        <w:rPr>
          <w:rFonts w:ascii="MS PGothic" w:cs="MS PGothic" w:eastAsia="MS PGothic" w:hAnsi="MS PGothic"/>
          <w:sz w:val="16"/>
          <w:szCs w:val="16"/>
          <w:color w:val="auto"/>
        </w:rPr>
      </w:pPr>
    </w:p>
    <w:p>
      <w:pPr>
        <w:ind w:left="1060" w:hanging="955"/>
        <w:spacing w:after="0"/>
        <w:tabs>
          <w:tab w:leader="none" w:pos="1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45" w:lineRule="exact"/>
        <w:rPr>
          <w:rFonts w:ascii="MS PGothic" w:cs="MS PGothic" w:eastAsia="MS PGothic" w:hAnsi="MS PGothic"/>
          <w:sz w:val="16"/>
          <w:szCs w:val="16"/>
          <w:color w:val="auto"/>
        </w:rPr>
      </w:pPr>
    </w:p>
    <w:p>
      <w:pPr>
        <w:ind w:left="1060" w:hanging="955"/>
        <w:spacing w:after="0"/>
        <w:tabs>
          <w:tab w:leader="none" w:pos="10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46" w:lineRule="exact"/>
        <w:rPr>
          <w:sz w:val="24"/>
          <w:szCs w:val="24"/>
          <w:color w:val="auto"/>
        </w:rPr>
      </w:pPr>
    </w:p>
    <w:p>
      <w:pPr>
        <w:ind w:left="1060" w:hanging="955"/>
        <w:spacing w:after="0"/>
        <w:tabs>
          <w:tab w:leader="none" w:pos="1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46" w:lineRule="exact"/>
        <w:rPr>
          <w:sz w:val="24"/>
          <w:szCs w:val="24"/>
          <w:color w:val="auto"/>
        </w:rPr>
      </w:pPr>
    </w:p>
    <w:p>
      <w:pPr>
        <w:ind w:left="1060" w:hanging="955"/>
        <w:spacing w:after="0"/>
        <w:tabs>
          <w:tab w:leader="none" w:pos="10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2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GOGO INC.</w:t>
      </w:r>
    </w:p>
    <w:p>
      <w:pPr>
        <w:spacing w:after="0" w:line="5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9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40" w:lineRule="exact"/>
        <w:rPr>
          <w:sz w:val="24"/>
          <w:szCs w:val="24"/>
          <w:color w:val="auto"/>
        </w:rPr>
      </w:pPr>
    </w:p>
    <w:p>
      <w:pPr>
        <w:ind w:left="600" w:hanging="495"/>
        <w:spacing w:after="0"/>
        <w:tabs>
          <w:tab w:leader="none" w:pos="6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54" w:lineRule="exact"/>
        <w:rPr>
          <w:sz w:val="24"/>
          <w:szCs w:val="24"/>
          <w:color w:val="auto"/>
        </w:rPr>
      </w:pPr>
    </w:p>
    <w:p>
      <w:pPr>
        <w:ind w:left="600" w:hanging="495"/>
        <w:spacing w:after="0"/>
        <w:tabs>
          <w:tab w:leader="none" w:pos="6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53" w:lineRule="exact"/>
        <w:rPr>
          <w:rFonts w:ascii="MS PGothic" w:cs="MS PGothic" w:eastAsia="MS PGothic" w:hAnsi="MS PGothic"/>
          <w:sz w:val="16"/>
          <w:szCs w:val="16"/>
          <w:color w:val="auto"/>
        </w:rPr>
      </w:pPr>
    </w:p>
    <w:p>
      <w:pPr>
        <w:ind w:left="600" w:hanging="495"/>
        <w:spacing w:after="0"/>
        <w:tabs>
          <w:tab w:leader="none" w:pos="60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1268095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3431540</wp:posOffset>
            </wp:positionH>
            <wp:positionV relativeFrom="page">
              <wp:posOffset>1049020</wp:posOffset>
            </wp:positionV>
            <wp:extent cx="65151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515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GOGO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 Edgeview Dr., Suite 300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Broomfield, Colorado 80021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 THE DEFINITIVE PROXY STATEMENT FOR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4, 2024</w:t>
      </w:r>
    </w:p>
    <w:p>
      <w:pPr>
        <w:spacing w:after="0" w:line="2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9, 2024</w:t>
      </w:r>
    </w:p>
    <w:p>
      <w:pPr>
        <w:spacing w:after="0" w:line="200" w:lineRule="exact"/>
        <w:rPr>
          <w:sz w:val="20"/>
          <w:szCs w:val="20"/>
          <w:color w:val="auto"/>
        </w:rPr>
      </w:pP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supplement (the “Supplement”) relates to the Definitive Proxy Statement on Schedule 14A (the “Proxy Statement”) filed by Gogo Inc. (the “Company”) with the Securities and Exchange Commission relating to the Company’s annual meeting of stockholders to be held on June 4, 2024 (the “Annual Meeting”). Except as specifically discussed in this Explanatory Note, this Supplement does not otherwise modify or update any other disclosures in the Proxy Statement. This Supplement should be read together with the Proxy Statement, which should be read in its entirety. Capitalized terms used but not otherwise defined in this Supplement have the meanings ascribed to them in the Proxy Statement.</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Supplement is being filed to clarify the voting standard for Proposals 2 through 5 to be voted on at the Annual Meeting as described in the Proxy Statement. The Proxy Statement states that each such proposal requires for its approval “the affirmative vote of a majority of the votes entitled to vote at the Annual Meeting by the holders of common stock who are present in person or by proxy” (on pages 61, 66, 76, 77, 85 and 86), which is later summarized on page 88 as a “[m]ajority of the voting power of the shares present in person or by proxy and entitled to vote.” For the sake of clarity, these statements on pages 61, 66, 76, 77, 85 and 86 are hereby revised to read as “the affirmative vote of a majority of the votes entitled to vote </w:t>
      </w:r>
      <w:r>
        <w:rPr>
          <w:rFonts w:ascii="Times New Roman" w:cs="Times New Roman" w:eastAsia="Times New Roman" w:hAnsi="Times New Roman"/>
          <w:sz w:val="18"/>
          <w:szCs w:val="18"/>
          <w:b w:val="1"/>
          <w:bCs w:val="1"/>
          <w:u w:val="single" w:color="auto"/>
          <w:color w:val="auto"/>
        </w:rPr>
        <w:t>on the subject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matter of the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strike w:val="1"/>
        </w:rPr>
        <w:t>at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holders of common stock who are present in person or by proxy”, and these statements on page 88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are hereby revised to read as a “[m]ajority of the voting power of the shares present in person or by proxy and entitled to vote </w:t>
      </w:r>
      <w:r>
        <w:rPr>
          <w:rFonts w:ascii="Times New Roman" w:cs="Times New Roman" w:eastAsia="Times New Roman" w:hAnsi="Times New Roman"/>
          <w:sz w:val="18"/>
          <w:szCs w:val="18"/>
          <w:b w:val="1"/>
          <w:bCs w:val="1"/>
          <w:u w:val="single" w:color="auto"/>
          <w:color w:val="auto"/>
        </w:rPr>
        <w:t>on the subject matter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 (with additions underlined and emboldened and deletions stricken).</w:t>
      </w:r>
    </w:p>
    <w:p>
      <w:pPr>
        <w:spacing w:after="0" w:line="97"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The disclosure on these pages regarding the effect of abstentions and uninstructed shares (known as “broker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votes”) on Proposals 2 through 5 remains unchanged following the above clarifications.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982345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2024-05-09T05:18:50Z</dcterms:created>
  <dcterms:modified xsi:type="dcterms:W3CDTF">2024-05-09T05:18:50Z</dcterms:modified>
</cp:coreProperties>
</file>