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60331.htm"/>
      <w:bookmarkStart w:id="1" w:name="ksgogo20260331"/>
      <w:bookmarkEnd w:id="0"/>
      <w:bookmarkEnd w:id="1"/>
      <w:r>
        <w:rPr/>
        <w:t> </w:t>
      </w:r>
    </w:p>
    <w:p>
      <w:pPr>
        <w:pStyle w:val="TextBody"/>
        <w:bidi w:val="0"/>
        <w:jc w:val="righ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quarterly period ended March 31, 2026</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transition period from 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001-35975</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1334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95325"/>
                    </a:xfrm>
                    <a:prstGeom prst="rect">
                      <a:avLst/>
                    </a:prstGeom>
                  </pic:spPr>
                </pic:pic>
              </a:graphicData>
            </a:graphic>
          </wp:inline>
        </w:drawing>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Gogo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105 Edgeview Dr., Suite 300</w:t>
      </w:r>
    </w:p>
    <w:p>
      <w:pPr>
        <w:pStyle w:val="TextBody"/>
        <w:bidi w:val="0"/>
        <w:jc w:val="center"/>
        <w:rPr>
          <w:rFonts w:ascii="Times New Roman" w:hAnsi="Times New Roman"/>
          <w:sz w:val="20"/>
        </w:rPr>
      </w:pPr>
      <w:r>
        <w:rPr>
          <w:rFonts w:ascii="Times New Roman" w:hAnsi="Times New Roman"/>
          <w:b/>
          <w:color w:val="000000"/>
          <w:sz w:val="20"/>
        </w:rPr>
        <w:t>Broomfield, CO</w:t>
      </w:r>
      <w:r>
        <w:rPr>
          <w:rFonts w:ascii="Times New Roman" w:hAnsi="Times New Roman"/>
          <w:color w:val="000000"/>
          <w:sz w:val="20"/>
        </w:rPr>
        <w:t xml:space="preserve"> </w:t>
      </w:r>
      <w:r>
        <w:rPr>
          <w:rFonts w:ascii="Times New Roman" w:hAnsi="Times New Roman"/>
          <w:b/>
          <w:color w:val="000000"/>
          <w:sz w:val="20"/>
        </w:rPr>
        <w:t>80021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(303) 301-3271</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256"/>
        <w:gridCol w:w="146"/>
        <w:gridCol w:w="1471"/>
        <w:gridCol w:w="146"/>
        <w:gridCol w:w="327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Trading Symbol(s)</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Name of each exchange on which registered</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GOGO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NASDAQ Global Select Market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w:t>
      </w:r>
      <w:r>
        <w:rPr>
          <w:rFonts w:ascii="Times New Roman" w:hAnsi="Times New Roman"/>
          <w:color w:val="000000"/>
          <w:sz w:val="20"/>
        </w:rPr>
        <w:t>☐</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May 1, 2026,</w:t>
      </w:r>
      <w:r>
        <w:rPr>
          <w:rFonts w:ascii="Times New Roman" w:hAnsi="Times New Roman"/>
          <w:color w:val="000000"/>
          <w:sz w:val="20"/>
        </w:rPr>
        <w:t xml:space="preserve"> </w:t>
      </w:r>
      <w:r>
        <w:rPr>
          <w:rFonts w:ascii="Times New Roman" w:hAnsi="Times New Roman"/>
          <w:color w:val="000000"/>
          <w:sz w:val="16"/>
        </w:rPr>
        <w:t>135,238,523</w:t>
      </w:r>
      <w:r>
        <w:rPr>
          <w:rFonts w:ascii="Times New Roman" w:hAnsi="Times New Roman"/>
          <w:color w:val="000000"/>
          <w:sz w:val="20"/>
        </w:rPr>
        <w:t xml:space="preserve"> </w:t>
      </w:r>
      <w:r>
        <w:rPr>
          <w:rFonts w:ascii="Times New Roman" w:hAnsi="Times New Roman"/>
          <w:color w:val="000000"/>
          <w:sz w:val="16"/>
        </w:rPr>
        <w:t>shares of $0.0001 par value common stock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Gogo</w:t>
      </w:r>
      <w:r>
        <w:rPr>
          <w:rFonts w:ascii="Times New Roman" w:hAnsi="Times New Roman"/>
          <w:color w:val="000000"/>
          <w:sz w:val="20"/>
        </w:rPr>
        <w:t xml:space="preserve"> </w:t>
      </w:r>
      <w:r>
        <w:rPr>
          <w:rFonts w:ascii="Times New Roman" w:hAnsi="Times New Roman"/>
          <w:b/>
          <w:color w:val="000000"/>
          <w:sz w:val="20"/>
        </w:rPr>
        <w:t>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862"/>
        <w:gridCol w:w="7552"/>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55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balance">
              <w:r>
                <w:rPr>
                  <w:rStyle w:val="InternetLink"/>
                  <w:rFonts w:ascii="Times New Roman" w:hAnsi="Times New Roman"/>
                  <w:color w:val="0000FF"/>
                  <w:sz w:val="20"/>
                  <w:u w:val="single"/>
                </w:rPr>
                <w:t>Unaudited Condensed Consolidated Balance Sheets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teme">
              <w:r>
                <w:rPr>
                  <w:rStyle w:val="InternetLink"/>
                  <w:rFonts w:ascii="Times New Roman" w:hAnsi="Times New Roman"/>
                  <w:color w:val="0000FF"/>
                  <w:sz w:val="20"/>
                  <w:u w:val="single"/>
                </w:rPr>
                <w:t>Unaudited Condensed Consolidated Statements of Operations</w:t>
              </w:r>
            </w:hyperlink>
            <w:hyperlink w:anchor="unaudited_condensed_consolidated_stateme">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mp_loss">
              <w:r>
                <w:rPr>
                  <w:rStyle w:val="InternetLink"/>
                  <w:rFonts w:ascii="Times New Roman" w:hAnsi="Times New Roman"/>
                  <w:color w:val="0000FF"/>
                  <w:sz w:val="20"/>
                  <w:u w:val="single"/>
                </w:rPr>
                <w:t>Unaudited Condensed Consolidated Statements of Comprehensive Income (Loss)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cf">
              <w:r>
                <w:rPr>
                  <w:rStyle w:val="InternetLink"/>
                  <w:rFonts w:ascii="Times New Roman" w:hAnsi="Times New Roman"/>
                  <w:color w:val="0000FF"/>
                  <w:sz w:val="20"/>
                  <w:u w:val="single"/>
                </w:rPr>
                <w:t>Unaudited Condensed Consolidated Statements of Cash Flows</w:t>
              </w:r>
            </w:hyperlink>
            <w:hyperlink w:anchor="unaudited_condensed_consolidated_sta_cf">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equ">
              <w:r>
                <w:rPr>
                  <w:rStyle w:val="InternetLink"/>
                  <w:rFonts w:ascii="Times New Roman" w:hAnsi="Times New Roman"/>
                  <w:color w:val="0000FF"/>
                  <w:sz w:val="20"/>
                  <w:u w:val="single"/>
                </w:rPr>
                <w:t>Unaudited Condensed Consolidated Statements of Stockholders’ Equity</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unregistered_sales_equity_securities_use">
              <w:r>
                <w:rPr>
                  <w:rStyle w:val="InternetLink"/>
                  <w:rFonts w:ascii="Times New Roman" w:hAnsi="Times New Roman"/>
                  <w:color w:val="0000FF"/>
                  <w:sz w:val="20"/>
                  <w:u w:val="single"/>
                </w:rPr>
                <w:t>Unregistered Sales of Equity Securities and Use of Proceeds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or_information">
              <w:r>
                <w:rPr>
                  <w:rStyle w:val="InternetLink"/>
                  <w:rFonts w:ascii="Times New Roman" w:hAnsi="Times New Roman"/>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41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517"/>
        <w:gridCol w:w="146"/>
        <w:gridCol w:w="211"/>
        <w:gridCol w:w="991"/>
        <w:gridCol w:w="166"/>
        <w:gridCol w:w="146"/>
        <w:gridCol w:w="213"/>
        <w:gridCol w:w="1002"/>
        <w:gridCol w:w="813"/>
      </w:tblGrid>
      <w:tr>
        <w:trPr/>
        <w:tc>
          <w:tcPr>
            <w:tcW w:w="6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 of allowances of $8,462 and $6,783,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431,909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193,187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net of allowances of $603 and $538,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209,666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871,863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1,303,772</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269,228</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933,415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1,202,643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500,000,000 shares authorized at March 31, 2026 and December 31, 2025; 135,093,685 shares issued and outstanding at March 31, 2026; and 134,511,275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1,288,294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(1,187,222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1,303,772</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8544" w:type="dxa"/>
        <w:jc w:val="left"/>
        <w:tblInd w:w="0" w:type="dxa"/>
        <w:tblLayout w:type="fixed"/>
        <w:tblCellMar>
          <w:top w:w="28" w:type="dxa"/>
          <w:left w:w="28" w:type="dxa"/>
          <w:bottom w:w="28" w:type="dxa"/>
          <w:right w:w="28" w:type="dxa"/>
        </w:tblCellMar>
      </w:tblPr>
      <w:tblGrid>
        <w:gridCol w:w="5511"/>
        <w:gridCol w:w="146"/>
        <w:gridCol w:w="211"/>
        <w:gridCol w:w="781"/>
        <w:gridCol w:w="166"/>
        <w:gridCol w:w="146"/>
        <w:gridCol w:w="211"/>
        <w:gridCol w:w="781"/>
        <w:gridCol w:w="591"/>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common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6" w:name="unaudited_condensed_comp_loss"/>
      <w:bookmarkEnd w:id="6"/>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4921"/>
        <w:gridCol w:w="146"/>
        <w:gridCol w:w="211"/>
        <w:gridCol w:w="676"/>
        <w:gridCol w:w="166"/>
        <w:gridCol w:w="146"/>
        <w:gridCol w:w="211"/>
        <w:gridCol w:w="676"/>
        <w:gridCol w:w="8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Amount recognized in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7" w:name="unaudited_condensed_consolidated_sta_cf"/>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614" w:type="dxa"/>
        <w:jc w:val="left"/>
        <w:tblInd w:w="0" w:type="dxa"/>
        <w:tblLayout w:type="fixed"/>
        <w:tblCellMar>
          <w:top w:w="28" w:type="dxa"/>
          <w:left w:w="28" w:type="dxa"/>
          <w:bottom w:w="28" w:type="dxa"/>
          <w:right w:w="28" w:type="dxa"/>
        </w:tblCellMar>
      </w:tblPr>
      <w:tblGrid>
        <w:gridCol w:w="6461"/>
        <w:gridCol w:w="146"/>
        <w:gridCol w:w="196"/>
        <w:gridCol w:w="691"/>
        <w:gridCol w:w="166"/>
        <w:gridCol w:w="146"/>
        <w:gridCol w:w="196"/>
        <w:gridCol w:w="601"/>
        <w:gridCol w:w="1011"/>
      </w:tblGrid>
      <w:tr>
        <w:trPr/>
        <w:tc>
          <w:tcPr>
            <w:tcW w:w="6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asset disposals, abandonments and write-downs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 and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32,472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intangible assets—capitalized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FCC Reimbursement Program for property, equipment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70,822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70,822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70,282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equipment and intangibles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8" w:name="unaudited_condensed_consolidated_sta_equ"/>
      <w:bookmarkEnd w:id="8"/>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54"/>
        <w:gridCol w:w="146"/>
        <w:gridCol w:w="146"/>
        <w:gridCol w:w="841"/>
        <w:gridCol w:w="146"/>
        <w:gridCol w:w="146"/>
        <w:gridCol w:w="186"/>
        <w:gridCol w:w="356"/>
        <w:gridCol w:w="146"/>
        <w:gridCol w:w="146"/>
        <w:gridCol w:w="181"/>
        <w:gridCol w:w="691"/>
        <w:gridCol w:w="151"/>
        <w:gridCol w:w="146"/>
        <w:gridCol w:w="350"/>
        <w:gridCol w:w="671"/>
        <w:gridCol w:w="151"/>
        <w:gridCol w:w="146"/>
        <w:gridCol w:w="181"/>
        <w:gridCol w:w="736"/>
        <w:gridCol w:w="151"/>
        <w:gridCol w:w="146"/>
        <w:gridCol w:w="151"/>
        <w:gridCol w:w="360"/>
        <w:gridCol w:w="146"/>
        <w:gridCol w:w="146"/>
        <w:gridCol w:w="196"/>
        <w:gridCol w:w="375"/>
        <w:gridCol w:w="146"/>
        <w:gridCol w:w="146"/>
        <w:gridCol w:w="181"/>
        <w:gridCol w:w="586"/>
        <w:gridCol w:w="358"/>
      </w:tblGrid>
      <w:tr>
        <w:trPr/>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 2026</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134,511,275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1,288,294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101,129</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13,085</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4,833</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135,093,685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1,291,858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(1,174,137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118,020</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397"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78"/>
        <w:gridCol w:w="743"/>
        <w:gridCol w:w="151"/>
        <w:gridCol w:w="146"/>
        <w:gridCol w:w="181"/>
        <w:gridCol w:w="736"/>
        <w:gridCol w:w="151"/>
        <w:gridCol w:w="146"/>
        <w:gridCol w:w="146"/>
        <w:gridCol w:w="766"/>
        <w:gridCol w:w="146"/>
        <w:gridCol w:w="146"/>
        <w:gridCol w:w="181"/>
        <w:gridCol w:w="631"/>
        <w:gridCol w:w="151"/>
        <w:gridCol w:w="146"/>
        <w:gridCol w:w="181"/>
        <w:gridCol w:w="51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130,918,997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1,460,270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131,760,795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1,463,873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(1,188,103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82,948</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left"/>
        <w:rPr>
          <w:rFonts w:ascii="Times New Roman" w:hAnsi="Times New Roman"/>
          <w:b/>
          <w:color w:val="000000"/>
          <w:sz w:val="20"/>
        </w:rPr>
      </w:pPr>
      <w:bookmarkStart w:id="9" w:name="notes"/>
      <w:bookmarkEnd w:id="9"/>
      <w:r>
        <w:rPr>
          <w:rFonts w:ascii="Times New Roman" w:hAnsi="Times New Roman"/>
          <w:b/>
          <w:color w:val="000000"/>
          <w:sz w:val="20"/>
        </w:rPr>
        <w:t>1. Basis of Presentation</w:t>
      </w:r>
    </w:p>
    <w:p>
      <w:pPr>
        <w:pStyle w:val="TextBody"/>
        <w:bidi w:val="0"/>
        <w:spacing w:before="240" w:after="283"/>
        <w:jc w:val="left"/>
        <w:rPr>
          <w:rFonts w:ascii="Times New Roman" w:hAnsi="Times New Roman"/>
          <w:sz w:val="20"/>
        </w:rPr>
      </w:pPr>
      <w:r>
        <w:rPr>
          <w:rFonts w:ascii="Times New Roman" w:hAnsi="Times New Roman"/>
          <w:b/>
          <w:i/>
          <w:color w:val="000000"/>
          <w:sz w:val="20"/>
        </w:rPr>
        <w:t>The Business –</w:t>
      </w:r>
      <w:r>
        <w:rPr>
          <w:rFonts w:ascii="Times New Roman" w:hAnsi="Times New Roman"/>
          <w:color w:val="000000"/>
          <w:sz w:val="20"/>
        </w:rPr>
        <w:t xml:space="preserve"> Gogo Inc. (“Gogo,” the “Company,” “we,” “us,” or “our”)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air-to-ground (“ATG”) technology and integrated low earth orbit (“LEO”) and geostationary earth orbit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 –</w:t>
      </w:r>
      <w:r>
        <w:rPr>
          <w:rFonts w:ascii="Times New Roman" w:hAnsi="Times New Roman"/>
          <w:color w:val="000000"/>
          <w:sz w:val="20"/>
        </w:rPr>
        <w:t xml:space="preserve"> The Company’s chief operating decision maker (“CODM”) is the Chief Executive Officer. The CODM makes resource and operating decisions by evaluating performance and business results of the consolidated company. As a result, the Company has a single reportable segment, with net income (loss) utilized as the performance measure.</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2025 as filed with the Securities and Exchange Commission (the “SEC”) on February 27, 2026 (the “2025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and cash flows for the three-month period ended March 31, 2026 are not necessarily indicative of the results that may be expected for the fiscal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one class of common stock outstanding as of March 31, 2026 and December 31, 2025.</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283"/>
        <w:jc w:val="left"/>
        <w:rPr>
          <w:rFonts w:ascii="Times New Roman" w:hAnsi="Times New Roman"/>
          <w:sz w:val="20"/>
        </w:rPr>
      </w:pPr>
      <w:r>
        <w:rPr>
          <w:rFonts w:ascii="Times New Roman" w:hAnsi="Times New Roman"/>
          <w:b/>
          <w:i/>
          <w:color w:val="221E1F"/>
          <w:sz w:val="20"/>
        </w:rPr>
        <w:t>Recently Issued Accounting Pronouncements</w:t>
      </w:r>
      <w:r>
        <w:rPr>
          <w:rFonts w:ascii="Times New Roman" w:hAnsi="Times New Roman"/>
          <w:color w:val="221E1F"/>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(Subtopic 220-40): Disaggregation of Income Statement Expenses</w:t>
      </w:r>
      <w:r>
        <w:rPr>
          <w:rFonts w:ascii="Times New Roman" w:hAnsi="Times New Roman"/>
          <w:color w:val="000000"/>
          <w:sz w:val="20"/>
        </w:rPr>
        <w:t xml:space="preserve"> which requires disclosure about specific types of expenses included in the expense captions presented in the Consolidated 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 Internal-Use Software (Subtopic 350-40): Targeted Improvements to the Accounting for Internal-Use Software,</w:t>
      </w:r>
      <w:r>
        <w:rPr>
          <w:rFonts w:ascii="Times New Roman" w:hAnsi="Times New Roman"/>
          <w:color w:val="000000"/>
          <w:sz w:val="20"/>
        </w:rPr>
        <w:t xml:space="preserve"> which details the criteria for capitalization of internal-use software costs. The ASU is effective for fiscal years beginning after December 15, 2027, and interim periods within those fiscal years, and may be adopted on a prospective, modified, or retrospective transition approach, and early adoption is permitted. We are currently evaluating the impact that this guidance will have upon our consolidated financial statements and related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which establishes authoritative guidance on the recognition, measurement, presentation and disclosure of government grants. The ASU is effective for fiscal years beginning after December 15, 2028, including interim periods within those fiscal years, with early adoption permitted. We are currently evaluating the impact that this guidance will have upon our consolidated financial statements and related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computed using the weighted average number of common shares outstanding for the period. Diluted earnings per share is computed using the weighted average number of common shares outstanding and the treasury stock method for stock-based compensation. Contingently issuable shares are only included in the diluted earnings per share computation once all necessary conditions have been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diluted earnings per share calculations exclude the effect of stock options, deferred stock units, performance stock units, restricted stock units and the potential Earnout Liability related to the acquisition of Satcom Direct when the computation is anti-dilutive. For the three-month periods ended March 31, 2026 and 2025, the weighted average number of shares excluded from the computation was 51.9 million and 28.7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basic and diluted earnings per share for the three-month periods ended March 31, 2026 and 2025 (</w:t>
      </w:r>
      <w:r>
        <w:rPr>
          <w:rFonts w:ascii="Times New Roman" w:hAnsi="Times New Roman"/>
          <w:i/>
          <w:color w:val="000000"/>
          <w:sz w:val="20"/>
        </w:rPr>
        <w:t>in thousands, except per share amounts</w:t>
      </w:r>
      <w:r>
        <w:rPr>
          <w:rFonts w:ascii="Times New Roman" w:hAnsi="Times New Roman"/>
          <w:color w:val="000000"/>
          <w:sz w:val="20"/>
        </w:rPr>
        <w:t xml:space="preserve">): </w:t>
      </w:r>
    </w:p>
    <w:p>
      <w:pPr>
        <w:pStyle w:val="TextBody"/>
        <w:bidi w:val="0"/>
        <w:spacing w:before="120" w:after="283"/>
        <w:jc w:val="left"/>
        <w:rPr/>
      </w:pPr>
      <w:r>
        <w:rPr/>
        <w:t> </w:t>
      </w:r>
    </w:p>
    <w:tbl>
      <w:tblPr>
        <w:tblW w:w="7319" w:type="dxa"/>
        <w:jc w:val="left"/>
        <w:tblInd w:w="0" w:type="dxa"/>
        <w:tblLayout w:type="fixed"/>
        <w:tblCellMar>
          <w:top w:w="28" w:type="dxa"/>
          <w:left w:w="28" w:type="dxa"/>
          <w:bottom w:w="28" w:type="dxa"/>
          <w:right w:w="28" w:type="dxa"/>
        </w:tblCellMar>
      </w:tblPr>
      <w:tblGrid>
        <w:gridCol w:w="4606"/>
        <w:gridCol w:w="146"/>
        <w:gridCol w:w="211"/>
        <w:gridCol w:w="781"/>
        <w:gridCol w:w="146"/>
        <w:gridCol w:w="146"/>
        <w:gridCol w:w="211"/>
        <w:gridCol w:w="781"/>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 -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aggregate amount of the transaction price in our contracts allocated to the remaining unsatisfied performance obligations (“RPO”) was approximately $522 million and excludes consideration from contracts that have an original duration of one year or less. Approximately $512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38% of our connectivity and entertainment service RPO within the next year, approximately 47% in one to five years and the remaining 15% in five to ten years. The remaining $10 million of the RPO represents future equipment revenue that is expected to be recognized primarily within the next three years as equipment is shipped.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our revenue disaggregated by category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751" w:type="dxa"/>
        <w:jc w:val="left"/>
        <w:tblInd w:w="0" w:type="dxa"/>
        <w:tblLayout w:type="fixed"/>
        <w:tblCellMar>
          <w:top w:w="28" w:type="dxa"/>
          <w:left w:w="28" w:type="dxa"/>
          <w:bottom w:w="28" w:type="dxa"/>
          <w:right w:w="28" w:type="dxa"/>
        </w:tblCellMar>
      </w:tblPr>
      <w:tblGrid>
        <w:gridCol w:w="2866"/>
        <w:gridCol w:w="146"/>
        <w:gridCol w:w="319"/>
        <w:gridCol w:w="1184"/>
        <w:gridCol w:w="221"/>
        <w:gridCol w:w="221"/>
        <w:gridCol w:w="319"/>
        <w:gridCol w:w="1184"/>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aviation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33,377</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38,587</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contract asset balances totaled $44.1 million and $39.6 million as of March 31, 2026 and December 31, 2025, respectively. Contract assets represent the aggregate amount of revenue recognized in excess of billings and recoverable contract costs primarily for certain sales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deferred revenue balances totaled $37.0 million and $36.0 million as of March 31, 2026 and December 31, 2025, respectively. Deferred revenue includes, among other things, prepayments for equipment and subscription connectivity products. For the three-month periods ended March 31, 2026 and 2025, we recognized revenue of $13.5 million and $16.8 million, respectively, that was previously included in the beginning balance of deferred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Government Assistance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Federal Communications Commission (“FCC”) Reimbursement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approximately $132 million of the approved amount was allocated to the Company under the program. Following passage of the Fiscal Year 2025 National Defense Authorization Act, the Company was allocated its full approved amount of approximately $334 million and the program completion deadline was recently extended to November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we have recorded a $41.2 million and $27.8 million receivable from the FCC, respectively, which is included in Prepaid expenses and other current assets in our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FCC Reimbursement Program-related deductions to the carrying value of asset balances in our Unaudited Condensed Consolidated Balance Sheets as of March 31, 2026 and December 31, 2025 </w:t>
      </w:r>
      <w:r>
        <w:rPr>
          <w:rFonts w:ascii="Times New Roman" w:hAnsi="Times New Roman"/>
          <w:i/>
          <w:color w:val="000000"/>
          <w:sz w:val="20"/>
        </w:rPr>
        <w:t>(in thousands):</w:t>
      </w:r>
    </w:p>
    <w:p>
      <w:pPr>
        <w:pStyle w:val="TextBody"/>
        <w:bidi w:val="0"/>
        <w:jc w:val="left"/>
        <w:rPr/>
      </w:pPr>
      <w:r>
        <w:rPr/>
        <w:t> </w:t>
      </w:r>
    </w:p>
    <w:tbl>
      <w:tblPr>
        <w:tblW w:w="6630" w:type="dxa"/>
        <w:jc w:val="left"/>
        <w:tblInd w:w="0" w:type="dxa"/>
        <w:tblLayout w:type="fixed"/>
        <w:tblCellMar>
          <w:top w:w="28" w:type="dxa"/>
          <w:left w:w="28" w:type="dxa"/>
          <w:bottom w:w="28" w:type="dxa"/>
          <w:right w:w="28" w:type="dxa"/>
        </w:tblCellMar>
      </w:tblPr>
      <w:tblGrid>
        <w:gridCol w:w="3626"/>
        <w:gridCol w:w="146"/>
        <w:gridCol w:w="217"/>
        <w:gridCol w:w="758"/>
        <w:gridCol w:w="166"/>
        <w:gridCol w:w="146"/>
        <w:gridCol w:w="280"/>
        <w:gridCol w:w="980"/>
        <w:gridCol w:w="31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Prepaids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increases to Net income in our Unaudited Condensed Consolidated Statements of Operations for the three-month periods ended March 31, 2026 and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742" w:type="dxa"/>
        <w:jc w:val="left"/>
        <w:tblInd w:w="0" w:type="dxa"/>
        <w:tblLayout w:type="fixed"/>
        <w:tblCellMar>
          <w:top w:w="28" w:type="dxa"/>
          <w:left w:w="28" w:type="dxa"/>
          <w:bottom w:w="28" w:type="dxa"/>
          <w:right w:w="28" w:type="dxa"/>
        </w:tblCellMar>
      </w:tblPr>
      <w:tblGrid>
        <w:gridCol w:w="3311"/>
        <w:gridCol w:w="146"/>
        <w:gridCol w:w="226"/>
        <w:gridCol w:w="614"/>
        <w:gridCol w:w="157"/>
        <w:gridCol w:w="157"/>
        <w:gridCol w:w="226"/>
        <w:gridCol w:w="614"/>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Composition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pStyle w:val="TextBody"/>
        <w:bidi w:val="0"/>
        <w:spacing w:before="120" w:after="283"/>
        <w:jc w:val="left"/>
        <w:rPr>
          <w:rFonts w:ascii="Times New Roman" w:hAnsi="Times New Roman"/>
          <w:sz w:val="20"/>
        </w:rPr>
      </w:pPr>
      <w:r>
        <w:rPr>
          <w:rFonts w:ascii="Times New Roman" w:hAnsi="Times New Roman"/>
          <w:color w:val="000000"/>
          <w:sz w:val="20"/>
        </w:rPr>
        <w:t>Inventories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 component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inventory</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Prepaid expenses and other current assets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6795" w:type="dxa"/>
        <w:jc w:val="left"/>
        <w:tblInd w:w="0" w:type="dxa"/>
        <w:tblLayout w:type="fixed"/>
        <w:tblCellMar>
          <w:top w:w="28" w:type="dxa"/>
          <w:left w:w="28" w:type="dxa"/>
          <w:bottom w:w="28" w:type="dxa"/>
          <w:right w:w="28" w:type="dxa"/>
        </w:tblCellMar>
      </w:tblPr>
      <w:tblGrid>
        <w:gridCol w:w="3931"/>
        <w:gridCol w:w="146"/>
        <w:gridCol w:w="232"/>
        <w:gridCol w:w="743"/>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FCC reimbursement receivable</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Property and equipment as of March 31, 2026 and December 31, 2025 were as follows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6822" w:type="dxa"/>
        <w:jc w:val="left"/>
        <w:tblInd w:w="0" w:type="dxa"/>
        <w:tblLayout w:type="fixed"/>
        <w:tblCellMar>
          <w:top w:w="28" w:type="dxa"/>
          <w:left w:w="28" w:type="dxa"/>
          <w:bottom w:w="28" w:type="dxa"/>
          <w:right w:w="28" w:type="dxa"/>
        </w:tblCellMar>
      </w:tblPr>
      <w:tblGrid>
        <w:gridCol w:w="3841"/>
        <w:gridCol w:w="146"/>
        <w:gridCol w:w="211"/>
        <w:gridCol w:w="841"/>
        <w:gridCol w:w="166"/>
        <w:gridCol w:w="146"/>
        <w:gridCol w:w="252"/>
        <w:gridCol w:w="100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fixtures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Network equipment</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addition to the above, the Company classified $26.3 million of property and equipment as Assets held for sale on our Unaudited Condensed Consolidated Balance Sheets as of both March 31, 2026 and December 31, 2025. Assets held for sale represent the main corporate facility and data center of Satcom Direct and associated land in Melbourne, Florida. The Company expects to sell the assets within the next twelve months.</w:t>
      </w:r>
    </w:p>
    <w:p>
      <w:pPr>
        <w:pStyle w:val="TextBody"/>
        <w:bidi w:val="0"/>
        <w:spacing w:before="120" w:after="283"/>
        <w:jc w:val="left"/>
        <w:rPr>
          <w:rFonts w:ascii="Times New Roman" w:hAnsi="Times New Roman"/>
          <w:sz w:val="20"/>
        </w:rPr>
      </w:pPr>
      <w:r>
        <w:rPr>
          <w:rFonts w:ascii="Times New Roman" w:hAnsi="Times New Roman"/>
          <w:color w:val="000000"/>
          <w:sz w:val="20"/>
        </w:rPr>
        <w:t>Other non-current assets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8430" w:type="dxa"/>
        <w:jc w:val="left"/>
        <w:tblInd w:w="0" w:type="dxa"/>
        <w:tblLayout w:type="fixed"/>
        <w:tblCellMar>
          <w:top w:w="28" w:type="dxa"/>
          <w:left w:w="28" w:type="dxa"/>
          <w:bottom w:w="28" w:type="dxa"/>
          <w:right w:w="28" w:type="dxa"/>
        </w:tblCellMar>
      </w:tblPr>
      <w:tblGrid>
        <w:gridCol w:w="5566"/>
        <w:gridCol w:w="146"/>
        <w:gridCol w:w="232"/>
        <w:gridCol w:w="743"/>
        <w:gridCol w:w="146"/>
        <w:gridCol w:w="146"/>
        <w:gridCol w:w="299"/>
        <w:gridCol w:w="96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 net of allowances of $603 and $538, respectively</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Accrued liabilities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3166"/>
        <w:gridCol w:w="146"/>
        <w:gridCol w:w="211"/>
        <w:gridCol w:w="781"/>
        <w:gridCol w:w="146"/>
        <w:gridCol w:w="146"/>
        <w:gridCol w:w="268"/>
        <w:gridCol w:w="992"/>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Other non-current liabilities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5700" w:type="dxa"/>
        <w:jc w:val="left"/>
        <w:tblInd w:w="0" w:type="dxa"/>
        <w:tblLayout w:type="fixed"/>
        <w:tblCellMar>
          <w:top w:w="28" w:type="dxa"/>
          <w:left w:w="28" w:type="dxa"/>
          <w:bottom w:w="28" w:type="dxa"/>
          <w:right w:w="28" w:type="dxa"/>
        </w:tblCellMar>
      </w:tblPr>
      <w:tblGrid>
        <w:gridCol w:w="2836"/>
        <w:gridCol w:w="146"/>
        <w:gridCol w:w="232"/>
        <w:gridCol w:w="743"/>
        <w:gridCol w:w="146"/>
        <w:gridCol w:w="146"/>
        <w:gridCol w:w="299"/>
        <w:gridCol w:w="96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for research and development are charged to expense as incurred and totaled $6.5 million and $13.9 million, respectively, during the three-month periods ended March 31, 2026 and 2025. Research and development costs are reported as Engineering, design and development expenses in our Unaudited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2025 indicated no impairment. We also reevaluate the useful life of indefinite-lived intangible assets each reporting period to determine whether events and circumstances continue to support an indefinite useful life.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carrying value of goodwill was $193.2 million as of both March 31, 2026 and December 31, 2025.</w:t>
      </w:r>
    </w:p>
    <w:p>
      <w:pPr>
        <w:pStyle w:val="TextBody"/>
        <w:bidi w:val="0"/>
        <w:spacing w:before="0" w:after="120"/>
        <w:jc w:val="left"/>
        <w:rPr>
          <w:rFonts w:ascii="Times New Roman" w:hAnsi="Times New Roman"/>
          <w:sz w:val="20"/>
        </w:rPr>
      </w:pPr>
      <w:r>
        <w:rPr>
          <w:rFonts w:ascii="Times New Roman" w:hAnsi="Times New Roman"/>
          <w:color w:val="000000"/>
          <w:sz w:val="20"/>
        </w:rPr>
        <w:t>Our intangible assets, other than goodwill,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334"/>
        <w:gridCol w:w="146"/>
        <w:gridCol w:w="196"/>
        <w:gridCol w:w="691"/>
        <w:gridCol w:w="146"/>
        <w:gridCol w:w="146"/>
        <w:gridCol w:w="233"/>
        <w:gridCol w:w="893"/>
        <w:gridCol w:w="166"/>
        <w:gridCol w:w="146"/>
        <w:gridCol w:w="196"/>
        <w:gridCol w:w="691"/>
        <w:gridCol w:w="146"/>
        <w:gridCol w:w="146"/>
        <w:gridCol w:w="196"/>
        <w:gridCol w:w="691"/>
        <w:gridCol w:w="146"/>
        <w:gridCol w:w="146"/>
        <w:gridCol w:w="239"/>
        <w:gridCol w:w="919"/>
        <w:gridCol w:w="166"/>
        <w:gridCol w:w="146"/>
        <w:gridCol w:w="196"/>
        <w:gridCol w:w="691"/>
        <w:gridCol w:w="393"/>
      </w:tblGrid>
      <w:tr>
        <w:trP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Finite-lived intangible assets</w:t>
            </w:r>
            <w:r>
              <w:rPr>
                <w:rFonts w:ascii="Times New Roman" w:hAnsi="Times New Roman"/>
                <w:b/>
                <w:color w:val="000000"/>
                <w:sz w:val="12"/>
              </w:rPr>
              <w:t>(1)</w:t>
            </w: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86,418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113,271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OEM and dealer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217,499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FCC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248,818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was $10.1 million and $9.8 million, respectively, for the three-month periods ended March 31, 2026 and 2025.</w:t>
      </w:r>
    </w:p>
    <w:p>
      <w:pPr>
        <w:pStyle w:val="TextBody"/>
        <w:bidi w:val="0"/>
        <w:spacing w:before="120" w:after="283"/>
        <w:jc w:val="left"/>
        <w:rPr>
          <w:rFonts w:ascii="Times New Roman" w:hAnsi="Times New Roman"/>
          <w:sz w:val="20"/>
        </w:rPr>
      </w:pPr>
      <w:r>
        <w:rPr>
          <w:rFonts w:ascii="Times New Roman" w:hAnsi="Times New Roman"/>
          <w:color w:val="000000"/>
          <w:sz w:val="20"/>
        </w:rPr>
        <w:t>Amortization expense for the remainder of 2026, each of the next four years and thereafter is estimated to be as follows (</w:t>
      </w:r>
      <w:r>
        <w:rPr>
          <w:rFonts w:ascii="Times New Roman" w:hAnsi="Times New Roman"/>
          <w:i/>
          <w:color w:val="000000"/>
          <w:sz w:val="20"/>
        </w:rPr>
        <w:t>in thousands</w:t>
      </w:r>
      <w:r>
        <w:rPr>
          <w:rFonts w:ascii="Times New Roman" w:hAnsi="Times New Roman"/>
          <w:color w:val="000000"/>
          <w:sz w:val="20"/>
        </w:rPr>
        <w:t>):</w:t>
      </w:r>
    </w:p>
    <w:tbl>
      <w:tblPr>
        <w:tblW w:w="4674" w:type="dxa"/>
        <w:jc w:val="left"/>
        <w:tblInd w:w="0" w:type="dxa"/>
        <w:tblLayout w:type="fixed"/>
        <w:tblCellMar>
          <w:top w:w="28" w:type="dxa"/>
          <w:left w:w="28" w:type="dxa"/>
          <w:bottom w:w="28" w:type="dxa"/>
          <w:right w:w="28" w:type="dxa"/>
        </w:tblCellMar>
      </w:tblPr>
      <w:tblGrid>
        <w:gridCol w:w="3211"/>
        <w:gridCol w:w="146"/>
        <w:gridCol w:w="276"/>
        <w:gridCol w:w="850"/>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(period from April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Actual future amortization expense could differ from the estimated amount as a result of future investments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Long-Term Debt and Other Liabilities</w:t>
      </w:r>
    </w:p>
    <w:p>
      <w:pPr>
        <w:pStyle w:val="TextBody"/>
        <w:bidi w:val="0"/>
        <w:spacing w:before="120" w:after="283"/>
        <w:jc w:val="left"/>
        <w:rPr>
          <w:rFonts w:ascii="Times New Roman" w:hAnsi="Times New Roman"/>
          <w:sz w:val="20"/>
        </w:rPr>
      </w:pPr>
      <w:r>
        <w:rPr>
          <w:rFonts w:ascii="Times New Roman" w:hAnsi="Times New Roman"/>
          <w:color w:val="000000"/>
          <w:sz w:val="20"/>
        </w:rPr>
        <w:t>Long-term debt as of March 31, 2026 and December 31, 2025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577" w:type="dxa"/>
        <w:jc w:val="left"/>
        <w:tblInd w:w="0" w:type="dxa"/>
        <w:tblLayout w:type="fixed"/>
        <w:tblCellMar>
          <w:top w:w="28" w:type="dxa"/>
          <w:left w:w="28" w:type="dxa"/>
          <w:bottom w:w="28" w:type="dxa"/>
          <w:right w:w="28" w:type="dxa"/>
        </w:tblCellMar>
      </w:tblPr>
      <w:tblGrid>
        <w:gridCol w:w="3456"/>
        <w:gridCol w:w="146"/>
        <w:gridCol w:w="211"/>
        <w:gridCol w:w="781"/>
        <w:gridCol w:w="166"/>
        <w:gridCol w:w="146"/>
        <w:gridCol w:w="268"/>
        <w:gridCol w:w="992"/>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quarterly installments equal to one percent of the aggregate initial principal amount thereof per annum, with the remaining balance payable upon final maturity of the 2021 Term Loan Facility. There are no amortization payments under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leverage ratio. As of March 31, 2026, the fee for unused commitments under the Revolving Facility was 0.25% and the applicable margin was 4.00% for SOFR rate loans and 3.00% for alternate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exceptions and de minimis thresholds, the 2021 Term Loan Facility is subject to mandatory prepayments in an amount equal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is available for working capital and general corporate purposes of GIH and its subsidiaries and was undrawn as of March 31,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both March 31, 2026 and December 31, 2025, the outstanding principal amount of the 2021 Term Loan Facility was $601.4 million, the unaccreted debt discount was $1.1 million and $1.2 million, respectively, and the net carrying amount was $600.3 million and $600.2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$0.8 million and $0.7 million, respectively, for the three-month periods ended March 31, 2026 and 2025 and is included in interest expense in our Unaudited Condensed Consolidated Statements of Operations. As of March 31, 2026 and December 31, 2025, the balance of unamortized deferred financing costs related to the 2021 Facilities was $6.7 million and $7.4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HPS Term Loan Facility (as defined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HPS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24 months following the closing of the HPS Credit Agreement, certain prepayments of the HPS Term Loan Facility are subject to a 1.00% prepayment premium), subject to minimum principal repayment amount requirements.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Subject to certain exceptions and de minimis thresholds, the HPS Term Loan Facility is subject to mandatory prepayments in an amount equal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 of annual excess cash flow (as defined in the HPS Credit Agreement), subject to reduction to 50% if specified senior secured first lien net leverage ratio targets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outstanding principal amount of the HPS Term Loan Facility was $246.3 million and $246.9 million, respectively, the unaccreted debt discount was $3.3 million and $3.6 million, respectively, and the net carrying amount was $243.0 million and $243.3 million, respectively. In accordance with the HPS Credit Agreement, the Company paid $21.1 million of the outstanding principal amount of the HPS Term Loan Facility in April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$0.1 million and $0.1 million, respectively, for the three-month periods ended March 31, 2026 and 2025 and is included in interest expense in our Unaudited Condensed Consolidated Statements of Operations. As of March 31, 2026 and December 31, 2025 the balance of unamortized deferred financing costs related to the HPS Credit Agreement was $1.4 million and $1.6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2021 Term Loan Facility.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notional amounts, strike rates and end dates of the cap agreements are as follows </w:t>
      </w:r>
      <w:r>
        <w:rPr>
          <w:rFonts w:ascii="Times New Roman" w:hAnsi="Times New Roman"/>
          <w:i/>
          <w:color w:val="000000"/>
          <w:sz w:val="20"/>
        </w:rPr>
        <w:t>(notional amounts in thousands)</w:t>
      </w:r>
      <w:r>
        <w:rPr>
          <w:rFonts w:ascii="Times New Roman" w:hAnsi="Times New Roman"/>
          <w:color w:val="000000"/>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Strike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hAnsi="Times New Roman"/>
          <w:i/>
          <w:color w:val="000000"/>
          <w:sz w:val="20"/>
        </w:rPr>
        <w:t>Derivatives and Hedging</w:t>
      </w:r>
      <w:r>
        <w:rPr>
          <w:rFonts w:ascii="Times New Roman" w:hAnsi="Times New Roman"/>
          <w:color w:val="000000"/>
          <w:sz w:val="20"/>
        </w:rPr>
        <w:t>. No gains or losses of our cash flow hedges were considered to be ineffective and reclassified from other comprehensive income (loss) to earnings for the three-month periods ended March 31, 2026 and 2025. We estimate that approximately $1.3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March 31, 2026, we recorded a decrease in fair value on the interest rate caps of $0.1 million, net of an immaterial amount of tax, and for the three-month period ended March 31, 2025, we recorded a decrease in fair value on the interest rate caps of $3.0 million, net of tax of $0.8 million. Increases and decreases in fair value on interest rate caps above exclude amortization of the purchase price paid for the interest rate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derivatives are used, we are exposed to credit loss in the event of non-performance by the counterparties; however, non-performance is not anticipated. ASC 815, </w:t>
      </w:r>
      <w:r>
        <w:rPr>
          <w:rFonts w:ascii="Times New Roman" w:hAnsi="Times New Roman"/>
          <w:i/>
          <w:color w:val="000000"/>
          <w:sz w:val="20"/>
        </w:rPr>
        <w:t>Derivatives and Hedging</w:t>
      </w:r>
      <w:r>
        <w:rPr>
          <w:rFonts w:ascii="Times New Roman" w:hAnsi="Times New Roman"/>
          <w:color w:val="000000"/>
          <w:sz w:val="20"/>
        </w:rPr>
        <w:t xml:space="preserve">,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our interest rate derivatives included in the Unaudited Condensed Consolidated Balance Sheets for the periods presented (in thousands): </w:t>
      </w:r>
    </w:p>
    <w:tbl>
      <w:tblPr>
        <w:tblW w:w="10205" w:type="dxa"/>
        <w:jc w:val="left"/>
        <w:tblInd w:w="0" w:type="dxa"/>
        <w:tblLayout w:type="fixed"/>
        <w:tblCellMar>
          <w:top w:w="28" w:type="dxa"/>
          <w:left w:w="28" w:type="dxa"/>
          <w:bottom w:w="28" w:type="dxa"/>
          <w:right w:w="28" w:type="dxa"/>
        </w:tblCellMar>
      </w:tblPr>
      <w:tblGrid>
        <w:gridCol w:w="3889"/>
        <w:gridCol w:w="146"/>
        <w:gridCol w:w="3328"/>
        <w:gridCol w:w="146"/>
        <w:gridCol w:w="260"/>
        <w:gridCol w:w="705"/>
        <w:gridCol w:w="146"/>
        <w:gridCol w:w="146"/>
        <w:gridCol w:w="335"/>
        <w:gridCol w:w="911"/>
        <w:gridCol w:w="193"/>
      </w:tblGrid>
      <w:tr>
        <w:trPr/>
        <w:tc>
          <w:tcPr>
            <w:tcW w:w="3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Interest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interest costs for the three-month periods ended March 31, 2026 and 2025 </w:t>
      </w:r>
      <w:r>
        <w:rPr>
          <w:rFonts w:ascii="Times New Roman" w:hAnsi="Times New Roman"/>
          <w:i/>
          <w:color w:val="000000"/>
          <w:sz w:val="20"/>
        </w:rPr>
        <w:t>(in thousands)</w:t>
      </w:r>
      <w:r>
        <w:rPr>
          <w:rFonts w:ascii="Times New Roman" w:hAnsi="Times New Roman"/>
          <w:color w:val="000000"/>
          <w:sz w:val="20"/>
        </w:rPr>
        <w:t>:</w:t>
      </w:r>
    </w:p>
    <w:tbl>
      <w:tblPr>
        <w:tblW w:w="7174" w:type="dxa"/>
        <w:jc w:val="left"/>
        <w:tblInd w:w="0" w:type="dxa"/>
        <w:tblLayout w:type="fixed"/>
        <w:tblCellMar>
          <w:top w:w="28" w:type="dxa"/>
          <w:left w:w="28" w:type="dxa"/>
          <w:bottom w:w="28" w:type="dxa"/>
          <w:right w:w="28" w:type="dxa"/>
        </w:tblCellMar>
      </w:tblPr>
      <w:tblGrid>
        <w:gridCol w:w="4631"/>
        <w:gridCol w:w="146"/>
        <w:gridCol w:w="211"/>
        <w:gridCol w:w="676"/>
        <w:gridCol w:w="166"/>
        <w:gridCol w:w="146"/>
        <w:gridCol w:w="211"/>
        <w:gridCol w:w="676"/>
        <w:gridCol w:w="311"/>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the purchase price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three-tier fair value hierarchy has been established which prioritizes the inputs used in measuring fair value. These tiers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1</w:t>
      </w:r>
      <w:r>
        <w:rPr>
          <w:color w:val="000000"/>
        </w:rPr>
        <w:t xml:space="preserve"> </w:t>
      </w:r>
      <w:r>
        <w:rPr>
          <w:rFonts w:ascii="Times New Roman" w:hAnsi="Times New Roman"/>
          <w:color w:val="000000"/>
          <w:sz w:val="20"/>
        </w:rPr>
        <w:t>- defined as observable inputs such as quoted prices for identical assets or liabilities in active markets;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2</w:t>
      </w:r>
      <w:r>
        <w:rPr>
          <w:color w:val="000000"/>
        </w:rPr>
        <w:t xml:space="preserve"> </w:t>
      </w:r>
      <w:r>
        <w:rPr>
          <w:rFonts w:ascii="Times New Roman" w:hAnsi="Times New Roman"/>
          <w:color w:val="000000"/>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3</w:t>
      </w:r>
      <w:r>
        <w:rPr>
          <w:color w:val="000000"/>
        </w:rPr>
        <w:t xml:space="preserve"> </w:t>
      </w:r>
      <w:r>
        <w:rPr>
          <w:rFonts w:ascii="Times New Roman" w:hAnsi="Times New Roman"/>
          <w:color w:val="000000"/>
          <w:sz w:val="20"/>
        </w:rPr>
        <w:t>- defined as unobservable inputs in which little or no market data exists, therefore requiring an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9, “Derivative Instruments and Hedging Activities,” for fair value information relating to our interest rate caps.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Earnout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Satcom Direct, LLC and certain of its affiliates (collectively, “Satcom Direct”) in December 2024, the purchase price included up to an additional $225 million in potential earnout payments of cash and/or common stock of the Company tied to realizing certain financial performance milestones over a four-year period following the acquisition (the “Earnout Liability”). The fair value of the Earnout Liability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 The Earnout Liability has an estimated fair value of $67.0 million and $71.9 million as of March 31, 2026 and December 31, 2025, respectively. In April 2026, the Company paid cash of $40.0 million related to the 2025 financial performance milestones of the Earnout Liability.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Convertible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26, 2024, Gogo invested $5 million in a convertible note offering (“Investment in Convertible Note”). The Investment in Convertible Note accrues interest at 5% per annum, payable upon maturity of the note or upon conversion, and matures two years after the date of issuance. In February 2026, the maturity date of the note was extended for two additional years. In connection with the amendment, the Company was issued warrants to purchase common stock of the issuer. We have elected to measure our Investment in Convertible Note, including the warrants, using the fair value option and record changes in fair value, including accrued interest, in Other (income) expense, net on the Unaudited Condensed Consolidated Statements of Operations.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elected the fair value option for the Investment in Convertible Note to eliminate complexities of applying certain accounting models.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Investment in Convertible Note is included in Other non-current assets and in Prepaid and other current assets on our Unaudited Condensed Consolidated Balance Sheets as of March 31, 2026 and December 31, 2025, respectively, and the reconciliation of beginning and ending balances were as follows </w:t>
      </w:r>
      <w:r>
        <w:rPr>
          <w:rFonts w:ascii="Times New Roman" w:hAnsi="Times New Roman"/>
          <w:i/>
          <w:color w:val="000000"/>
          <w:sz w:val="20"/>
        </w:rPr>
        <w:t>(in thousands)</w:t>
      </w:r>
      <w:r>
        <w:rPr>
          <w:rFonts w:ascii="Times New Roman" w:hAnsi="Times New Roman"/>
          <w:color w:val="000000"/>
          <w:sz w:val="20"/>
        </w:rPr>
        <w:t>:</w:t>
      </w:r>
    </w:p>
    <w:tbl>
      <w:tblPr>
        <w:tblW w:w="5070" w:type="dxa"/>
        <w:jc w:val="left"/>
        <w:tblInd w:w="0" w:type="dxa"/>
        <w:tblLayout w:type="fixed"/>
        <w:tblCellMar>
          <w:top w:w="28" w:type="dxa"/>
          <w:left w:w="28" w:type="dxa"/>
          <w:bottom w:w="28" w:type="dxa"/>
          <w:right w:w="28" w:type="dxa"/>
        </w:tblCellMar>
      </w:tblPr>
      <w:tblGrid>
        <w:gridCol w:w="2641"/>
        <w:gridCol w:w="146"/>
        <w:gridCol w:w="246"/>
        <w:gridCol w:w="492"/>
        <w:gridCol w:w="170"/>
        <w:gridCol w:w="170"/>
        <w:gridCol w:w="246"/>
        <w:gridCol w:w="668"/>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bookmarkStart w:id="10" w:name="our_financial_assets_liabilities_that_ar"/>
      <w:bookmarkEnd w:id="10"/>
      <w:r>
        <w:rPr>
          <w:rFonts w:ascii="Times New Roman" w:hAnsi="Times New Roman"/>
          <w:color w:val="000000"/>
          <w:sz w:val="20"/>
        </w:rPr>
        <w:t xml:space="preserve">As of March 31, 2026 and December 31, 2025,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fair value and carrying value of debt as of March 31,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7761" w:type="dxa"/>
        <w:jc w:val="left"/>
        <w:tblInd w:w="0" w:type="dxa"/>
        <w:tblLayout w:type="fixed"/>
        <w:tblCellMar>
          <w:top w:w="28" w:type="dxa"/>
          <w:left w:w="28" w:type="dxa"/>
          <w:bottom w:w="28" w:type="dxa"/>
          <w:right w:w="28" w:type="dxa"/>
        </w:tblCellMar>
      </w:tblPr>
      <w:tblGrid>
        <w:gridCol w:w="2146"/>
        <w:gridCol w:w="146"/>
        <w:gridCol w:w="261"/>
        <w:gridCol w:w="969"/>
        <w:gridCol w:w="146"/>
        <w:gridCol w:w="211"/>
        <w:gridCol w:w="781"/>
        <w:gridCol w:w="271"/>
        <w:gridCol w:w="146"/>
        <w:gridCol w:w="261"/>
        <w:gridCol w:w="969"/>
        <w:gridCol w:w="146"/>
        <w:gridCol w:w="211"/>
        <w:gridCol w:w="781"/>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amounts are rounded to the nearest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Carrying value of the 2021 Term Loan Facility reflects the unaccreted debt discount of $1.1 million and $1.2 million as of March 31, 2026 and December 31, 2025, respectively. See Note 8, “Long-Term Debt and Other Liabilities,” for further information.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Carrying value of the HPS Term Loan Facility reflects the unaccreted debt discount of $3.3 million and $3.6 million as of March 31, 2026 and December 31, 2025, respectively. See Note 8, “Long-Term Debt and Other Liabilities,” for further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Income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rates for the three-month periods ended March 31, 2026 and 2025 were 37.8% and 36.6%, respectively. For the three-month period ended March 31, 2026, our effective income tax rate was higher than the U.S. federal statutory rate of 21% primarily due to state income taxes, the establishment of a valuation allowance on deferred tax assets, stock-based compensation, and nondeductible officer’s compensation. For the three-month period ended March 31, 2025, our effective income tax rate was higher than the U.S. federal statutory rate of 21% primarily due to state income taxes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state and local net operating losses and a valuation allowance related to our convertible note investment, as it is more likely than not as of March 31, 2026 that these deferred tax assets will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taxation and file income tax returns in the United States federal jurisdiction, various states, and several foreign jurisdictions including, but not limited to, Canada, Switzerland, United Kingdom, Australia, Brazil and Singapore. With a few exceptions, as of March 31, 2026, we are no longer subject to U.S. federal, state, local or foreign examinations by tax authorities for years before 2010.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penalties and interest relating to uncertain tax positions in the income tax provision line item in the Unaudited Condensed Consolidated Statements of Operations. No penalties or interest related to uncertain tax positions were recorded for the three-month periods ended March 31, 2026 and 2025, and as of March 31, 2026 and December 31, 2025, we did not have a liability recorded for interest or potential penalties.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Stock-Based Compensation and Retirement Plans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 </w:t>
      </w:r>
      <w:r>
        <w:rPr>
          <w:rFonts w:ascii="Times New Roman" w:hAnsi="Times New Roman"/>
          <w:color w:val="000000"/>
          <w:sz w:val="20"/>
        </w:rPr>
        <w:t>As of March 31, 2026, we maintained the 2024 Omnibus Equity Incentive Plan (the “2024 Plan”). The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Retirement Plans,” in our 2025 10-K for further information regarding the 2024 Plan.</w:t>
      </w:r>
      <w:r>
        <w:rPr>
          <w:rFonts w:ascii="Times New Roman" w:hAnsi="Times New Roman"/>
          <w:color w:val="FF0000"/>
          <w:sz w:val="20"/>
        </w:rPr>
        <w:t xml:space="preserve"> </w:t>
      </w:r>
      <w:r>
        <w:rPr>
          <w:rFonts w:ascii="Times New Roman" w:hAnsi="Times New Roman"/>
          <w:color w:val="000000"/>
          <w:sz w:val="20"/>
        </w:rPr>
        <w:t>The majority of our equity grants are awarded on an annual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connection with the Company’s acquisition of Satcom Direct on December 3, 2024, 2,275,000 shares were granted, consisting of a combination of RSUs and performance-based restricted stock units (“PSUs”) (together, the “Inducement 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March 31, 2026, no options to purchase shares of common stock were granted, options to purchase 10,015 shares of common stock were exercised, no options to purchase shares of common stock were forfeited and 34,092 options to purchase shares of common stock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March 31, 2026, 1,827,850 RSUs were granted, 575,396 RSUs vested and 146,777 RSUs were forfeited. The fair value of the RSUs granted during the three-month period ended March 31, 2026 was approximately $8.5 million, which will generally be recognized over a period of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March 31, 2026, 101,362 deferred stock units were granted and none were vested or forfeited. The fair value of the deferred stock units granted during the three-month period ended March 31, 2026 was approximately $0.4 million, which will generally be recognized over a period of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March 31, 2026, 49,822 shares of common stock were issued under the Employee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stock-based compensation expense by operating expense line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Retirement Plans</w:t>
      </w:r>
      <w:r>
        <w:rPr>
          <w:rFonts w:ascii="Times New Roman" w:hAnsi="Times New Roman"/>
          <w:color w:val="000000"/>
          <w:sz w:val="20"/>
        </w:rPr>
        <w:t xml:space="preserve"> — We have a 401(k) plan for U.S.-based employees, as well as various defined contribution plans for international employees. Eligible U.S. employees may make tax-deferred contributions under the 401(k) plan, subject to Internal Revenue Service limitations. We match contributions towards the 401(k) plan and international defined contribution plans, subject to annual limitations. Our matching contributions were $0.8 million and $1.1 million, respectively, during the three-month periods ended March 31, 2026 and 2025.</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14.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and Financing Leases —</w:t>
      </w:r>
      <w:r>
        <w:rPr>
          <w:rFonts w:ascii="Times New Roman" w:hAnsi="Times New Roman"/>
          <w:color w:val="000000"/>
          <w:sz w:val="20"/>
        </w:rPr>
        <w:t xml:space="preserve"> We determine whether a contract contains a lease at contract inception and calculate the lease liability and right-of-use asset using our incremental borrowing rate.</w:t>
      </w:r>
      <w:r>
        <w:rPr>
          <w:rFonts w:ascii="Times New Roman" w:hAnsi="Times New Roman"/>
          <w:color w:val="FF0000"/>
          <w:sz w:val="20"/>
        </w:rPr>
        <w:t xml:space="preserve"> </w:t>
      </w:r>
      <w:r>
        <w:rPr>
          <w:rFonts w:ascii="Times New Roman" w:hAnsi="Times New Roman"/>
          <w:color w:val="000000"/>
          <w:sz w:val="20"/>
        </w:rPr>
        <w:t>We have operating lease agreements primarily related to cell sites, data centers, satellites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As of March 31, 2026, there were no significant leases which had not commenced.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lease expense included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tbl>
      <w:tblPr>
        <w:tblW w:w="5206" w:type="dxa"/>
        <w:jc w:val="left"/>
        <w:tblInd w:w="0" w:type="dxa"/>
        <w:tblLayout w:type="fixed"/>
        <w:tblCellMar>
          <w:top w:w="28" w:type="dxa"/>
          <w:left w:w="28" w:type="dxa"/>
          <w:bottom w:w="28" w:type="dxa"/>
          <w:right w:w="28" w:type="dxa"/>
        </w:tblCellMar>
      </w:tblPr>
      <w:tblGrid>
        <w:gridCol w:w="2676"/>
        <w:gridCol w:w="146"/>
        <w:gridCol w:w="214"/>
        <w:gridCol w:w="688"/>
        <w:gridCol w:w="148"/>
        <w:gridCol w:w="148"/>
        <w:gridCol w:w="214"/>
        <w:gridCol w:w="581"/>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leased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Includes $9.0 million of short-term lease cost for the three-month period ended March 31,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information regarding our leases is as follows </w:t>
      </w:r>
      <w:r>
        <w:rPr>
          <w:rFonts w:ascii="Times New Roman" w:hAnsi="Times New Roman"/>
          <w:i/>
          <w:color w:val="000000"/>
          <w:sz w:val="20"/>
        </w:rPr>
        <w:t>(in thousands, except lease terms and discount rates)</w:t>
      </w:r>
      <w:r>
        <w:rPr>
          <w:rFonts w:ascii="Times New Roman" w:hAnsi="Times New Roman"/>
          <w:color w:val="000000"/>
          <w:sz w:val="20"/>
        </w:rPr>
        <w:t>:</w:t>
      </w:r>
    </w:p>
    <w:tbl>
      <w:tblPr>
        <w:tblW w:w="8084" w:type="dxa"/>
        <w:jc w:val="left"/>
        <w:tblInd w:w="0" w:type="dxa"/>
        <w:tblLayout w:type="fixed"/>
        <w:tblCellMar>
          <w:top w:w="28" w:type="dxa"/>
          <w:left w:w="28" w:type="dxa"/>
          <w:bottom w:w="28" w:type="dxa"/>
          <w:right w:w="28" w:type="dxa"/>
        </w:tblCellMar>
      </w:tblPr>
      <w:tblGrid>
        <w:gridCol w:w="5566"/>
        <w:gridCol w:w="146"/>
        <w:gridCol w:w="211"/>
        <w:gridCol w:w="571"/>
        <w:gridCol w:w="271"/>
        <w:gridCol w:w="146"/>
        <w:gridCol w:w="211"/>
        <w:gridCol w:w="571"/>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used in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obtained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 obtained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Annual future minimum lease payments as of March 31, 2026 </w:t>
      </w:r>
      <w:r>
        <w:rPr>
          <w:rFonts w:ascii="Times New Roman" w:hAnsi="Times New Roman"/>
          <w:i/>
          <w:color w:val="000000"/>
          <w:sz w:val="20"/>
        </w:rPr>
        <w:t>(in thousands)</w:t>
      </w:r>
      <w:r>
        <w:rPr>
          <w:rFonts w:ascii="Times New Roman" w:hAnsi="Times New Roman"/>
          <w:color w:val="000000"/>
          <w:sz w:val="20"/>
        </w:rPr>
        <w:t>:</w:t>
      </w:r>
    </w:p>
    <w:tbl>
      <w:tblPr>
        <w:tblW w:w="6817" w:type="dxa"/>
        <w:jc w:val="left"/>
        <w:tblInd w:w="0" w:type="dxa"/>
        <w:tblLayout w:type="fixed"/>
        <w:tblCellMar>
          <w:top w:w="28" w:type="dxa"/>
          <w:left w:w="28" w:type="dxa"/>
          <w:bottom w:w="28" w:type="dxa"/>
          <w:right w:w="28" w:type="dxa"/>
        </w:tblCellMar>
      </w:tblPr>
      <w:tblGrid>
        <w:gridCol w:w="4011"/>
        <w:gridCol w:w="146"/>
        <w:gridCol w:w="217"/>
        <w:gridCol w:w="759"/>
        <w:gridCol w:w="166"/>
        <w:gridCol w:w="146"/>
        <w:gridCol w:w="364"/>
        <w:gridCol w:w="597"/>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(period from April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Commitments</w:t>
      </w:r>
      <w:r>
        <w:rPr>
          <w:rFonts w:ascii="Times New Roman" w:hAnsi="Times New Roman"/>
          <w:color w:val="000000"/>
          <w:sz w:val="20"/>
        </w:rPr>
        <w:t xml:space="preserve"> – 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283"/>
        <w:jc w:val="left"/>
        <w:rPr>
          <w:rFonts w:ascii="Times New Roman" w:hAnsi="Times New Roman"/>
          <w:sz w:val="20"/>
        </w:rPr>
      </w:pPr>
      <w:r>
        <w:rPr>
          <w:rFonts w:ascii="Times New Roman" w:hAnsi="Times New Roman"/>
          <w:b/>
          <w:color w:val="000000"/>
          <w:sz w:val="20"/>
        </w:rPr>
        <w:t>SmartSky Litigation</w:t>
      </w:r>
      <w:r>
        <w:rPr>
          <w:rFonts w:ascii="Times New Roman" w:hAnsi="Times New Roman"/>
          <w:color w:val="000000"/>
          <w:sz w:val="20"/>
        </w:rPr>
        <w:t xml:space="preserve"> – On February 28, 2022, SmartSky Networks, LLC (“SmartSky”) brought suit against Gogo Inc. and its subsidiary Gogo Business Aviation LLC in the U.S. District Court for the District of Delaware (the “Court”) alleging that Gogo 5G infringes four patents owned by the plaintiff. On February 21, 2023, the plaintiff amended its complaint to allege that Gogo 5G infringes two additional patents that had been recently issued to the plaintiff. The suit seeks compensatory damages as well as treble damages for alleged willful infringement and reimbursement of plaintiff's costs, disbursements and attorneys' fees. On May 29, 2024, Gogo Inc. and its subsidiary Gogo Business Aviation LLC amended their answer and counterclaims in the same suit, alleging that three of the six patents asserted by the plaintiff are unenforceable due to inequitable conduct before the U.S. Patent Office. A number of dispositive motions were filed on October 25, 2025, and the Court issued orders resolving those motions. SmartSky’s motions were denied. Gogo’s motion for summary judgment of invalidity on one of SmartSky’s asserted patents was granted. The Court also granted Gogo’s motion for summary judgment of no lost profits and Gogo’s motion to exclude SmartSky’s damages expert’s opinions on lost profits and reasonable royalty damages. On November 17, 2025, the Court commenced a jury trial on the plaintiff’s claims. On November 21, 2025, the jury determined that Gogo willfully infringed the plaintiff’s asserted patents and returned a verdict in the total amount of $22.7 million. A one-day bench trial was held on March 4, 2026, to address Gogo’s inequitable conduct defense. Post-trial briefs on the jury trial were filed on March 18, 2026, and post-trial briefs on the bench trial were filed on March 30, 2026. Briefing is expected to be completed on these motions by May 8, 2026. We continue to vigorously defend our position in the infringement suit challenging both the verdict and the amount of the award in the trial court and will do so in the appellate court if necessary. The outcome of the underlying litigation is inherently uncertain. No judgment has been entered and Gogo has not paid any portion of the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On December 31, 2025, Gogo Inc. and its subsidiary Gogo Business Aviation LLC amended their counterclaims to add Apcela IFC JV, LLC as a counterclaim defendant. Under a schedule agreed upon by the parties, fact discovery and claim construction proceedings will be substantially completed by June 26, 2026, and expert discovery by September 25, 2026, with dispositive motions to follow. A trial date has been scheduled for March 8,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2024, SmartSky sued Gogo Inc. and its subsidiaries in the U.S. District Court for the Western District of North Carolina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damages, disgorgement of profits, reimbursement of plaintiff's costs, attorneys' fees, pre- and post-judgment interest, and interest on actual damages. On March 14, 2025, Gogo Inc. and its subsidiary Gogo Business Aviation LLC filed a motion to dismiss for failure to state a claim. That motion is still pending. On April 21, 2026, at SmartSky’s request, the parties filed a joint motion to modify the case schedule with fact discovery set to be completed by October 2, 2026 and expert discovery by January 31, 2027, with dispositive motions to follow. That motion is still pending and a trial date has not been set. We will vigorously defend our position in this lawsuit. The outcome of the litigation is inherently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 The Company’s accrual for probable and estimable loss contingencies for the aforementioned litigation in which we are a defendant was $10.0 million and $11.5 million as of March 31, 2026 and December 31, 2025, respectively, and is recorded in Accrued liabilities on the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Accumulated Other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changes in accumulated other comprehensive income (loss) by component </w:t>
      </w:r>
      <w:r>
        <w:rPr>
          <w:rFonts w:ascii="Times New Roman" w:hAnsi="Times New Roman"/>
          <w:i/>
          <w:color w:val="000000"/>
          <w:sz w:val="20"/>
        </w:rPr>
        <w:t>(in thousands):</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90"/>
        <w:gridCol w:w="790"/>
        <w:gridCol w:w="146"/>
        <w:gridCol w:w="146"/>
        <w:gridCol w:w="211"/>
        <w:gridCol w:w="42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70"/>
        <w:gridCol w:w="810"/>
        <w:gridCol w:w="166"/>
        <w:gridCol w:w="146"/>
        <w:gridCol w:w="211"/>
        <w:gridCol w:w="631"/>
        <w:gridCol w:w="41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generate revenue from the provision of our connectivity and other service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our key OEMs and dealers for equipment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single-source, third party satellite network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equipment components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high-quality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non-U.S.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finite useful life of satellites;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and logistics issues, tariffs and inflationary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expansion of our business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expansion geographically and otherwise on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train and retain highly skilled employees, and the loss of any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or other outbreaks of contagious diseases, and the measures implemented to combat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economic conditions and geopolitical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climate change and other sustainability-related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evaluate or pursue strategic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recently deployed Gogo 5G and Gogo Galileo services may not compete well in the market or face problems relating to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innovate next-generation technologies and provide products and services useful to our customers and passengers without delay in developing or deploying such technologies,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rights to use our licensed 4MHz of ATG spectrum in the United States and obtain rights to additional spectrum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service interruptions or delays, cyber incidents, technology failures, equipment damage or system disruptions or failures;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assertions by third parties of infringement, misappropriation or other violations;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the use of artificial intelligence in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use of open-source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equipment failure or material defects or errors in our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applicable foreign ownership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regulation of communication networks, and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possession and use of personal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participation in the Federal Communications Commission (“FCC”) Supply Chain Reimbursement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anti-bribery, anti-corruption, anti-money laundering and export control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expenses, liabilities or business disruptions resulting from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distribution of income among various jurisdictions in which we operate as well as changes in tax law or regulation on our U.S. and non-U.S. tax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laws and regulations on U.S. government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substantial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financing to refinance or repay our existing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restrictions and limitations in the agreements governing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increases in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substantial portion of our indebtedness being secured by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downgrade, suspension or withdrawal of the rating assigned by a rating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our tax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dilutive impact of potential future stock issuances;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our stockholder concentration and of our chair of the Board being a significant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fulfill our obligations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 identified material weakness in our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anti-takeover provisions, ownership provisions and certain other provisions in our charter, our bylaws, Delaware law, and our existing and any future credit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factors listed under “Risk Factors” in the 2025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2025 10-K. Our actual results may differ materially from those contained in or implied by any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fiscal year ends December 31 and, unless otherwise noted, references to “years” or “fiscal” are for fiscal years ended December 31. See “</w:t>
      </w:r>
      <w:r>
        <w:rPr>
          <w:rFonts w:ascii="Times New Roman" w:hAnsi="Times New Roman"/>
          <w:color w:val="000000"/>
          <w:sz w:val="20"/>
        </w:rPr>
        <w:t xml:space="preserve">— </w:t>
      </w:r>
      <w:r>
        <w:rPr>
          <w:rFonts w:ascii="Times New Roman" w:hAnsi="Times New Roman"/>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ATG technology and integrated LEO and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pStyle w:val="TextBody"/>
        <w:bidi w:val="0"/>
        <w:spacing w:before="240" w:after="283"/>
        <w:jc w:val="both"/>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implement on a timely basis and costs associated with the ongoing implementation of our technology roadmap, including installation of and/or upgrades to the ATG Broadband technologies we currently offer, Gogo 5G, Gogo Galileo, LTE and any other next generation or other new technology that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issues and related costs that may arise in connection with the implementation of our technology roadmap, including technological issues and related remediation efforts, technological shifts, failures or delays on the part of antenna, chipset, and other equipment developers and providers or satellite network providers, some of which are single-source;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license additional spectrum and make other improvements to our ATG network and operations as technology and user expectations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aircraft in service in our markets, including consolidations or changes in fleet size by one or more of our large-fleet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environment and other trends that affect both business and leisure aviation travel, including the impact on demand for aviation travel of increases in fuel costs and other inflationary pressures stemming from the ongoing conflicts in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supply chains in the aviation industry and installations of our equipment driven by, among other things, labor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engage suppliers of equipment components and network services on a timely basis and on commercially reasonable terms, including, without limitation, electronic components such as semiconductor memory and storage products (among others, dynamic random access memory (“DRAM”) and NAND flash memory), due to the surging buildout of artificial intelligence-related computing infrastructure;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income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policies and interpretations affecting our business, the business of our customers and suppliers globally, including changes that impact the design of our equipment and our ability to obtain required 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and Gogo 5G, expand our service offerings and manage our network;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and proposals for, trade protection measures by the United States as well as other countries (including United States “reciprocal” tariffs that began in 2025), including increases or changes in tariffs and trade barriers, changes in government policies and international trade arrangements, geopolitical volatility, and global macroeconomic conditions, or uncertainty regarding the impact of proposed or future trade protection measures, may affect our results of operations in some markets.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regularly reviews financial and operating metrics, including the following key business metrics, to evaluate the performance of our business and our success in executing our business plan, make decisions regarding resource allocation and corporate strategies, and evaluate forward-looking projections.</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5836"/>
        <w:gridCol w:w="146"/>
        <w:gridCol w:w="211"/>
        <w:gridCol w:w="571"/>
        <w:gridCol w:w="146"/>
        <w:gridCol w:w="146"/>
        <w:gridCol w:w="211"/>
        <w:gridCol w:w="571"/>
        <w:gridCol w:w="59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Aircraft online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ATG AVANCE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Gogo Biz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Gogo Galileo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connectivity service revenue per ATG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ATG units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i/>
          <w:color w:val="000000"/>
          <w:sz w:val="20"/>
        </w:rPr>
        <w:t xml:space="preserve">AVANCE aircraft online. </w:t>
      </w:r>
      <w:r>
        <w:rPr>
          <w:rFonts w:ascii="Times New Roman" w:hAnsi="Times New Roman"/>
          <w:color w:val="000000"/>
          <w:sz w:val="20"/>
        </w:rPr>
        <w:t xml:space="preserve">We define AVANCE aircraft online as the total number of aircraft equipped with our AVANCE L5 or L3 system for which we provide ATG services to business aviation customers in the last month of the period presented. This number excludes military/government AVANCE aircraft online.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Gogo Biz aircraft online. </w:t>
      </w:r>
      <w:r>
        <w:rPr>
          <w:rFonts w:ascii="Times New Roman" w:hAnsi="Times New Roman"/>
          <w:color w:val="000000"/>
          <w:sz w:val="20"/>
        </w:rPr>
        <w:t>We define Gogo Biz aircraft online as the total number of aircraft not equipped with our AVANCE L5 or L3 system for which we provide ATG services to business aviation customers in the last month of the period presented. This number excludes commercial aircraft operated by Intelsat’s airline customers as well as military/government aircraft receiving ATG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GEO aircraft online</w:t>
      </w:r>
      <w:r>
        <w:rPr>
          <w:rFonts w:ascii="Times New Roman" w:hAnsi="Times New Roman"/>
          <w:color w:val="000000"/>
          <w:sz w:val="20"/>
        </w:rPr>
        <w:t>. We define GEO aircraft online as the total number of aircraft for which we provide GEO broadband services to business aviation customers as of the last day of each period presented. This number excludes aircraft receiving services through GEO satellite networks that are end-of-life and military/government GEO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Gogo Galileo aircraft online</w:t>
      </w:r>
      <w:r>
        <w:rPr>
          <w:rFonts w:ascii="Times New Roman" w:hAnsi="Times New Roman"/>
          <w:color w:val="000000"/>
          <w:sz w:val="20"/>
        </w:rPr>
        <w:t>. We define Gogo Galileo aircraft online as the total number of aircraft for which we provide Gogo Galileo LEO broadband services in the last month of the period presented. This number excludes military/government Gogo Galileo aircraft online. This metric was not presented prior to the fiscal year ended December 31, 2025, as Gogo Galileo was only first deployed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Average monthly connectivity service revenue per ATG aircraft online (“ARPU”). </w:t>
      </w:r>
      <w:r>
        <w:rPr>
          <w:rFonts w:ascii="Times New Roman" w:hAnsi="Times New Roman"/>
          <w:color w:val="000000"/>
          <w:sz w:val="20"/>
        </w:rPr>
        <w:t>We define ARPU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ATG units sold</w:t>
      </w:r>
      <w:r>
        <w:rPr>
          <w:rFonts w:ascii="Times New Roman" w:hAnsi="Times New Roman"/>
          <w:color w:val="000000"/>
          <w:sz w:val="20"/>
        </w:rPr>
        <w:t>. We define units sold as the number of ATG units for which we recognized revenue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key components of Unaudited Condensed Consolidated Statements of Operations as described in “Management’s Discussion and Analysis of Financial Condition and Results of Operations” (“MD&amp;A”) in our 2025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assumptions and estimates associated with our goodwill impairment analysis and the fair value of the Earnout Liability associated with the acquisition of Satcom Direct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MD&amp;A in our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“Basis of Presentation,”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8544" w:type="dxa"/>
        <w:jc w:val="left"/>
        <w:tblInd w:w="0" w:type="dxa"/>
        <w:tblLayout w:type="fixed"/>
        <w:tblCellMar>
          <w:top w:w="28" w:type="dxa"/>
          <w:left w:w="28" w:type="dxa"/>
          <w:bottom w:w="28" w:type="dxa"/>
          <w:right w:w="28" w:type="dxa"/>
        </w:tblCellMar>
      </w:tblPr>
      <w:tblGrid>
        <w:gridCol w:w="5511"/>
        <w:gridCol w:w="146"/>
        <w:gridCol w:w="211"/>
        <w:gridCol w:w="781"/>
        <w:gridCol w:w="166"/>
        <w:gridCol w:w="146"/>
        <w:gridCol w:w="211"/>
        <w:gridCol w:w="781"/>
        <w:gridCol w:w="591"/>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discussion of changes in the results in operations for the three-month periods ended March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and percent change for the three-month periods ended March 31,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6046" w:type="dxa"/>
        <w:jc w:val="left"/>
        <w:tblInd w:w="0" w:type="dxa"/>
        <w:tblLayout w:type="fixed"/>
        <w:tblCellMar>
          <w:top w:w="28" w:type="dxa"/>
          <w:left w:w="28" w:type="dxa"/>
          <w:bottom w:w="28" w:type="dxa"/>
          <w:right w:w="28" w:type="dxa"/>
        </w:tblCellMar>
      </w:tblPr>
      <w:tblGrid>
        <w:gridCol w:w="1711"/>
        <w:gridCol w:w="146"/>
        <w:gridCol w:w="211"/>
        <w:gridCol w:w="781"/>
        <w:gridCol w:w="146"/>
        <w:gridCol w:w="146"/>
        <w:gridCol w:w="211"/>
        <w:gridCol w:w="781"/>
        <w:gridCol w:w="146"/>
        <w:gridCol w:w="146"/>
        <w:gridCol w:w="296"/>
        <w:gridCol w:w="949"/>
        <w:gridCol w:w="37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decreased to $226.3 million for the three-month period ended March 31, 2026, as compared with $230.3 million for the prior-year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revenue decreased to $187.7 million for the three-month period ended March 31, 2026, as compared with $198.6 million for the prior-year period due to a decrease in ATG units online.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revenue increased to $38.6 million for the three-month period ended March 31, 2026, as compared with $31.7 million for the prior-year period due to an increase in Gogo Galileo units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service revenue to decline in the near term as a result of the expected decline in ATG services sold and increase in the future as additional aircraft come online due to the launch of Gogo 5G and Gogo Galileo. We expect equipment revenue to increase in the future driven by growth in sales of Gogo 5G and Gogo Galileo units.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revenue and percent change for the three-month periods ended March 31,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6376"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96"/>
        <w:gridCol w:w="949"/>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 revenue increased 4.5% to $98.3 million for the three-month period ended March 31, 2026, as compared with $94.0 million for the prior-year period due to an increase in satellite broadband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equipment revenue increased 19.3% to $35.0 million for the three-month period ended March 31, 2026, as compared with $29.3 million for the prior-year period due to an increase in Gogo Galileo units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cost of service revenue will increase in the future driven by the growth in satellite broadband services. We expect that our cost of equipment revenue will increase with growth in units sold, including Gogo 5G and Gogo Galileo units, due to the launch of those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Engineering, Design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Engineering, design and development expenses decreased 53.2% to $6.5 million for the three-month period ended March 31, 2026, as compared with $13.9 million for the prior-year period due to the reimbursement of costs related to the FCC Reimbursement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engineering, design and development expenses as a percentage of service revenue to decrease, following the completion of Gogo Galileo and 5G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5.1% to $13.5 million for the three-month period ended March 31, 2026, as compared with $14.2 million for the prior-year period due to lower personnel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sales and marketing expenses as a percentage of service revenue to increase in the near term and remain relatively steady in the long term due to the launch and market adoption of the Gogo 5G and Gogo Galileo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11.2% to $26.2 million for the three-month period ended March 31, 2026, as compared with $29.5 million for the prior-year period due to a $4.5 million decrease in personnel costs and $3.8 million decrease in acquisition and integration-related costs, partially offset by a $3.6 million increase in legal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as a percentage of service revenue to decrease over time as acquisition and integration activities complete.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increased 7.0% to $15.1 million for the three-month period ended March 31, 2026, as compared with $14.1 million for the prior-year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depreciation and amortization expense will increase in the future due to the launch of the Gogo 5G network.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expense (income) and percent change for the three-month periods ended March 31,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33"/>
        <w:gridCol w:w="1012"/>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changes that are considered not meaningful are denoted with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decreased to $10.7 million for the three-month period ended March 31, 2026 as compared with $16.2 million for the prior-year period due to the change in fair value of the Earnout Liability from the Satcom Direct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change in fair value of the Earnout Liability to fluctuate in the future depending on performance of the Satcom Direct business. We expect our interest expense to fluctuate in the future based on changes in the variable rates associated with our indebtedness. The benefit we receive from our interest rate caps will decrease over time as our hedge notional amount decreases and the strike rate increases. See Note 8, “Long-Term Debt and Other Liabilities,” to our Unaudited Condensed Consolidated Financial Statements for additional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 for the three-month period ended March 31, 2026 was 37.8% as compared with 36.6% for the prior-year period. For the three-month period ended March 31, 2026, our income tax provision was $7.9 million, due to pre-tax income, stock-based compensation, nondeductible officer’s compensation, and establishment of a valuation allowance on deferred tax assets. For the three-month period ended March 31, 2025, our income tax provision was $6.9 million, due to pre-tax income. See Note 12, “Income Tax,” to our Unaudited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income tax provision to increase in the long term as we continue to generate positive pre-tax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Definition and Reconciliation of Non-GAAP Measures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EBITDA</w:t>
      </w:r>
      <w:r>
        <w:rPr>
          <w:rFonts w:ascii="Times New Roman" w:hAnsi="Times New Roman"/>
          <w:color w:val="000000"/>
          <w:sz w:val="20"/>
        </w:rPr>
        <w:t xml:space="preserve"> represents net income attributable to common stock before interest expense, interest income, income taxes and depreciation and amortization expense.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Adjusted EBITDA</w:t>
      </w:r>
      <w:r>
        <w:rPr>
          <w:rFonts w:ascii="Times New Roman" w:hAnsi="Times New Roman"/>
          <w:color w:val="000000"/>
          <w:sz w:val="20"/>
        </w:rPr>
        <w:t xml:space="preserve"> represents EBITDA adjusted for (i) stock-based compensation expense, (ii) acquisition and integration-related costs, including amortization of acquisition-related inventory step-up costs and changes in fair value of the Earnout Liability, and (iii) change in fair value of convertible note investment.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the change in fair value of convertible note investment from Adjusted EBITDA because this activity is not related to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Free Cash Flow</w:t>
      </w:r>
      <w:r>
        <w:rPr>
          <w:rFonts w:ascii="Times New Roman" w:hAnsi="Times New Roman"/>
          <w:color w:val="000000"/>
          <w:sz w:val="20"/>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rFonts w:ascii="Times New Roman" w:hAnsi="Times New Roman"/>
          <w:i/>
          <w:color w:val="000000"/>
          <w:sz w:val="20"/>
        </w:rPr>
      </w:pPr>
      <w:r>
        <w:rPr>
          <w:rFonts w:ascii="Times New Roman" w:hAnsi="Times New Roman"/>
          <w:i/>
          <w:color w:val="000000"/>
          <w:sz w:val="20"/>
        </w:rPr>
        <w:t>(in thousands, unaudited)</w:t>
      </w:r>
    </w:p>
    <w:tbl>
      <w:tblPr>
        <w:tblW w:w="10094" w:type="dxa"/>
        <w:jc w:val="left"/>
        <w:tblInd w:w="0" w:type="dxa"/>
        <w:tblLayout w:type="fixed"/>
        <w:tblCellMar>
          <w:top w:w="28" w:type="dxa"/>
          <w:left w:w="28" w:type="dxa"/>
          <w:bottom w:w="28" w:type="dxa"/>
          <w:right w:w="28" w:type="dxa"/>
        </w:tblCellMar>
      </w:tblPr>
      <w:tblGrid>
        <w:gridCol w:w="7191"/>
        <w:gridCol w:w="146"/>
        <w:gridCol w:w="211"/>
        <w:gridCol w:w="736"/>
        <w:gridCol w:w="166"/>
        <w:gridCol w:w="146"/>
        <w:gridCol w:w="211"/>
        <w:gridCol w:w="676"/>
        <w:gridCol w:w="611"/>
      </w:tblGrid>
      <w:tr>
        <w:trPr/>
        <w:tc>
          <w:tcPr>
            <w:tcW w:w="7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Acquisition and integration-related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acquisition-related inventory step-up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For the three-month period ended March 31, 2026, the figure consists of severance and other compensation-related costs of $1.2 million and integration support costs of $0.6 million. For the three-month period ended March 31, 2025, the figure consists of due diligence and advisory fees of $3.9 million and severance and other compensation-related costs of $2.6 million.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limitations of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interest income or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cash requirements for our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non-cash components of employee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the fair value of the Earnout Liability from the Satcom Direct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acquisition and integration-related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amortization of acquisition-related inventory step-up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fair value of convertible note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does not represent the total increase or decrease in our cash balance for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other companies in industries related to ours may calculate these measures differently from the way we do, their usefulness as comparative measures may be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 activity for the periods set forth below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399" w:type="dxa"/>
        <w:jc w:val="left"/>
        <w:tblInd w:w="0" w:type="dxa"/>
        <w:tblLayout w:type="fixed"/>
        <w:tblCellMar>
          <w:top w:w="28" w:type="dxa"/>
          <w:left w:w="28" w:type="dxa"/>
          <w:bottom w:w="28" w:type="dxa"/>
          <w:right w:w="28" w:type="dxa"/>
        </w:tblCellMar>
      </w:tblPr>
      <w:tblGrid>
        <w:gridCol w:w="5671"/>
        <w:gridCol w:w="146"/>
        <w:gridCol w:w="211"/>
        <w:gridCol w:w="781"/>
        <w:gridCol w:w="166"/>
        <w:gridCol w:w="146"/>
        <w:gridCol w:w="211"/>
        <w:gridCol w:w="676"/>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three-month periods ended March 31, 2026 and 2025. As of March 31, 2026, approximately $12.1 million remains available under the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detailed in Note 8,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amortizes in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detailed in Note 8,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which is subject to mandatory prepayments under certain circumstances,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aggregate notional amount of the interest rate caps as of March 31, 2026 is $250.0 million. The notional amounts of the interest rate caps periodically decrease over the life of the 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on the interest rate caps, see Note 9, “Derivative Instruments and Hedging Activities,” to our Unaudited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flows from operating activities for the periods set forth below </w:t>
      </w:r>
      <w:r>
        <w:rPr>
          <w:rFonts w:ascii="Times New Roman" w:hAnsi="Times New Roman"/>
          <w:i/>
          <w:color w:val="000000"/>
          <w:sz w:val="20"/>
        </w:rPr>
        <w:t>(in thousands)</w:t>
      </w:r>
      <w:r>
        <w:rPr>
          <w:rFonts w:ascii="Times New Roman" w:hAnsi="Times New Roman"/>
          <w:color w:val="000000"/>
          <w:sz w:val="20"/>
        </w:rPr>
        <w:t>:</w:t>
      </w:r>
    </w:p>
    <w:tbl>
      <w:tblPr>
        <w:tblW w:w="6044" w:type="dxa"/>
        <w:jc w:val="left"/>
        <w:tblInd w:w="0" w:type="dxa"/>
        <w:tblLayout w:type="fixed"/>
        <w:tblCellMar>
          <w:top w:w="28" w:type="dxa"/>
          <w:left w:w="28" w:type="dxa"/>
          <w:bottom w:w="28" w:type="dxa"/>
          <w:right w:w="28" w:type="dxa"/>
        </w:tblCellMar>
      </w:tblPr>
      <w:tblGrid>
        <w:gridCol w:w="3541"/>
        <w:gridCol w:w="146"/>
        <w:gridCol w:w="211"/>
        <w:gridCol w:w="736"/>
        <w:gridCol w:w="166"/>
        <w:gridCol w:w="146"/>
        <w:gridCol w:w="211"/>
        <w:gridCol w:w="67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charges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three-month period ended March 31, 2026, net cash used in operating activities was $7.2 million as compared with cash provided by operating activities of $32.5 million in the prior-year period. The principal contributors to the year-over-year change in operating cash flows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 million decrease in net income and non-cash charges and credits, as noted above under “Results of Operations — Three Months Ended March 31, 2026 and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$37.7 million decrease in cash flows related to operating assets and liabilities resulting 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cash flows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accrued liabilities due to the timing of payments related to personnel costs and inventory;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prepaid expenses and other current assets related to the FCC Reimbursement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$11.9 million for the three-month period ended March 31, 2026, due to $28.0 million of capital expenditures noted below, partially offset by $14.9 million of proceeds received from the FCC Reimbursement Program related to the reimbursement of capital expenditures and $1.2 million of proceeds from interest rate caps.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$2.4 million for the three-month period ended March 31, 2025, due to $6.2 million of capital expenditures noted below, partially offset by $3.2 million of proceeds from interest rate caps and $0.6 million of proceeds received from the FCC Reimbursement Program associated with the reimbursement of capital expenditures.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three-month period ended March 31, 2026 was $2.6 million due to stock-based compensation activities and principal payments on the HPS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three-month period ended March 31, 2025 was $1.6 million, due to stock-based compensation activities and principal payments on the HPS Term Loan Facility.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for the three-month periods ended March 31, 2026 and 2025 were $28.0 million and $6.2 million, respectively, due to the build out of the LTE and 5G networks.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capital expenditures will decrease in the future as the build out of the LTE network nears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Contractual Commitments: </w:t>
      </w:r>
      <w:r>
        <w:rPr>
          <w:rFonts w:ascii="Times New Roman" w:hAnsi="Times New Roman"/>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Leases and Cell Site Contracts: </w:t>
      </w:r>
      <w:r>
        <w:rPr>
          <w:rFonts w:ascii="Times New Roman" w:hAnsi="Times New Roman"/>
          <w:color w:val="000000"/>
          <w:sz w:val="20"/>
        </w:rPr>
        <w:t>We have lease agreements relating to certain facilities and equipment, which are considered operating leases. See Note 14, “Leases,”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March 31, 2026 and December 31, 2025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Rate Risk: </w:t>
      </w:r>
      <w:r>
        <w:rPr>
          <w:rFonts w:ascii="Times New Roman" w:hAnsi="Times New Roman"/>
          <w:color w:val="000000"/>
          <w:sz w:val="20"/>
        </w:rPr>
        <w:t xml:space="preserve">We are exposed to interest rate risk on our variable rate indebtedness, which includes borrowings under each of the 2021 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March 31, 2026,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notional amount of outstanding debt associated with interest rate cap agreements as of March 31, 2026 was $250.0 million. Based on our March 31, 2026 outstanding variable rate debt balance, a hypothetical one percentage point change in the applicable interest rate would impact our annual interest expense by approximately $6.3 million for the next twelve-month period, which includes the impact of our interest rate caps at a strike rate of 2.25% and the $50 million reduction in the notional amount and an increase of the strike rate to 2.75% that will occur on July 31, 2026. Excluding the impact of our interest rate caps, a hypothetical one percentage point change in the applicable interest rate would impact our annual interest expense by approximately $8.5 million for the next twelve-month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three-month periods ended March 31, 2026 and 2025 by immaterial amounts.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Inflation: </w:t>
      </w:r>
      <w:r>
        <w:rPr>
          <w:rFonts w:ascii="Times New Roman" w:hAnsi="Times New Roman"/>
          <w:color w:val="000000"/>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Evaluation of Disclosure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our Chief Executive Officer and the Chief Financial Officer, evaluated the effectiveness of the Company’s disclosure controls and procedures, as defined in Rules 13a-15(e) and 15d-15(e) under the Exchange Act, as of March 31, 2026. Based upon this evaluation, our Chief Executive Officer and the Chief Financial Officer have concluded that our disclosure controls and procedures were not effective as of March 31, 2026 due to a material weakness in internal control over financial reporting which, as previously disclosed in Part II, Item 9A “Controls and Procedures” in the 2025 10-K, existed as of December 31, 2025 and, as discussed below, continued to exist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ineffective disclosure controls and procedures due to the material weakness in internal control over financial reporting, our Chief Executive Officer and the Chief Financial Officer have concluded that the consolidated financial statements in this Quarterly Report on Form 10-Q present fairly, in all material respects, our financial position, results of operations and cash flows in conformity with accounting principles generally accepted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material weakness disclosed in the 2025 10-K remains unremediated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insufficient effective controls in place at Satcom Direct to ensure the completeness and accuracy of Satcom Direct’s financial reporting information that is consolidated into Gogo’s financial statements, due to the following deficiencies at Satcom Direct: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IT program and data changes affecting financial IT applications and underlying accounting records are identified, tested, authorized and implemented appropriately with appropriate segregation of duties.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Satcom Direct’s management did not design and implement control activities necessary to provide reasonable assurance regarding the reliability of financial reporting and the preparation of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Remediation Plan for Material Weaknesses in Internal Control over Financial Reporting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previously reported, with the oversight of the Audit Committee of our Board of Directors, we began implementing in 2025, and continued implementing in the first quarter of 2026, a remediation plan to address the material weakness described above. Action items include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expanded our finance and accounting team, including hiring additional individuals with the requisite public company financial reporting, accounting, and internal control knowledge and experience.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designed and implemented effective GITCs related to user access and change management over relevant Satcom Direct’s IT systems.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we believe that our efforts have improved our internal control over financial reporting, remediation of the material weakness as of March 31, 2026 is expected to require further strengthening of our internal control environment and substantial effort throughout 2026,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Continuing to design and implement internal control over financial reporting for processes specific to Satcom Direct.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Migrating from or enhancing certain legacy Satcom Direct IT systems to allow for the ability to obtain sufficiently reliable information and facilitate the effective design, implementation and operating effectiveness of relevant internal control over financial reporting.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Migrating from or enhancing certain legacy Satcom Direct IT systems to improve functionality and sufficiently enforce segregation of duties, including segregation of duties related to the posting and review of manual journal entries. </w:t>
      </w:r>
    </w:p>
    <w:p>
      <w:pPr>
        <w:pStyle w:val="TextBody"/>
        <w:bidi w:val="0"/>
        <w:jc w:val="left"/>
        <w:rPr>
          <w:rFonts w:ascii="Times New Roman" w:hAnsi="Times New Roman"/>
          <w:color w:val="000000"/>
          <w:sz w:val="20"/>
        </w:rPr>
      </w:pPr>
      <w:r>
        <w:rPr>
          <w:rFonts w:ascii="Times New Roman" w:hAnsi="Times New Roman"/>
          <w:color w:val="000000"/>
          <w:sz w:val="20"/>
        </w:rPr>
        <w:t>We will test the effectiveness of the new and existing controls in future periods. The material weakness cannot be considered completely remediated until the applicable controls have been implemented and management has concluded, through testing, that these controls are operating effectively.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Changes in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lawsuits arising out of the conduct of our business. See Note 15, “Commitments and Contingencies,” to our Unaudited Condensed Consolidated Financial Statements for a discussion of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jc w:val="left"/>
        <w:rPr/>
      </w:pPr>
      <w:r>
        <w:rPr/>
        <w:t> </w:t>
      </w:r>
    </w:p>
    <w:tbl>
      <w:tblPr>
        <w:tblW w:w="2237" w:type="dxa"/>
        <w:jc w:val="left"/>
        <w:tblInd w:w="0" w:type="dxa"/>
        <w:tblLayout w:type="fixed"/>
        <w:tblCellMar>
          <w:top w:w="28" w:type="dxa"/>
          <w:left w:w="28" w:type="dxa"/>
          <w:bottom w:w="28" w:type="dxa"/>
          <w:right w:w="28" w:type="dxa"/>
        </w:tblCellMar>
      </w:tblPr>
      <w:tblGrid>
        <w:gridCol w:w="976"/>
        <w:gridCol w:w="1261"/>
      </w:tblGrid>
      <w:tr>
        <w:trPr/>
        <w:tc>
          <w:tcPr>
            <w:tcW w:w="9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bookmarkStart w:id="16" w:name="risk_factors"/>
            <w:bookmarkEnd w:id="16"/>
            <w:r>
              <w:rPr>
                <w:rFonts w:ascii="Times New Roman" w:hAnsi="Times New Roman"/>
                <w:b/>
                <w:color w:val="000000"/>
                <w:sz w:val="20"/>
              </w:rPr>
              <w:t>Risk Factors.</w:t>
            </w:r>
          </w:p>
        </w:tc>
      </w:tr>
    </w:tbl>
    <w:p>
      <w:pPr>
        <w:pStyle w:val="TextBody"/>
        <w:bidi w:val="0"/>
        <w:spacing w:before="120" w:after="283"/>
        <w:jc w:val="left"/>
        <w:rPr>
          <w:color w:val="000000"/>
        </w:rPr>
      </w:pPr>
      <w:r>
        <w:rPr>
          <w:color w:val="000000"/>
        </w:rPr>
        <w:t>“</w:t>
      </w:r>
      <w:r>
        <w:rPr>
          <w:rFonts w:ascii="Times New Roman" w:hAnsi="Times New Roman"/>
          <w:color w:val="000000"/>
          <w:sz w:val="20"/>
        </w:rPr>
        <w:t>Item 1A. Risk Factors” of our 2025 10-K includes a discussion of our risk factors. There have been no material changes to the risk factors previously disclosed in our 2025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unregistered_sales_equity_securities_use"/>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b/>
          <w:i/>
          <w:color w:val="000000"/>
          <w:sz w:val="20"/>
        </w:rPr>
      </w:pPr>
      <w:r>
        <w:rPr>
          <w:rFonts w:ascii="Times New Roman" w:hAnsi="Times New Roman"/>
          <w:b/>
          <w:i/>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20" w:name="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March 31, 2026, none of our directors or officers adopted or terminated a “Rule 10b5-1 trading arrangement” or “non-Rule 10b5-1 trading arrangement” as such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1.htm">
              <w:r>
                <w:rPr>
                  <w:rStyle w:val="InternetLink"/>
                  <w:rFonts w:ascii="Times New Roman" w:hAnsi="Times New Roman"/>
                  <w:color w:val="0000FF"/>
                  <w:sz w:val="20"/>
                  <w:u w:val="single"/>
                </w:rPr>
                <w:t>Certification of Chief Executive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2.htm">
              <w:r>
                <w:rPr>
                  <w:rStyle w:val="InternetLink"/>
                  <w:rFonts w:ascii="Times New Roman" w:hAnsi="Times New Roman"/>
                  <w:color w:val="0000FF"/>
                  <w:sz w:val="20"/>
                  <w:u w:val="single"/>
                </w:rPr>
                <w:t>Certification of Chief Financial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hyperlink w:anchor="gog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223" w:type="dxa"/>
        <w:jc w:val="left"/>
        <w:tblInd w:w="0" w:type="dxa"/>
        <w:tblLayout w:type="fixed"/>
        <w:tblCellMar>
          <w:top w:w="28" w:type="dxa"/>
          <w:left w:w="28" w:type="dxa"/>
          <w:bottom w:w="28" w:type="dxa"/>
          <w:right w:w="28" w:type="dxa"/>
        </w:tblCellMar>
      </w:tblPr>
      <w:tblGrid>
        <w:gridCol w:w="1636"/>
        <w:gridCol w:w="146"/>
        <w:gridCol w:w="44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Gogo Inc.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Moore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Zachary Cotner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bookmarkStart w:id="23" w:name="gogo-ex31_1.htm"/>
      <w:bookmarkStart w:id="24" w:name="ksgogo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Christopher Moore,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35" w:type="dxa"/>
        <w:jc w:val="left"/>
        <w:tblInd w:w="0" w:type="dxa"/>
        <w:tblLayout w:type="fixed"/>
        <w:tblCellMar>
          <w:top w:w="28" w:type="dxa"/>
          <w:left w:w="28" w:type="dxa"/>
          <w:bottom w:w="28" w:type="dxa"/>
          <w:right w:w="28" w:type="dxa"/>
        </w:tblCellMar>
      </w:tblPr>
      <w:tblGrid>
        <w:gridCol w:w="567"/>
        <w:gridCol w:w="316"/>
        <w:gridCol w:w="2252"/>
      </w:tblGrid>
      <w:tr>
        <w:trPr/>
        <w:tc>
          <w:tcPr>
            <w:tcW w:w="5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88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gogo-ex31_2.htm"/>
      <w:bookmarkStart w:id="26" w:name="ksgogo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Zachary Cotner,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930"/>
        <w:gridCol w:w="434"/>
        <w:gridCol w:w="3091"/>
      </w:tblGrid>
      <w:tr>
        <w:trPr/>
        <w:tc>
          <w:tcPr>
            <w:tcW w:w="9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36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r>
        <w:trPr/>
        <w:tc>
          <w:tcPr>
            <w:tcW w:w="930" w:type="dxa"/>
            <w:tcBorders/>
            <w:tcMar>
              <w:top w:w="0" w:type="dxa"/>
              <w:left w:w="0" w:type="dxa"/>
              <w:bottom w:w="0" w:type="dxa"/>
              <w:right w:w="0" w:type="dxa"/>
            </w:tcMar>
            <w:vAlign w:val="center"/>
          </w:tcPr>
          <w:p>
            <w:pPr>
              <w:pStyle w:val="TableContents"/>
              <w:bidi w:val="0"/>
              <w:spacing w:before="0" w:after="283"/>
              <w:jc w:val="left"/>
              <w:rPr/>
            </w:pPr>
            <w:r>
              <w:rPr/>
              <w:t> </w:t>
            </w:r>
          </w:p>
        </w:tc>
        <w:tc>
          <w:tcPr>
            <w:tcW w:w="35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5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gogo-ex32_1.htm"/>
      <w:bookmarkStart w:id="28" w:name="ksgogo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Christopher Moore, Chief Executive Officer and Director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March 31, 2026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135" w:type="dxa"/>
        <w:jc w:val="left"/>
        <w:tblInd w:w="0" w:type="dxa"/>
        <w:tblLayout w:type="fixed"/>
        <w:tblCellMar>
          <w:top w:w="28" w:type="dxa"/>
          <w:left w:w="28" w:type="dxa"/>
          <w:bottom w:w="28" w:type="dxa"/>
          <w:right w:w="28" w:type="dxa"/>
        </w:tblCellMar>
      </w:tblPr>
      <w:tblGrid>
        <w:gridCol w:w="567"/>
        <w:gridCol w:w="316"/>
        <w:gridCol w:w="2252"/>
      </w:tblGrid>
      <w:tr>
        <w:trPr/>
        <w:tc>
          <w:tcPr>
            <w:tcW w:w="5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88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gogo-ex32_2.htm"/>
      <w:bookmarkStart w:id="30" w:name="ksgogo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Zachary Cotner, Executive Vice President and Chief Financial Officer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March 31, 2026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55" w:type="dxa"/>
        <w:jc w:val="left"/>
        <w:tblInd w:w="0" w:type="dxa"/>
        <w:tblLayout w:type="fixed"/>
        <w:tblCellMar>
          <w:top w:w="28" w:type="dxa"/>
          <w:left w:w="28" w:type="dxa"/>
          <w:bottom w:w="28" w:type="dxa"/>
          <w:right w:w="28" w:type="dxa"/>
        </w:tblCellMar>
      </w:tblPr>
      <w:tblGrid>
        <w:gridCol w:w="930"/>
        <w:gridCol w:w="434"/>
        <w:gridCol w:w="3091"/>
      </w:tblGrid>
      <w:tr>
        <w:trPr/>
        <w:tc>
          <w:tcPr>
            <w:tcW w:w="9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36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r>
        <w:trPr/>
        <w:tc>
          <w:tcPr>
            <w:tcW w:w="930" w:type="dxa"/>
            <w:tcBorders/>
            <w:tcMar>
              <w:top w:w="0" w:type="dxa"/>
              <w:left w:w="0" w:type="dxa"/>
              <w:bottom w:w="0" w:type="dxa"/>
              <w:right w:w="0" w:type="dxa"/>
            </w:tcMar>
            <w:vAlign w:val="center"/>
          </w:tcPr>
          <w:p>
            <w:pPr>
              <w:pStyle w:val="TableContents"/>
              <w:bidi w:val="0"/>
              <w:spacing w:before="0" w:after="283"/>
              <w:jc w:val="left"/>
              <w:rPr/>
            </w:pPr>
            <w:r>
              <w:rPr/>
              <w:t> </w:t>
            </w:r>
          </w:p>
        </w:tc>
        <w:tc>
          <w:tcPr>
            <w:tcW w:w="35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5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21407</Words>
  <Characters>118909</Characters>
  <CharactersWithSpaces>141144</CharactersWithSpaces>
  <Paragraphs>5801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