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HUGH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DRIVE, STE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184,285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June 30, 2026, and immediately vest in full on the grant date. The deferred share units will be settled in shares of the Company's common stock following the director's termination of service on the Company's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 Attorney-in-Fact for Hugh W.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20"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3395</Characters>
  <CharactersWithSpaces>3965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