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gogo-20260806.htm"/>
      <w:bookmarkStart w:id="1" w:name="ksgogo20260806"/>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before="0" w:after="240"/>
        <w:jc w:val="center"/>
        <w:rPr>
          <w:rFonts w:ascii="Times New Roman" w:hAnsi="Times New Roman"/>
          <w:b/>
          <w:color w:val="000000"/>
          <w:sz w:val="28"/>
        </w:rPr>
      </w:pPr>
      <w:r>
        <w:rPr>
          <w:rFonts w:ascii="Times New Roman" w:hAnsi="Times New Roman"/>
          <w:b/>
          <w:color w:val="000000"/>
          <w:sz w:val="28"/>
        </w:rPr>
        <w:t>Washington, D.C. 20549</w:t>
      </w:r>
    </w:p>
    <w:p>
      <w:pPr>
        <w:pStyle w:val="TextBody"/>
        <w:bidi w:val="0"/>
        <w:spacing w:before="0" w:after="16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120"/>
        <w:jc w:val="center"/>
        <w:rPr>
          <w:rFonts w:ascii="Times New Roman" w:hAnsi="Times New Roman"/>
          <w:b/>
          <w:color w:val="000000"/>
          <w:sz w:val="28"/>
        </w:rPr>
      </w:pPr>
      <w:r>
        <w:rPr>
          <w:rFonts w:ascii="Times New Roman" w:hAnsi="Times New Roman"/>
          <w:b/>
          <w:color w:val="000000"/>
          <w:sz w:val="28"/>
        </w:rPr>
        <w:t>CURRENT REPORT</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Section 13 or 15(d) of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 xml:space="preserve">the Securities Exchange Act of 1934 </w:t>
      </w:r>
    </w:p>
    <w:p>
      <w:pPr>
        <w:pStyle w:val="TextBody"/>
        <w:bidi w:val="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Date of Report (Date of earliest event reported): August 6, 2026</w:t>
      </w:r>
    </w:p>
    <w:p>
      <w:pPr>
        <w:pStyle w:val="TextBody"/>
        <w:bidi w:val="0"/>
        <w:spacing w:before="0" w:after="240"/>
        <w:jc w:val="center"/>
        <w:rPr>
          <w:rFonts w:ascii="Times New Roman" w:hAnsi="Times New Roman"/>
          <w:sz w:val="20"/>
        </w:rPr>
      </w:pPr>
      <w:r>
        <w:rPr>
          <w:rFonts w:ascii="Times New Roman" w:hAnsi="Times New Roman"/>
          <w:color w:val="000000"/>
          <w:sz w:val="36"/>
        </w:rPr>
        <w:t>GOGO INC.</w:t>
      </w:r>
      <w:r>
        <w:rPr>
          <w:rFonts w:ascii="Times New Roman" w:hAnsi="Times New Roman"/>
          <w:color w:val="000000"/>
          <w:sz w:val="20"/>
        </w:rPr>
        <w:br/>
        <w:t>(Exact name of registrant as specified in its charter)</w:t>
      </w:r>
    </w:p>
    <w:tbl>
      <w:tblPr>
        <w:tblW w:w="9160" w:type="dxa"/>
        <w:jc w:val="left"/>
        <w:tblInd w:w="0" w:type="dxa"/>
        <w:tblLayout w:type="fixed"/>
        <w:tblCellMar>
          <w:top w:w="28" w:type="dxa"/>
          <w:left w:w="28" w:type="dxa"/>
          <w:bottom w:w="28" w:type="dxa"/>
          <w:right w:w="28" w:type="dxa"/>
        </w:tblCellMar>
      </w:tblPr>
      <w:tblGrid>
        <w:gridCol w:w="3676"/>
        <w:gridCol w:w="146"/>
        <w:gridCol w:w="2296"/>
        <w:gridCol w:w="146"/>
        <w:gridCol w:w="289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001-35975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27-1650905</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center"/>
        <w:rPr/>
      </w:pPr>
      <w:r>
        <w:rPr/>
        <w:t> </w:t>
      </w:r>
    </w:p>
    <w:tbl>
      <w:tblPr>
        <w:tblW w:w="4483" w:type="dxa"/>
        <w:jc w:val="left"/>
        <w:tblInd w:w="0" w:type="dxa"/>
        <w:tblLayout w:type="fixed"/>
        <w:tblCellMar>
          <w:top w:w="28" w:type="dxa"/>
          <w:left w:w="28" w:type="dxa"/>
          <w:bottom w:w="28" w:type="dxa"/>
          <w:right w:w="28" w:type="dxa"/>
        </w:tblCellMar>
      </w:tblPr>
      <w:tblGrid>
        <w:gridCol w:w="3301"/>
        <w:gridCol w:w="146"/>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105 Edgeview Dr., Suite 300</w:t>
              <w:br/>
              <w:t>Broomfield, 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Heading1"/>
              <w:bidi w:val="0"/>
              <w:spacing w:before="240" w:after="283"/>
              <w:jc w:val="left"/>
              <w:rPr/>
            </w:pPr>
            <w:r>
              <w:rPr/>
              <w:t> </w:t>
            </w:r>
          </w:p>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80021</w:t>
            </w:r>
          </w:p>
        </w:tc>
      </w:tr>
      <w:tr>
        <w:trPr/>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center"/>
        <w:rPr>
          <w:rFonts w:ascii="Times New Roman" w:hAnsi="Times New Roman"/>
          <w:sz w:val="20"/>
        </w:rPr>
      </w:pPr>
      <w:r>
        <w:rPr>
          <w:rFonts w:ascii="Times New Roman" w:hAnsi="Times New Roman"/>
          <w:b/>
          <w:color w:val="000000"/>
          <w:sz w:val="20"/>
        </w:rPr>
        <w:br/>
      </w:r>
      <w:r>
        <w:rPr>
          <w:rFonts w:ascii="Times New Roman" w:hAnsi="Times New Roman"/>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303-301-3271</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Not Applicable</w:t>
        <w:br/>
      </w:r>
      <w:r>
        <w:rPr>
          <w:rFonts w:ascii="Times New Roman" w:hAnsi="Times New Roman"/>
          <w:color w:val="000000"/>
          <w:sz w:val="20"/>
        </w:rPr>
        <w:t xml:space="preserve">(Former name or former address, if changed since last report)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color w:val="000000"/>
        </w:rPr>
        <w:t xml:space="preserve">☐ </w:t>
      </w:r>
      <w:r>
        <w:rPr>
          <w:rFonts w:ascii="Times New Roman" w:hAnsi="Times New Roman"/>
          <w:color w:val="000000"/>
          <w:sz w:val="20"/>
        </w:rPr>
        <w:t xml:space="preserve">Written communications pursuant to Rule 425 under the Securities Act (17 CFR 230.425) </w:t>
      </w:r>
    </w:p>
    <w:p>
      <w:pPr>
        <w:pStyle w:val="TextBody"/>
        <w:bidi w:val="0"/>
        <w:jc w:val="left"/>
        <w:rPr/>
      </w:pPr>
      <w:r>
        <w:rPr>
          <w:color w:val="000000"/>
        </w:rPr>
        <w:t xml:space="preserve">☐ </w:t>
      </w:r>
      <w:r>
        <w:rPr>
          <w:rFonts w:ascii="Times New Roman" w:hAnsi="Times New Roman"/>
          <w:color w:val="000000"/>
          <w:sz w:val="20"/>
        </w:rPr>
        <w:t xml:space="preserve">Soliciting material pursuant to Rule 14a-12 under the Exchange Act (17 CFR 240.14a-12) </w:t>
      </w:r>
    </w:p>
    <w:p>
      <w:pPr>
        <w:pStyle w:val="TextBody"/>
        <w:bidi w:val="0"/>
        <w:jc w:val="left"/>
        <w:rPr/>
      </w:pPr>
      <w:r>
        <w:rPr>
          <w:color w:val="000000"/>
        </w:rPr>
        <w:t xml:space="preserve">☐ </w:t>
      </w:r>
      <w:r>
        <w:rPr>
          <w:rFonts w:ascii="Times New Roman" w:hAnsi="Times New Roman"/>
          <w:color w:val="000000"/>
          <w:sz w:val="20"/>
        </w:rPr>
        <w:t xml:space="preserve">Pre-commencement communications pursuant to Rule 14d-2(b) under the Exchange Act (17 CFR 240.14d-2(b)) </w:t>
      </w:r>
    </w:p>
    <w:p>
      <w:pPr>
        <w:pStyle w:val="TextBody"/>
        <w:bidi w:val="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tbl>
      <w:tblPr>
        <w:tblW w:w="7848" w:type="dxa"/>
        <w:jc w:val="left"/>
        <w:tblInd w:w="0" w:type="dxa"/>
        <w:tblLayout w:type="fixed"/>
        <w:tblCellMar>
          <w:top w:w="28" w:type="dxa"/>
          <w:left w:w="28" w:type="dxa"/>
          <w:bottom w:w="28" w:type="dxa"/>
          <w:right w:w="28" w:type="dxa"/>
        </w:tblCellMar>
      </w:tblPr>
      <w:tblGrid>
        <w:gridCol w:w="3241"/>
        <w:gridCol w:w="1246"/>
        <w:gridCol w:w="3361"/>
      </w:tblGrid>
      <w:tr>
        <w:trPr/>
        <w:tc>
          <w:tcPr>
            <w:tcW w:w="324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3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u w:val="single"/>
              </w:rPr>
            </w:pPr>
            <w:r>
              <w:rPr>
                <w:rFonts w:ascii="Times New Roman" w:hAnsi="Times New Roman"/>
                <w:color w:val="000000"/>
                <w:sz w:val="16"/>
                <w:u w:val="single"/>
              </w:rPr>
              <w:t>Title of Class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u w:val="single"/>
              </w:rPr>
            </w:pPr>
            <w:r>
              <w:rPr>
                <w:rFonts w:ascii="Times New Roman" w:hAnsi="Times New Roman"/>
                <w:color w:val="000000"/>
                <w:sz w:val="16"/>
                <w:u w:val="single"/>
              </w:rPr>
              <w:t>Trading Symbol</w:t>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u w:val="single"/>
              </w:rPr>
            </w:pPr>
            <w:r>
              <w:rPr>
                <w:rFonts w:ascii="Times New Roman" w:hAnsi="Times New Roman"/>
                <w:color w:val="000000"/>
                <w:sz w:val="16"/>
                <w:u w:val="single"/>
              </w:rPr>
              <w:t>Name of Each Exchange on Which Registered</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par value $0.0001 per share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GOGO</w:t>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 Purchase Rights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GOGO</w:t>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b/>
          <w:color w:val="000000"/>
          <w:sz w:val="22"/>
        </w:rPr>
        <w:t xml:space="preserve">Item 2.02. </w:t>
      </w:r>
      <w:r>
        <w:rPr>
          <w:rFonts w:ascii="Times New Roman" w:hAnsi="Times New Roman"/>
          <w:b/>
          <w:caps/>
          <w:color w:val="000000"/>
          <w:sz w:val="22"/>
        </w:rPr>
        <w:t>RESULTS OF OPERATIONS AND FINANCIAL CONDITION.</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On August 6, 2026, Gogo Inc. (the “Company”) issued a press release announcing its results of operations for the second quarter ended June 30, 2026. A copy of the press release is attached hereto as Exhibit 99.1.</w:t>
      </w:r>
    </w:p>
    <w:p>
      <w:pPr>
        <w:pStyle w:val="TextBody"/>
        <w:bidi w:val="0"/>
        <w:jc w:val="left"/>
        <w:rPr/>
      </w:pPr>
      <w:r>
        <w:rPr/>
        <w:t> </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Item 9.01. FINANCIAL STATEMENTS AND EXHIBITS.</w:t>
      </w:r>
    </w:p>
    <w:tbl>
      <w:tblPr>
        <w:tblW w:w="8908" w:type="dxa"/>
        <w:jc w:val="left"/>
        <w:tblInd w:w="0" w:type="dxa"/>
        <w:tblLayout w:type="fixed"/>
        <w:tblCellMar>
          <w:top w:w="28" w:type="dxa"/>
          <w:left w:w="28" w:type="dxa"/>
          <w:bottom w:w="28" w:type="dxa"/>
          <w:right w:w="28" w:type="dxa"/>
        </w:tblCellMar>
      </w:tblPr>
      <w:tblGrid>
        <w:gridCol w:w="1261"/>
        <w:gridCol w:w="146"/>
        <w:gridCol w:w="750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1" w:type="dxa"/>
            <w:tcBorders/>
            <w:vAlign w:val="center"/>
          </w:tcPr>
          <w:p>
            <w:pPr>
              <w:pStyle w:val="TableContents"/>
              <w:bidi w:val="0"/>
              <w:spacing w:before="0" w:after="283"/>
              <w:jc w:val="left"/>
              <w:rPr>
                <w:sz w:val="4"/>
                <w:szCs w:val="4"/>
              </w:rPr>
            </w:pPr>
            <w:r>
              <w:rPr>
                <w:sz w:val="4"/>
                <w:szCs w:val="4"/>
              </w:rPr>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u w:val="single"/>
              </w:rPr>
              <w:t>Exhibit No.</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Description</w:t>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99.1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1" w:type="dxa"/>
            <w:tcBorders/>
            <w:tcMar>
              <w:top w:w="0" w:type="dxa"/>
              <w:left w:w="0" w:type="dxa"/>
              <w:bottom w:w="0" w:type="dxa"/>
              <w:right w:w="0" w:type="dxa"/>
            </w:tcMar>
            <w:vAlign w:val="center"/>
          </w:tcPr>
          <w:p>
            <w:pPr>
              <w:pStyle w:val="TableContents"/>
              <w:bidi w:val="0"/>
              <w:spacing w:before="0" w:after="283"/>
              <w:jc w:val="left"/>
              <w:rPr/>
            </w:pPr>
            <w:hyperlink w:anchor="gogo-ex99_1.htm">
              <w:r>
                <w:rPr>
                  <w:rStyle w:val="InternetLink"/>
                  <w:rFonts w:ascii="Times New Roman" w:hAnsi="Times New Roman"/>
                  <w:color w:val="0000FF"/>
                  <w:sz w:val="20"/>
                  <w:u w:val="single"/>
                </w:rPr>
                <w:t>Press Release dated August 6, 2026.</w:t>
              </w:r>
            </w:hyperlink>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SIGNATURES</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GOGO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Zachary Cotner </w:t>
      </w:r>
    </w:p>
    <w:p>
      <w:pPr>
        <w:pStyle w:val="TextBody"/>
        <w:bidi w:val="0"/>
        <w:jc w:val="left"/>
        <w:rPr>
          <w:rFonts w:ascii="Times New Roman" w:hAnsi="Times New Roman"/>
          <w:color w:val="000000"/>
          <w:sz w:val="22"/>
        </w:rPr>
      </w:pPr>
      <w:r>
        <w:rPr>
          <w:rFonts w:ascii="Times New Roman" w:hAnsi="Times New Roman"/>
          <w:color w:val="000000"/>
          <w:sz w:val="22"/>
        </w:rPr>
        <w:t>Zachary Cotner</w:t>
        <w:br/>
        <w:t>Executive Vice President and</w:t>
      </w:r>
    </w:p>
    <w:p>
      <w:pPr>
        <w:pStyle w:val="TextBody"/>
        <w:bidi w:val="0"/>
        <w:jc w:val="left"/>
        <w:rPr>
          <w:rFonts w:ascii="Times New Roman" w:hAnsi="Times New Roman"/>
          <w:sz w:val="20"/>
        </w:rPr>
      </w:pPr>
      <w:r>
        <w:rPr>
          <w:rFonts w:ascii="Times New Roman" w:hAnsi="Times New Roman"/>
          <w:color w:val="000000"/>
          <w:sz w:val="22"/>
        </w:rPr>
        <w:t>Chief Financial Officer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 August 6, 2026</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80"/>
        <w:jc w:val="right"/>
        <w:rPr>
          <w:rFonts w:ascii="Arial" w:hAnsi="Arial"/>
          <w:b/>
          <w:color w:val="000000"/>
          <w:sz w:val="20"/>
        </w:rPr>
      </w:pPr>
      <w:bookmarkStart w:id="2" w:name="gogo-ex99_1.htm"/>
      <w:bookmarkStart w:id="3" w:name="ksgogoex99_1"/>
      <w:bookmarkEnd w:id="2"/>
      <w:bookmarkEnd w:id="3"/>
      <w:r>
        <w:rPr>
          <w:rFonts w:ascii="Arial" w:hAnsi="Arial"/>
          <w:b/>
          <w:color w:val="000000"/>
          <w:sz w:val="20"/>
        </w:rPr>
        <w:t>Exhibit 99.1</w:t>
      </w:r>
      <w:r>
        <w:br w:type="page"/>
      </w:r>
    </w:p>
    <w:tbl>
      <w:tblPr>
        <w:tblW w:w="4362" w:type="dxa"/>
        <w:jc w:val="left"/>
        <w:tblInd w:w="0" w:type="dxa"/>
        <w:tblLayout w:type="fixed"/>
        <w:tblCellMar>
          <w:top w:w="28" w:type="dxa"/>
          <w:left w:w="28" w:type="dxa"/>
          <w:bottom w:w="28" w:type="dxa"/>
          <w:right w:w="28" w:type="dxa"/>
        </w:tblCellMar>
      </w:tblPr>
      <w:tblGrid>
        <w:gridCol w:w="2221"/>
        <w:gridCol w:w="2141"/>
      </w:tblGrid>
      <w:tr>
        <w:trPr/>
        <w:tc>
          <w:tcPr>
            <w:tcW w:w="222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jc w:val="left"/>
              <w:rPr>
                <w:rFonts w:ascii="Arial" w:hAnsi="Arial"/>
                <w:color w:val="000000"/>
                <w:sz w:val="32"/>
              </w:rPr>
            </w:pPr>
            <w:r>
              <w:rPr>
                <w:rFonts w:ascii="Arial" w:hAnsi="Arial"/>
                <w:color w:val="000000"/>
                <w:sz w:val="32"/>
              </w:rPr>
              <w:t>Press Release</w:t>
            </w:r>
          </w:p>
          <w:p>
            <w:pPr>
              <w:pStyle w:val="TableContents"/>
              <w:bidi w:val="0"/>
              <w:spacing w:before="0" w:after="283"/>
              <w:jc w:val="left"/>
              <w:rPr>
                <w:rFonts w:ascii="Arial" w:hAnsi="Arial"/>
                <w:i/>
                <w:color w:val="000000"/>
                <w:sz w:val="20"/>
              </w:rPr>
            </w:pPr>
            <w:r>
              <w:rPr>
                <w:rFonts w:ascii="Arial" w:hAnsi="Arial"/>
                <w:i/>
                <w:color w:val="000000"/>
                <w:sz w:val="20"/>
              </w:rPr>
              <w:t>For Immediate Release</w:t>
            </w:r>
          </w:p>
        </w:tc>
        <w:tc>
          <w:tcPr>
            <w:tcW w:w="21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27635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790575"/>
                          </a:xfrm>
                          <a:prstGeom prst="rect">
                            <a:avLst/>
                          </a:prstGeom>
                        </pic:spPr>
                      </pic:pic>
                    </a:graphicData>
                  </a:graphic>
                </wp:inline>
              </w:drawing>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5087" w:type="dxa"/>
        <w:jc w:val="left"/>
        <w:tblInd w:w="0" w:type="dxa"/>
        <w:tblLayout w:type="fixed"/>
        <w:tblCellMar>
          <w:top w:w="28" w:type="dxa"/>
          <w:left w:w="28" w:type="dxa"/>
          <w:bottom w:w="28" w:type="dxa"/>
          <w:right w:w="28" w:type="dxa"/>
        </w:tblCellMar>
      </w:tblPr>
      <w:tblGrid>
        <w:gridCol w:w="2626"/>
        <w:gridCol w:w="2461"/>
      </w:tblGrid>
      <w:tr>
        <w:trPr/>
        <w:tc>
          <w:tcPr>
            <w:tcW w:w="262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Investor Relations Contact:</w:t>
            </w:r>
          </w:p>
        </w:tc>
        <w:tc>
          <w:tcPr>
            <w:tcW w:w="24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Media Relations Contact:</w:t>
            </w:r>
          </w:p>
        </w:tc>
      </w:tr>
      <w:tr>
        <w:trPr/>
        <w:tc>
          <w:tcPr>
            <w:tcW w:w="26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Amy Greene</w:t>
            </w:r>
          </w:p>
        </w:tc>
        <w:tc>
          <w:tcPr>
            <w:tcW w:w="24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Stacey Giglio</w:t>
            </w:r>
          </w:p>
        </w:tc>
      </w:tr>
      <w:tr>
        <w:trPr/>
        <w:tc>
          <w:tcPr>
            <w:tcW w:w="26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+1 303-301-3313</w:t>
            </w:r>
          </w:p>
        </w:tc>
        <w:tc>
          <w:tcPr>
            <w:tcW w:w="24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+1 321-525-4607</w:t>
            </w:r>
          </w:p>
        </w:tc>
      </w:tr>
      <w:tr>
        <w:trPr/>
        <w:tc>
          <w:tcPr>
            <w:tcW w:w="2626" w:type="dxa"/>
            <w:tcBorders/>
            <w:tcMar>
              <w:top w:w="0" w:type="dxa"/>
              <w:left w:w="0" w:type="dxa"/>
              <w:bottom w:w="0" w:type="dxa"/>
              <w:right w:w="0" w:type="dxa"/>
            </w:tcMar>
            <w:vAlign w:val="center"/>
          </w:tcPr>
          <w:p>
            <w:pPr>
              <w:pStyle w:val="TableContents"/>
              <w:bidi w:val="0"/>
              <w:spacing w:before="0" w:after="80"/>
              <w:jc w:val="left"/>
              <w:rPr>
                <w:rFonts w:ascii="Arial" w:hAnsi="Arial"/>
                <w:sz w:val="20"/>
              </w:rPr>
            </w:pPr>
            <w:r>
              <w:rPr>
                <w:rFonts w:ascii="Arial" w:hAnsi="Arial"/>
                <w:sz w:val="20"/>
              </w:rPr>
              <w:t>agreene@gogoair.com</w:t>
            </w:r>
          </w:p>
        </w:tc>
        <w:tc>
          <w:tcPr>
            <w:tcW w:w="2461" w:type="dxa"/>
            <w:tcBorders/>
            <w:tcMar>
              <w:top w:w="0" w:type="dxa"/>
              <w:left w:w="0" w:type="dxa"/>
              <w:bottom w:w="0" w:type="dxa"/>
              <w:right w:w="0" w:type="dxa"/>
            </w:tcMar>
            <w:vAlign w:val="center"/>
          </w:tcPr>
          <w:p>
            <w:pPr>
              <w:pStyle w:val="TableContents"/>
              <w:bidi w:val="0"/>
              <w:spacing w:before="0" w:after="283"/>
              <w:jc w:val="right"/>
              <w:rPr>
                <w:rFonts w:ascii="Arial" w:hAnsi="Arial"/>
                <w:sz w:val="20"/>
              </w:rPr>
            </w:pPr>
            <w:r>
              <w:rPr>
                <w:rFonts w:ascii="Arial" w:hAnsi="Arial"/>
                <w:sz w:val="20"/>
              </w:rPr>
              <w:t>sgiglio@gogoair.com</w:t>
            </w:r>
          </w:p>
        </w:tc>
      </w:tr>
      <w:tr>
        <w:trPr/>
        <w:tc>
          <w:tcPr>
            <w:tcW w:w="262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Arial" w:hAnsi="Arial"/>
          <w:b/>
          <w:color w:val="000000"/>
          <w:sz w:val="24"/>
        </w:rPr>
      </w:pPr>
      <w:r>
        <w:rPr>
          <w:rFonts w:ascii="Arial" w:hAnsi="Arial"/>
          <w:b/>
          <w:color w:val="000000"/>
          <w:sz w:val="24"/>
        </w:rPr>
        <w:t>GOGO ANNOUNCES SECOND QUARTER RESULTS</w:t>
      </w:r>
    </w:p>
    <w:p>
      <w:pPr>
        <w:pStyle w:val="TextBody"/>
        <w:bidi w:val="0"/>
        <w:jc w:val="center"/>
        <w:rPr>
          <w:rFonts w:ascii="Arial" w:hAnsi="Arial"/>
          <w:b/>
          <w:i/>
          <w:color w:val="000000"/>
          <w:sz w:val="22"/>
        </w:rPr>
      </w:pPr>
      <w:r>
        <w:rPr>
          <w:rFonts w:ascii="Arial" w:hAnsi="Arial"/>
          <w:b/>
          <w:i/>
          <w:color w:val="000000"/>
          <w:sz w:val="22"/>
        </w:rPr>
        <w:t>Total Revenue of $222.8 million;</w:t>
      </w:r>
    </w:p>
    <w:p>
      <w:pPr>
        <w:pStyle w:val="TextBody"/>
        <w:bidi w:val="0"/>
        <w:jc w:val="center"/>
        <w:rPr>
          <w:rFonts w:ascii="Arial" w:hAnsi="Arial"/>
          <w:b/>
          <w:i/>
          <w:color w:val="000000"/>
          <w:sz w:val="22"/>
        </w:rPr>
      </w:pPr>
      <w:r>
        <w:rPr>
          <w:rFonts w:ascii="Arial" w:hAnsi="Arial"/>
          <w:b/>
          <w:i/>
          <w:color w:val="000000"/>
          <w:sz w:val="22"/>
        </w:rPr>
        <w:t>Service Revenue of $191.3 million, up 2% sequentially</w:t>
      </w:r>
    </w:p>
    <w:p>
      <w:pPr>
        <w:pStyle w:val="TextBody"/>
        <w:bidi w:val="0"/>
        <w:jc w:val="center"/>
        <w:rPr/>
      </w:pPr>
      <w:r>
        <w:rPr/>
        <w:t> </w:t>
      </w:r>
    </w:p>
    <w:p>
      <w:pPr>
        <w:pStyle w:val="TextBody"/>
        <w:bidi w:val="0"/>
        <w:jc w:val="center"/>
        <w:rPr>
          <w:rFonts w:ascii="Arial" w:hAnsi="Arial"/>
          <w:b/>
          <w:i/>
          <w:color w:val="000000"/>
          <w:sz w:val="22"/>
        </w:rPr>
      </w:pPr>
      <w:r>
        <w:rPr>
          <w:rFonts w:ascii="Arial" w:hAnsi="Arial"/>
          <w:b/>
          <w:i/>
          <w:color w:val="000000"/>
          <w:sz w:val="22"/>
        </w:rPr>
        <w:t>Military / Government service revenue of $39.9 million, up 40% compared to Q2 2025 and 20% sequentially</w:t>
      </w:r>
    </w:p>
    <w:p>
      <w:pPr>
        <w:pStyle w:val="TextBody"/>
        <w:bidi w:val="0"/>
        <w:jc w:val="center"/>
        <w:rPr/>
      </w:pPr>
      <w:r>
        <w:rPr/>
        <w:t> </w:t>
      </w:r>
    </w:p>
    <w:p>
      <w:pPr>
        <w:pStyle w:val="TextBody"/>
        <w:bidi w:val="0"/>
        <w:jc w:val="center"/>
        <w:rPr>
          <w:rFonts w:ascii="Times New Roman" w:hAnsi="Times New Roman"/>
          <w:sz w:val="20"/>
        </w:rPr>
      </w:pPr>
      <w:r>
        <w:rPr>
          <w:rFonts w:ascii="Arial" w:hAnsi="Arial"/>
          <w:b/>
          <w:i/>
          <w:color w:val="000000"/>
          <w:sz w:val="22"/>
        </w:rPr>
        <w:t>Net loss of $2.0 million, Adjusted EBITDA</w:t>
      </w:r>
      <w:r>
        <w:rPr>
          <w:rFonts w:ascii="Arial" w:hAnsi="Arial"/>
          <w:b/>
          <w:i/>
          <w:color w:val="000000"/>
          <w:sz w:val="15"/>
        </w:rPr>
        <w:t>1</w:t>
      </w:r>
      <w:r>
        <w:rPr>
          <w:rFonts w:ascii="Times New Roman" w:hAnsi="Times New Roman"/>
          <w:color w:val="000000"/>
          <w:sz w:val="20"/>
        </w:rPr>
        <w:t xml:space="preserve"> </w:t>
      </w:r>
      <w:r>
        <w:rPr>
          <w:rFonts w:ascii="Arial" w:hAnsi="Arial"/>
          <w:b/>
          <w:i/>
          <w:color w:val="000000"/>
          <w:sz w:val="22"/>
        </w:rPr>
        <w:t>of $53.7 million, up approximately 1% sequentially</w:t>
      </w:r>
    </w:p>
    <w:p>
      <w:pPr>
        <w:pStyle w:val="TextBody"/>
        <w:bidi w:val="0"/>
        <w:jc w:val="center"/>
        <w:rPr/>
      </w:pPr>
      <w:r>
        <w:rPr/>
        <w:t> </w:t>
      </w:r>
    </w:p>
    <w:p>
      <w:pPr>
        <w:pStyle w:val="TextBody"/>
        <w:bidi w:val="0"/>
        <w:jc w:val="center"/>
        <w:rPr>
          <w:rFonts w:ascii="Arial" w:hAnsi="Arial"/>
          <w:b/>
          <w:i/>
          <w:color w:val="000000"/>
          <w:sz w:val="22"/>
        </w:rPr>
      </w:pPr>
      <w:r>
        <w:rPr>
          <w:rFonts w:ascii="Arial" w:hAnsi="Arial"/>
          <w:b/>
          <w:i/>
          <w:color w:val="000000"/>
          <w:sz w:val="22"/>
        </w:rPr>
        <w:t>Gogo Galileo and 5G Expected to Ramp in 2H 2026</w:t>
      </w:r>
    </w:p>
    <w:p>
      <w:pPr>
        <w:pStyle w:val="TextBody"/>
        <w:bidi w:val="0"/>
        <w:spacing w:before="240" w:after="283"/>
        <w:jc w:val="left"/>
        <w:rPr>
          <w:rFonts w:ascii="Times New Roman" w:hAnsi="Times New Roman"/>
          <w:sz w:val="20"/>
        </w:rPr>
      </w:pPr>
      <w:r>
        <w:rPr>
          <w:rFonts w:ascii="Arial" w:hAnsi="Arial"/>
          <w:b/>
          <w:color w:val="000000"/>
          <w:sz w:val="22"/>
        </w:rPr>
        <w:t>BROOMFIELD, Colo. - August 6, 2026</w:t>
      </w:r>
      <w:r>
        <w:rPr>
          <w:rFonts w:ascii="Times New Roman" w:hAnsi="Times New Roman"/>
          <w:color w:val="000000"/>
          <w:sz w:val="20"/>
        </w:rPr>
        <w:t xml:space="preserve"> – </w:t>
      </w:r>
      <w:r>
        <w:rPr>
          <w:rFonts w:ascii="Arial" w:hAnsi="Arial"/>
          <w:color w:val="000000"/>
          <w:sz w:val="22"/>
        </w:rPr>
        <w:t>Gogo Inc. (NASDAQ: GOGO) (“Gogo” or the “Company”), a leading global provider of broadband connectivity services for the business and military/government aviation markets, today announced its financial results for the quarter ended June 30, 2026.</w:t>
      </w:r>
      <w:r>
        <w:rPr>
          <w:rFonts w:ascii="Times New Roman" w:hAnsi="Times New Roman"/>
          <w:color w:val="000000"/>
          <w:sz w:val="20"/>
        </w:rPr>
        <w:t xml:space="preserve"> </w:t>
      </w:r>
    </w:p>
    <w:p>
      <w:pPr>
        <w:pStyle w:val="TextBody"/>
        <w:bidi w:val="0"/>
        <w:spacing w:before="240" w:after="283"/>
        <w:jc w:val="left"/>
        <w:rPr>
          <w:rFonts w:ascii="Arial" w:hAnsi="Arial"/>
          <w:color w:val="000000"/>
          <w:sz w:val="22"/>
        </w:rPr>
      </w:pPr>
      <w:r>
        <w:rPr>
          <w:rFonts w:ascii="Arial" w:hAnsi="Arial"/>
          <w:color w:val="000000"/>
          <w:sz w:val="22"/>
        </w:rPr>
        <w:t>"Our second quarter results show continued momentum in Gogo’s transformation into a global provider of high-speed broadband to the business and military/government aviation markets,” said Chris Moore, CEO of Gogo. “Our military and government business delivered a record quarter, with service revenue up 40% year over year, driven by ongoing demand for secure airborne connectivity, providing a durable revenue base. Our next-generation product transition is well under way, which we expect to be driven by the continued scaling of Galileo and 5G."</w:t>
      </w:r>
    </w:p>
    <w:p>
      <w:pPr>
        <w:pStyle w:val="TextBody"/>
        <w:bidi w:val="0"/>
        <w:spacing w:before="240" w:after="283"/>
        <w:jc w:val="left"/>
        <w:rPr>
          <w:rFonts w:ascii="Arial" w:hAnsi="Arial"/>
          <w:color w:val="000000"/>
          <w:sz w:val="22"/>
        </w:rPr>
      </w:pPr>
      <w:r>
        <w:rPr>
          <w:rFonts w:ascii="Arial" w:hAnsi="Arial"/>
          <w:color w:val="000000"/>
          <w:sz w:val="22"/>
        </w:rPr>
        <w:t>Zac Cotner, CFO of Gogo, commented, “Our second quarter financial results came in line with our expectations, supported by a particularly strong performance with our military and government customers. We continue to see expansion across that customer segment, which grew 20% sequentially and will continue to be both a stabilizer and growth engine for the future. Our results reflect disciplined execution across the business, which along with debt reduction, remain our highest financial priorities over the next several quarters.”</w:t>
      </w:r>
    </w:p>
    <w:p>
      <w:pPr>
        <w:pStyle w:val="TextBody"/>
        <w:bidi w:val="0"/>
        <w:spacing w:before="240" w:after="283"/>
        <w:jc w:val="left"/>
        <w:rPr>
          <w:rFonts w:ascii="Arial" w:hAnsi="Arial"/>
          <w:b/>
          <w:color w:val="000000"/>
          <w:sz w:val="22"/>
          <w:u w:val="single"/>
        </w:rPr>
      </w:pPr>
      <w:r>
        <w:rPr>
          <w:rFonts w:ascii="Arial" w:hAnsi="Arial"/>
          <w:b/>
          <w:color w:val="000000"/>
          <w:sz w:val="22"/>
          <w:u w:val="single"/>
        </w:rPr>
        <w:t>Q2 2026 Financial Highlights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Total revenue of $222.8 million decreased 1% compared to Q2 2025 and 2% compared to Q1 2026.</w:t>
      </w:r>
    </w:p>
    <w:p>
      <w:pPr>
        <w:pStyle w:val="TextBody"/>
        <w:bidi w:val="0"/>
        <w:spacing w:before="120" w:after="283"/>
        <w:jc w:val="left"/>
        <w:rPr>
          <w:rFonts w:ascii="Arial" w:hAnsi="Arial"/>
          <w:i/>
          <w:color w:val="000000"/>
          <w:sz w:val="22"/>
        </w:rPr>
      </w:pPr>
      <w:r>
        <w:rPr>
          <w:rFonts w:ascii="Arial" w:hAnsi="Arial"/>
          <w:i/>
          <w:color w:val="000000"/>
          <w:sz w:val="22"/>
        </w:rPr>
        <w:t>Equipment Revenue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Arial" w:hAnsi="Arial"/>
          <w:color w:val="000000"/>
          <w:sz w:val="22"/>
        </w:rPr>
      </w:pPr>
      <w:r>
        <w:rPr>
          <w:rFonts w:ascii="Arial" w:hAnsi="Arial"/>
          <w:color w:val="000000"/>
          <w:sz w:val="22"/>
        </w:rPr>
        <w:t>Equipment revenue of $31.5 million decreased 2% compared to Q2 2025 and 18% compared to Q1 2026.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Arial" w:hAnsi="Arial"/>
          <w:color w:val="000000"/>
          <w:sz w:val="22"/>
        </w:rPr>
      </w:pPr>
      <w:r>
        <w:rPr>
          <w:rFonts w:ascii="Arial" w:hAnsi="Arial"/>
          <w:color w:val="000000"/>
          <w:sz w:val="22"/>
        </w:rPr>
        <w:t xml:space="preserve">Q2 equipment units shipped for Gogo Galileo, Gogo's new cutting-edge Low Earth Orbit ("LEO") satellite broadband service, totaled 108, up 17% compared to Q1 2026. Cumulative Gogo Galileo equipment shipments reached 518 units.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Arial" w:hAnsi="Arial"/>
          <w:color w:val="000000"/>
          <w:sz w:val="22"/>
        </w:rPr>
      </w:pPr>
      <w:r>
        <w:rPr>
          <w:rFonts w:ascii="Arial" w:hAnsi="Arial"/>
          <w:color w:val="000000"/>
          <w:sz w:val="22"/>
        </w:rPr>
        <w:t>Total ATG equipment units sold in Q2 2026 totaled 297, down 27% compared to Q2 2025 and 42% compared to Q1 2026.</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Gogo 5G unit shipments continue to ramp, with 138 units sold in Q2 2026, up from 52 units sold in Q1 2026.</w:t>
      </w:r>
    </w:p>
    <w:p>
      <w:pPr>
        <w:pStyle w:val="TextBody"/>
        <w:bidi w:val="0"/>
        <w:spacing w:before="0" w:after="80"/>
        <w:jc w:val="right"/>
        <w:rPr>
          <w:rFonts w:ascii="Arial" w:hAnsi="Arial"/>
          <w:color w:val="000000"/>
          <w:sz w:val="20"/>
        </w:rPr>
      </w:pPr>
      <w:r>
        <w:rPr>
          <w:rFonts w:ascii="Arial" w:hAnsi="Arial"/>
          <w:color w:val="000000"/>
          <w:sz w:val="20"/>
        </w:rPr>
        <w:t>1</w:t>
      </w:r>
    </w:p>
    <w:p>
      <w:pPr>
        <w:pStyle w:val="TextBody"/>
        <w:bidi w:val="0"/>
        <w:spacing w:before="0" w:after="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80"/>
        <w:jc w:val="right"/>
        <w:rPr/>
      </w:pPr>
      <w:r>
        <w:rPr/>
        <w:t> </w:t>
      </w:r>
    </w:p>
    <w:p>
      <w:pPr>
        <w:pStyle w:val="TextBody"/>
        <w:bidi w:val="0"/>
        <w:spacing w:before="120" w:after="283"/>
        <w:jc w:val="left"/>
        <w:rPr>
          <w:rFonts w:ascii="Arial" w:hAnsi="Arial"/>
          <w:i/>
          <w:color w:val="000000"/>
          <w:sz w:val="22"/>
        </w:rPr>
      </w:pPr>
      <w:r>
        <w:rPr>
          <w:rFonts w:ascii="Arial" w:hAnsi="Arial"/>
          <w:i/>
          <w:color w:val="000000"/>
          <w:sz w:val="22"/>
        </w:rPr>
        <w:t>Service Revenue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Arial" w:hAnsi="Arial"/>
          <w:color w:val="000000"/>
          <w:sz w:val="22"/>
        </w:rPr>
      </w:pPr>
      <w:r>
        <w:rPr>
          <w:rFonts w:ascii="Arial" w:hAnsi="Arial"/>
          <w:color w:val="000000"/>
          <w:sz w:val="22"/>
        </w:rPr>
        <w:t>Service revenue of $191.3 million decreased 1% compared to Q2 2025 and increased 2% compared to Q1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Business aviation service revenue of $151.3 million decreased 8% compared to Q2 2025 and 2% compared to Q1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Military / Government service revenue of $39.9 million increased 40% compared to Q2 2025 and 20% compared to Q1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Aircraft online ("AOL") as of June 30, 2026: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Arial" w:hAnsi="Arial"/>
          <w:color w:val="000000"/>
          <w:sz w:val="22"/>
        </w:rPr>
        <w:t>Total ATG AOL</w:t>
      </w:r>
      <w:r>
        <w:rPr>
          <w:rFonts w:ascii="Arial" w:hAnsi="Arial"/>
          <w:color w:val="000000"/>
          <w:sz w:val="15"/>
        </w:rPr>
        <w:t>2</w:t>
      </w:r>
      <w:r>
        <w:rPr>
          <w:color w:val="000000"/>
        </w:rPr>
        <w:t xml:space="preserve"> </w:t>
      </w:r>
      <w:r>
        <w:rPr>
          <w:rFonts w:ascii="Arial" w:hAnsi="Arial"/>
          <w:color w:val="000000"/>
          <w:sz w:val="22"/>
        </w:rPr>
        <w:t>of 5,731 decreased 15% versus Q2 2025 and 6% versus Q1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ATG AVANCE AOL of 4,603 decreased 4% compared to June 30, 2025 and decreased 5% compared to March 31,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ATG C-1 AOL of 690 increased 24% from 557 as of March 31, 2026.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Arial" w:hAnsi="Arial"/>
          <w:color w:val="000000"/>
          <w:sz w:val="22"/>
        </w:rPr>
      </w:pPr>
      <w:r>
        <w:rPr>
          <w:rFonts w:ascii="Arial" w:hAnsi="Arial"/>
          <w:color w:val="000000"/>
          <w:sz w:val="22"/>
        </w:rPr>
        <w:t>Broadband GEO AOL of 1,306 decreased 1% compared to June 30, 2025 and was flat compared to March 31, 2026.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Arial" w:hAnsi="Arial"/>
          <w:color w:val="000000"/>
          <w:sz w:val="22"/>
        </w:rPr>
      </w:pPr>
      <w:r>
        <w:rPr>
          <w:rFonts w:ascii="Arial" w:hAnsi="Arial"/>
          <w:color w:val="000000"/>
          <w:sz w:val="22"/>
        </w:rPr>
        <w:t>Gogo Galileo AOL of 184 increased 66% from 111 as of March 31,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Net Income (loss) for the quarter was ($2.0) million, compared to $12.8 million in Q2 2025 and $13.1 million in Q1 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2"/>
        </w:rPr>
        <w:t>Adjusted EBITDA</w:t>
      </w:r>
      <w:r>
        <w:rPr>
          <w:rFonts w:ascii="Arial" w:hAnsi="Arial"/>
          <w:color w:val="000000"/>
          <w:sz w:val="15"/>
        </w:rPr>
        <w:t>1</w:t>
      </w:r>
      <w:r>
        <w:rPr>
          <w:color w:val="000000"/>
        </w:rPr>
        <w:t xml:space="preserve"> </w:t>
      </w:r>
      <w:r>
        <w:rPr>
          <w:rFonts w:ascii="Arial" w:hAnsi="Arial"/>
          <w:color w:val="000000"/>
          <w:sz w:val="22"/>
        </w:rPr>
        <w:t>of $53.7 million decreased 13% compared to Q2 2025 and increased approximately 1% compared to Q1 2026. Adjusted EBITDA includes $3.2 million of expense incurred in the quarter for ongoing litigation matters.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Net cash provided by (used in) operating activities was $32.3 million in Q2 2026, down from $36.7 million in Q2 2025 and up from $(7.2) million in Q1 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2"/>
        </w:rPr>
        <w:t>Free Cash Flow</w:t>
      </w:r>
      <w:r>
        <w:rPr>
          <w:rFonts w:ascii="Arial" w:hAnsi="Arial"/>
          <w:color w:val="000000"/>
          <w:sz w:val="15"/>
        </w:rPr>
        <w:t>1</w:t>
      </w:r>
      <w:r>
        <w:rPr>
          <w:color w:val="000000"/>
        </w:rPr>
        <w:t xml:space="preserve"> </w:t>
      </w:r>
      <w:r>
        <w:rPr>
          <w:rFonts w:ascii="Arial" w:hAnsi="Arial"/>
          <w:color w:val="000000"/>
          <w:sz w:val="22"/>
        </w:rPr>
        <w:t>of $21.6 million in Q2 2026 was down from $33.5 million in Q2 2025 and up from $(19.2) million in Q1 2026.</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Cash and cash equivalents was $63.1 million as of June 30, 2026, compared to $103.5 million as of March 31, 2026 and $102.1 million as of June 30, 2025. During Q2 2026, the Company made a $40.0 million earn-out payment related to the company's earlier purchase of Satcom Direct and a $21.1 million principal payment on the HPS term loan facility, both of which are excluded from Free Cash Flow.</w:t>
      </w:r>
    </w:p>
    <w:p>
      <w:pPr>
        <w:pStyle w:val="TextBody"/>
        <w:bidi w:val="0"/>
        <w:jc w:val="left"/>
        <w:rPr/>
      </w:pPr>
      <w:r>
        <w:rPr/>
        <w:t> </w:t>
      </w:r>
    </w:p>
    <w:p>
      <w:pPr>
        <w:pStyle w:val="TextBody"/>
        <w:bidi w:val="0"/>
        <w:jc w:val="left"/>
        <w:rPr>
          <w:rFonts w:ascii="Arial" w:hAnsi="Arial"/>
          <w:b/>
          <w:color w:val="000000"/>
          <w:sz w:val="22"/>
          <w:u w:val="single"/>
        </w:rPr>
      </w:pPr>
      <w:r>
        <w:rPr>
          <w:rFonts w:ascii="Arial" w:hAnsi="Arial"/>
          <w:b/>
          <w:color w:val="000000"/>
          <w:sz w:val="22"/>
          <w:u w:val="single"/>
        </w:rPr>
        <w:t>Recent Developments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Galileo HDX has earned FAA and EASA certification via Dassault Falcon Jet for installation on Falcon 7X and 8X aircraft, expanding global, high-speed LEO connectivity paired with Gogo's robust cybersecurity protections to these leading long-range business jets.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Gogo secured a $7.5 million multi-year contract with NOAA’s Aircraft Operations Center to provide mission-critical SATCOM, cybersecurity and cockpit datalink software for the "Hurricane Hunter" research fleet.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Airshare is equipping its Embraer Phenom 300 fleet with Gogo Galileo HDX and AVANCE L5 to provide high-speed, multi-device streaming and video conferencing for passengers and crew. Gogo Galileo HDX remains the only line-fit option for the Phenom 300, one of the most popular light jets on the market.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SD Government, a subsidiary of Gogo, Pilatus, and Pro Star Aviation achieved FAA Supplemental Type Certificates ("STC") approval to install Gogo Galileo HDX on Pilatus PC-12 turboprops, delivering high-speed LEO internet for special missions, defense, MEDEVAC and private operators globally.</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Gulfstream received STC certification for all tail-mounted Gogo Galileo HDX installations on G650 and G650ER aircraft, both leading large-cabin jets.</w:t>
      </w:r>
    </w:p>
    <w:p>
      <w:pPr>
        <w:pStyle w:val="TextBody"/>
        <w:bidi w:val="0"/>
        <w:spacing w:before="0" w:after="80"/>
        <w:jc w:val="right"/>
        <w:rPr>
          <w:rFonts w:ascii="Arial" w:hAnsi="Arial"/>
          <w:color w:val="000000"/>
          <w:sz w:val="20"/>
        </w:rPr>
      </w:pPr>
      <w:r>
        <w:rPr>
          <w:rFonts w:ascii="Arial" w:hAnsi="Arial"/>
          <w:color w:val="000000"/>
          <w:sz w:val="20"/>
        </w:rPr>
        <w:t>2</w:t>
      </w:r>
    </w:p>
    <w:p>
      <w:pPr>
        <w:pStyle w:val="TextBody"/>
        <w:bidi w:val="0"/>
        <w:spacing w:before="0" w:after="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80"/>
        <w:jc w:val="righ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Gogo anticipates beginning HDX and 5G demonstrations for the Pilatus PC-24, a leading light business jet. The HDX demonstrations are tentatively scheduled to start in mid-August and the 5G in late October.</w:t>
      </w:r>
    </w:p>
    <w:p>
      <w:pPr>
        <w:pStyle w:val="TextBody"/>
        <w:bidi w:val="0"/>
        <w:jc w:val="left"/>
        <w:rPr>
          <w:rFonts w:ascii="Arial" w:hAnsi="Arial"/>
          <w:b/>
          <w:color w:val="000000"/>
          <w:sz w:val="22"/>
          <w:u w:val="single"/>
        </w:rPr>
      </w:pPr>
      <w:r>
        <w:rPr>
          <w:rFonts w:ascii="Arial" w:hAnsi="Arial"/>
          <w:b/>
          <w:color w:val="000000"/>
          <w:sz w:val="22"/>
          <w:u w:val="single"/>
        </w:rPr>
        <w:t>Updates 2026 Financial Guidance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Gogo is updating its financial guidance previously provided in May.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Total revenue in the range of $870 million to $895 million, split ~84% service revenue and ~16% equipment revenue.</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2"/>
        </w:rPr>
        <w:t>Adjusted EBITDA</w:t>
      </w:r>
      <w:r>
        <w:rPr>
          <w:rFonts w:ascii="Arial" w:hAnsi="Arial"/>
          <w:color w:val="000000"/>
          <w:sz w:val="15"/>
        </w:rPr>
        <w:t>1</w:t>
      </w:r>
      <w:r>
        <w:rPr>
          <w:color w:val="000000"/>
        </w:rPr>
        <w:t xml:space="preserve"> </w:t>
      </w:r>
      <w:r>
        <w:rPr>
          <w:rFonts w:ascii="Arial" w:hAnsi="Arial"/>
          <w:color w:val="000000"/>
          <w:sz w:val="22"/>
        </w:rPr>
        <w:t>in the range of $175 million to $185 million, which includes $5 million in strategic investments and $22 million of ongoing litigation expense, up from $8 million of litigation expense included in the prior guidance.</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2"/>
        </w:rPr>
        <w:t>Free Cash Flow</w:t>
      </w:r>
      <w:r>
        <w:rPr>
          <w:rFonts w:ascii="Arial" w:hAnsi="Arial"/>
          <w:color w:val="000000"/>
          <w:sz w:val="15"/>
        </w:rPr>
        <w:t>1</w:t>
      </w:r>
      <w:r>
        <w:rPr>
          <w:color w:val="000000"/>
        </w:rPr>
        <w:t xml:space="preserve"> </w:t>
      </w:r>
      <w:r>
        <w:rPr>
          <w:rFonts w:ascii="Arial" w:hAnsi="Arial"/>
          <w:color w:val="000000"/>
          <w:sz w:val="22"/>
        </w:rPr>
        <w:t>in the range of $65 million to $85 million, including the aforementioned updated expense for ongoing litigation and $30 million slated for strategic investments in 2026, net of any FCC reimbursement.</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Net capital expenditures of $20 million. This assumes $45 million in reimbursement from the FCC Reimbursement Program.</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2"/>
        </w:rPr>
        <w:t>1</w:t>
      </w:r>
      <w:r>
        <w:rPr>
          <w:rFonts w:ascii="Times New Roman" w:hAnsi="Times New Roman"/>
          <w:color w:val="000000"/>
          <w:sz w:val="20"/>
        </w:rPr>
        <w:t xml:space="preserve"> </w:t>
      </w:r>
      <w:r>
        <w:rPr>
          <w:rFonts w:ascii="Arial" w:hAnsi="Arial"/>
          <w:color w:val="000000"/>
          <w:sz w:val="18"/>
        </w:rPr>
        <w:t>See "Non-GAAP Financial Measures" below.</w:t>
      </w:r>
    </w:p>
    <w:p>
      <w:pPr>
        <w:pStyle w:val="TextBody"/>
        <w:bidi w:val="0"/>
        <w:jc w:val="left"/>
        <w:rPr>
          <w:rFonts w:ascii="Times New Roman" w:hAnsi="Times New Roman"/>
          <w:sz w:val="20"/>
        </w:rPr>
      </w:pPr>
      <w:r>
        <w:rPr>
          <w:rFonts w:ascii="Arial" w:hAnsi="Arial"/>
          <w:color w:val="000000"/>
          <w:sz w:val="12"/>
        </w:rPr>
        <w:t>2</w:t>
      </w:r>
      <w:r>
        <w:rPr>
          <w:rFonts w:ascii="Times New Roman" w:hAnsi="Times New Roman"/>
          <w:color w:val="000000"/>
          <w:sz w:val="20"/>
        </w:rPr>
        <w:t xml:space="preserve"> </w:t>
      </w:r>
      <w:r>
        <w:rPr>
          <w:rFonts w:ascii="Arial" w:hAnsi="Arial"/>
          <w:color w:val="000000"/>
          <w:sz w:val="18"/>
        </w:rPr>
        <w:t>See "Key Business Metrics" below.</w:t>
      </w:r>
    </w:p>
    <w:p>
      <w:pPr>
        <w:pStyle w:val="TextBody"/>
        <w:bidi w:val="0"/>
        <w:jc w:val="left"/>
        <w:rPr/>
      </w:pPr>
      <w:r>
        <w:rPr/>
        <w:t> </w:t>
      </w:r>
    </w:p>
    <w:p>
      <w:pPr>
        <w:pStyle w:val="TextBody"/>
        <w:bidi w:val="0"/>
        <w:jc w:val="both"/>
        <w:rPr>
          <w:rFonts w:ascii="Arial" w:hAnsi="Arial"/>
          <w:b/>
          <w:color w:val="000000"/>
          <w:sz w:val="22"/>
          <w:u w:val="single"/>
        </w:rPr>
      </w:pPr>
      <w:r>
        <w:rPr>
          <w:rFonts w:ascii="Arial" w:hAnsi="Arial"/>
          <w:b/>
          <w:color w:val="000000"/>
          <w:sz w:val="22"/>
          <w:u w:val="single"/>
        </w:rPr>
        <w:t>Conference Call</w:t>
      </w:r>
    </w:p>
    <w:p>
      <w:pPr>
        <w:pStyle w:val="TextBody"/>
        <w:bidi w:val="0"/>
        <w:spacing w:before="120" w:after="283"/>
        <w:jc w:val="left"/>
        <w:rPr>
          <w:rFonts w:ascii="Times New Roman" w:hAnsi="Times New Roman"/>
          <w:sz w:val="20"/>
        </w:rPr>
      </w:pPr>
      <w:r>
        <w:rPr>
          <w:rFonts w:ascii="Arial" w:hAnsi="Arial"/>
          <w:color w:val="000000"/>
          <w:sz w:val="22"/>
        </w:rPr>
        <w:t xml:space="preserve">The Company will host its second quarter conference call on August 6, 2026 at 8:30 a.m. ET. A live webcast of the conference call, as well as a replay, will be available online on the Investor Relations section of the Company’s investor website at </w:t>
      </w:r>
      <w:r>
        <w:rPr>
          <w:rFonts w:ascii="Arial" w:hAnsi="Arial"/>
          <w:sz w:val="22"/>
        </w:rPr>
        <w:t>https://ir.gogoair.com</w:t>
      </w:r>
      <w:r>
        <w:rPr>
          <w:rFonts w:ascii="Arial" w:hAnsi="Arial"/>
          <w:color w:val="000000"/>
          <w:sz w:val="22"/>
        </w:rPr>
        <w:t>.</w:t>
      </w:r>
    </w:p>
    <w:p>
      <w:pPr>
        <w:pStyle w:val="TextBody"/>
        <w:bidi w:val="0"/>
        <w:spacing w:before="120" w:after="283"/>
        <w:jc w:val="left"/>
        <w:rPr>
          <w:rFonts w:ascii="Times New Roman" w:hAnsi="Times New Roman"/>
          <w:sz w:val="20"/>
        </w:rPr>
      </w:pPr>
      <w:r>
        <w:rPr>
          <w:rFonts w:ascii="Arial" w:hAnsi="Arial"/>
          <w:color w:val="000000"/>
          <w:sz w:val="22"/>
        </w:rPr>
        <w:t xml:space="preserve">Q2 Earnings Call Webcast Link: </w:t>
      </w:r>
      <w:r>
        <w:rPr>
          <w:rFonts w:ascii="Arial" w:hAnsi="Arial"/>
          <w:sz w:val="22"/>
        </w:rPr>
        <w:t>https://edge.media-server.com/mmc/p/czisjqz9</w:t>
      </w:r>
    </w:p>
    <w:p>
      <w:pPr>
        <w:pStyle w:val="TextBody"/>
        <w:bidi w:val="0"/>
        <w:spacing w:before="120" w:after="283"/>
        <w:jc w:val="left"/>
        <w:rPr>
          <w:rFonts w:ascii="Times New Roman" w:hAnsi="Times New Roman"/>
          <w:sz w:val="20"/>
        </w:rPr>
      </w:pPr>
      <w:r>
        <w:rPr>
          <w:rFonts w:ascii="Arial" w:hAnsi="Arial"/>
          <w:color w:val="000000"/>
          <w:sz w:val="22"/>
        </w:rPr>
        <w:t>Participants can use the below link to retrieve your unique conference ID to use to access the conference call.</w:t>
        <w:br/>
      </w:r>
      <w:r>
        <w:rPr>
          <w:rFonts w:ascii="Arial" w:hAnsi="Arial"/>
          <w:sz w:val="22"/>
        </w:rPr>
        <w:t>https://register-conf.media-server.com/register/BIc1371241a7b64561b1ebf76042a13f3b</w:t>
      </w:r>
      <w:r>
        <w:rPr>
          <w:rFonts w:ascii="Times New Roman" w:hAnsi="Times New Roman"/>
          <w:color w:val="000000"/>
          <w:sz w:val="20"/>
        </w:rPr>
        <w:t> </w:t>
      </w:r>
    </w:p>
    <w:p>
      <w:pPr>
        <w:pStyle w:val="TextBody"/>
        <w:bidi w:val="0"/>
        <w:jc w:val="left"/>
        <w:rPr/>
      </w:pPr>
      <w:r>
        <w:rPr/>
        <w:t> </w:t>
      </w:r>
    </w:p>
    <w:p>
      <w:pPr>
        <w:pStyle w:val="TextBody"/>
        <w:bidi w:val="0"/>
        <w:jc w:val="left"/>
        <w:rPr>
          <w:rFonts w:ascii="Arial" w:hAnsi="Arial"/>
          <w:b/>
          <w:color w:val="000000"/>
          <w:sz w:val="22"/>
          <w:u w:val="single"/>
        </w:rPr>
      </w:pPr>
      <w:r>
        <w:rPr>
          <w:rFonts w:ascii="Arial" w:hAnsi="Arial"/>
          <w:b/>
          <w:color w:val="000000"/>
          <w:sz w:val="22"/>
          <w:u w:val="single"/>
        </w:rPr>
        <w:t>Non-GAAP Financial Measures</w:t>
      </w:r>
    </w:p>
    <w:p>
      <w:pPr>
        <w:pStyle w:val="TextBody"/>
        <w:bidi w:val="0"/>
        <w:spacing w:before="120" w:after="283"/>
        <w:jc w:val="left"/>
        <w:rPr>
          <w:rFonts w:ascii="Arial" w:hAnsi="Arial"/>
          <w:color w:val="000000"/>
          <w:sz w:val="22"/>
        </w:rPr>
      </w:pPr>
      <w:r>
        <w:rPr>
          <w:rFonts w:ascii="Arial" w:hAnsi="Arial"/>
          <w:color w:val="000000"/>
          <w:sz w:val="22"/>
        </w:rPr>
        <w:t>We report certain non-GAAP financial measurements, including Adjusted EBITDA and Free Cash Flow in the discussion above. Management uses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measurements may vary from and may not be comparable to similarly titled measures used by other companies. Adjusted EBITDA and Free Cash Flow are not recognized measurements under accounting principles generally accepted in the United States, or GAAP. When analyzing our performance with Adjusted EBITDA or liquidity with Free Cash Flow, as applicable, investors should (i) evaluate each adjustment in our reconciliation to the corresponding GAAP measure, and the explanatory footnotes regarding those adjustments, (ii) use Adjusted EBITDA in addition to, and not as an alternative to, net income (loss) attributable to common stock as a measure of operating results, and (iii) use Free Cash Flow in addition to, and not as an alternative to, consolidated net cash provided by (used in) operating activities when evaluating our liquidity. No reconciliation of the forecasted amounts of Adjusted EBITDA for fiscal 2026 is included in this release because we are unable to quantify certain amounts that would be required to be included in the corresponding GAAP measure without unreasonable efforts, due to high variability and complexity with respect to estimating certain forward-looking amounts, and we are therefore unable to estimate the probable significance of such amounts. We believe such reconciliation would imply a degree of precision that would be confusing or misleading to investors.</w:t>
      </w:r>
    </w:p>
    <w:p>
      <w:pPr>
        <w:pStyle w:val="TextBody"/>
        <w:bidi w:val="0"/>
        <w:spacing w:before="0" w:after="80"/>
        <w:jc w:val="right"/>
        <w:rPr>
          <w:rFonts w:ascii="Arial" w:hAnsi="Arial"/>
          <w:color w:val="000000"/>
          <w:sz w:val="20"/>
        </w:rPr>
      </w:pPr>
      <w:r>
        <w:rPr>
          <w:rFonts w:ascii="Arial" w:hAnsi="Arial"/>
          <w:color w:val="000000"/>
          <w:sz w:val="20"/>
        </w:rPr>
        <w:t>3</w:t>
      </w:r>
    </w:p>
    <w:p>
      <w:pPr>
        <w:pStyle w:val="TextBody"/>
        <w:bidi w:val="0"/>
        <w:spacing w:before="0" w:after="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80"/>
        <w:jc w:val="right"/>
        <w:rPr/>
      </w:pPr>
      <w:r>
        <w:rPr/>
        <w:t> </w:t>
      </w:r>
    </w:p>
    <w:p>
      <w:pPr>
        <w:pStyle w:val="TextBody"/>
        <w:bidi w:val="0"/>
        <w:spacing w:before="240" w:after="283"/>
        <w:jc w:val="left"/>
        <w:rPr>
          <w:rFonts w:ascii="Arial" w:hAnsi="Arial"/>
          <w:b/>
          <w:color w:val="000000"/>
          <w:sz w:val="22"/>
          <w:u w:val="single"/>
        </w:rPr>
      </w:pPr>
      <w:r>
        <w:rPr>
          <w:rFonts w:ascii="Arial" w:hAnsi="Arial"/>
          <w:b/>
          <w:color w:val="000000"/>
          <w:sz w:val="22"/>
          <w:u w:val="single"/>
        </w:rPr>
        <w:t>Key Business Metrics</w:t>
      </w:r>
    </w:p>
    <w:p>
      <w:pPr>
        <w:pStyle w:val="TextBody"/>
        <w:bidi w:val="0"/>
        <w:spacing w:before="120" w:after="283"/>
        <w:jc w:val="left"/>
        <w:rPr>
          <w:rFonts w:ascii="Arial" w:hAnsi="Arial"/>
          <w:color w:val="000000"/>
          <w:sz w:val="22"/>
        </w:rPr>
      </w:pPr>
      <w:r>
        <w:rPr>
          <w:rFonts w:ascii="Arial" w:hAnsi="Arial"/>
          <w:color w:val="000000"/>
          <w:sz w:val="22"/>
        </w:rPr>
        <w:t>Our management regularly reviews financial and business metrics, including the key business metrics in this press release under "Supplemental Information - Key Business Metrics," to evaluate the performance of our business and our success in executing our business plan, make decisions regarding resource allocation and corporate strategies, and evaluate forward-looking projections. Certain of these business metrics may be added, removed or updated from time to time as our business evolves.</w:t>
      </w:r>
    </w:p>
    <w:p>
      <w:pPr>
        <w:pStyle w:val="TextBody"/>
        <w:bidi w:val="0"/>
        <w:spacing w:before="120" w:after="283"/>
        <w:jc w:val="left"/>
        <w:rPr/>
      </w:pPr>
      <w:r>
        <w:rPr/>
        <w:t> </w:t>
      </w:r>
    </w:p>
    <w:p>
      <w:pPr>
        <w:pStyle w:val="TextBody"/>
        <w:bidi w:val="0"/>
        <w:jc w:val="left"/>
        <w:rPr>
          <w:rFonts w:ascii="Arial" w:hAnsi="Arial"/>
          <w:b/>
          <w:color w:val="000000"/>
          <w:sz w:val="22"/>
          <w:u w:val="single"/>
        </w:rPr>
      </w:pPr>
      <w:r>
        <w:rPr>
          <w:rFonts w:ascii="Arial" w:hAnsi="Arial"/>
          <w:b/>
          <w:color w:val="000000"/>
          <w:sz w:val="22"/>
          <w:u w:val="single"/>
        </w:rPr>
        <w:t>Cautionary Note Regarding Forward-Looking Statements</w:t>
      </w:r>
    </w:p>
    <w:p>
      <w:pPr>
        <w:pStyle w:val="TextBody"/>
        <w:bidi w:val="0"/>
        <w:jc w:val="left"/>
        <w:rPr>
          <w:rFonts w:ascii="Times New Roman" w:hAnsi="Times New Roman"/>
          <w:sz w:val="20"/>
        </w:rPr>
      </w:pPr>
      <w:r>
        <w:rPr>
          <w:rFonts w:ascii="Arial" w:hAnsi="Arial"/>
          <w:i/>
          <w:color w:val="000000"/>
          <w:sz w:val="22"/>
        </w:rPr>
        <w:t>Certain disclosures in this press release and related comments by our management include forward-looking statements within the meaning of the Private Securities Litigation Reform Act of 1995. These forward-looking statements include, without limitation, statements regarding our business outlook,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press release. Forward-looking statements are based on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 our ability to continue to generate revenue from the provision of our connectivity and other service offerings; our development and fixed-price contracts; our reliance on our key OEMs and dealers for equipment sales; our dependence on single-source, third party satellite network providers; the impact of competition; our ability to maintain high-quality customer support; our reliance on third parties for equipment components and services; our participation in U.S. government contracts; our participation in non-U.S. government contracts; the finite useful life of satellites; the impact of global supply chain and logistics issues, tariffs and inflationary trends; the continued expansion of our business outside of the United States and its impact of such expansion on our corporate culture; foreign currency risk; our ability to recruit, train and retain highly skilled employees, and the loss of any key personnel; the impact of pandemics or other outbreaks of contagious diseases, and the measures implemented to combat them; the impact of adverse economic conditions and geopolitical instability; our ability to fully utilize portions of our deferred tax assets; the impact of climate change and other sustainability-related matters; our ability to evaluate or pursue strategic opportunities; our recently-deployed Gogo 5G and Gogo Galileo services may not compete well in the market or face problems relating to implementation; our ability to innovate next-generation technologies and provide products and services useful to our customers and passengers without delay in developing or deploying such technologies, products and services; our ability to maintain our rights to use our licensed 4Mhz of ATG spectrum in the United States and obtain rights to additional spectrum if needed; the impact of service interruptions or delays, cybersecurity incidents, technology failures, equipment damage or system disruptions or failures; the impact of assertions by third parties of infringement, misappropriation or other violations; our ability to protect our intellectual property rights; risks associated with the use of artificial intelligence in our products and services; the impact of our use of open-source software; the impact of equipment failure or material defects or errors in our software; our ability to comply with applicable foreign ownership limitations; the impact of government regulation of communication networks, and the internet; our possession and use of personal information; risks associated with participation in the FCC Reimbursement Program; our ability to comply with anti-bribery, anti-corruption and anti-money laundering laws; the extent of expenses, liabilities or business disruptions resulting from litigation; the impact of the distribution of income among various jurisdictions in which we operate as well as changes in tax law or regulation on our U.S. and non-U.S. tax liabilities; the impact of changes in laws and regulations on U.S. government contractors; the impact of our substantial indebtedness; our ability to obtain additional financing to refinance or repay our existing</w:t>
      </w:r>
      <w:r>
        <w:rPr>
          <w:rFonts w:ascii="Times New Roman" w:hAnsi="Times New Roman"/>
          <w:color w:val="000000"/>
          <w:sz w:val="20"/>
        </w:rPr>
        <w:t xml:space="preserve"> </w:t>
      </w:r>
    </w:p>
    <w:p>
      <w:pPr>
        <w:pStyle w:val="TextBody"/>
        <w:bidi w:val="0"/>
        <w:spacing w:before="0" w:after="80"/>
        <w:jc w:val="right"/>
        <w:rPr>
          <w:rFonts w:ascii="Arial" w:hAnsi="Arial"/>
          <w:color w:val="000000"/>
          <w:sz w:val="20"/>
        </w:rPr>
      </w:pPr>
      <w:r>
        <w:rPr>
          <w:rFonts w:ascii="Arial" w:hAnsi="Arial"/>
          <w:color w:val="000000"/>
          <w:sz w:val="20"/>
        </w:rPr>
        <w:t>4</w:t>
      </w:r>
    </w:p>
    <w:p>
      <w:pPr>
        <w:pStyle w:val="TextBody"/>
        <w:bidi w:val="0"/>
        <w:spacing w:before="0" w:after="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80"/>
        <w:jc w:val="right"/>
        <w:rPr/>
      </w:pPr>
      <w:r>
        <w:rPr/>
        <w:t> </w:t>
      </w:r>
    </w:p>
    <w:p>
      <w:pPr>
        <w:pStyle w:val="TextBody"/>
        <w:bidi w:val="0"/>
        <w:jc w:val="left"/>
        <w:rPr>
          <w:rFonts w:ascii="Arial" w:hAnsi="Arial"/>
          <w:i/>
          <w:color w:val="000000"/>
          <w:sz w:val="22"/>
        </w:rPr>
      </w:pPr>
      <w:r>
        <w:rPr>
          <w:rFonts w:ascii="Arial" w:hAnsi="Arial"/>
          <w:i/>
          <w:color w:val="000000"/>
          <w:sz w:val="22"/>
        </w:rPr>
        <w:t>indebtedness; the impact of restrictions and limitations in the agreements and instruments governing our debt; the impact of increases in interest rates; the impact of a substantial portion of our indebtedness being secured by substantially all of our assets; the impact of a substantial change in rating assigned by a rating agency; the volatility of our stock price; our ability to fully utilize our tax losses; the dilutive impact of potential future stock issuances; the impact of our stockholder concentration; our ability to fulfill the obligations of being a public company; the impact of an identified material weakness in our internal controls; the impact of certain provisions of our charter, bylaws, and Delaware law; and other factors listed under the caption “Risk Factors” in our annual report on Form 10-K for the year ended December 31, 2025 as filed with the Securities and Exchange Commission (“SEC”) on February 27, 2026 and in our subsequent quarterly reports on Form 10-Q as filed with the SEC.</w:t>
      </w:r>
    </w:p>
    <w:p>
      <w:pPr>
        <w:pStyle w:val="TextBody"/>
        <w:bidi w:val="0"/>
        <w:jc w:val="left"/>
        <w:rPr/>
      </w:pPr>
      <w:r>
        <w:rPr/>
        <w:t> </w:t>
      </w:r>
    </w:p>
    <w:p>
      <w:pPr>
        <w:pStyle w:val="TextBody"/>
        <w:bidi w:val="0"/>
        <w:jc w:val="left"/>
        <w:rPr>
          <w:rFonts w:ascii="Arial" w:hAnsi="Arial"/>
          <w:i/>
          <w:color w:val="000000"/>
          <w:sz w:val="22"/>
        </w:rPr>
      </w:pPr>
      <w:r>
        <w:rPr>
          <w:rFonts w:ascii="Arial" w:hAnsi="Arial"/>
          <w:i/>
          <w:color w:val="000000"/>
          <w:sz w:val="22"/>
        </w:rPr>
        <w:t>Any one of these factors or a combination of these factors could materially affect our financial condition or future results of operations and could influence whether any forward-looking statements contained in this report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pStyle w:val="TextBody"/>
        <w:bidi w:val="0"/>
        <w:spacing w:before="240" w:after="283"/>
        <w:jc w:val="left"/>
        <w:rPr>
          <w:rFonts w:ascii="Arial" w:hAnsi="Arial"/>
          <w:b/>
          <w:color w:val="000000"/>
          <w:sz w:val="22"/>
          <w:u w:val="single"/>
        </w:rPr>
      </w:pPr>
      <w:r>
        <w:rPr>
          <w:rFonts w:ascii="Arial" w:hAnsi="Arial"/>
          <w:b/>
          <w:color w:val="000000"/>
          <w:sz w:val="22"/>
          <w:u w:val="single"/>
        </w:rPr>
        <w:t>About Gogo</w:t>
      </w:r>
    </w:p>
    <w:p>
      <w:pPr>
        <w:pStyle w:val="TextBody"/>
        <w:bidi w:val="0"/>
        <w:spacing w:before="120" w:after="283"/>
        <w:jc w:val="left"/>
        <w:rPr>
          <w:rFonts w:ascii="Arial" w:hAnsi="Arial"/>
          <w:color w:val="000000"/>
          <w:sz w:val="22"/>
        </w:rPr>
      </w:pPr>
      <w:r>
        <w:rPr>
          <w:rFonts w:ascii="Arial" w:hAnsi="Arial"/>
          <w:color w:val="000000"/>
          <w:sz w:val="22"/>
        </w:rPr>
        <w:t>Gogo is the only multi-orbit, multi-band in-flight connectivity provider offering connectivity technology purpose-built for business and military/government mobility aviation. Its industry-leading product portfolio offers best-in-class solutions for all aircraft types, from small to large and heavy jets and beyond.</w:t>
      </w:r>
    </w:p>
    <w:p>
      <w:pPr>
        <w:pStyle w:val="TextBody"/>
        <w:bidi w:val="0"/>
        <w:spacing w:before="120" w:after="283"/>
        <w:jc w:val="left"/>
        <w:rPr>
          <w:rFonts w:ascii="Arial" w:hAnsi="Arial"/>
          <w:color w:val="000000"/>
          <w:sz w:val="22"/>
        </w:rPr>
      </w:pPr>
      <w:r>
        <w:rPr>
          <w:rFonts w:ascii="Arial" w:hAnsi="Arial"/>
          <w:color w:val="000000"/>
          <w:sz w:val="22"/>
        </w:rPr>
        <w:t>The Gogo offering uniquely incorporates Air-to-Ground technology and access to multiple satellite constellations to deliver consistent, global tip-to-tail connectivity through a sophisticated suite of software, hardware, and advanced infrastructure supported by a 24/7/365 in person customer support team.</w:t>
      </w:r>
    </w:p>
    <w:p>
      <w:pPr>
        <w:pStyle w:val="TextBody"/>
        <w:bidi w:val="0"/>
        <w:spacing w:before="120" w:after="283"/>
        <w:jc w:val="left"/>
        <w:rPr>
          <w:rFonts w:ascii="Arial" w:hAnsi="Arial"/>
          <w:color w:val="000000"/>
          <w:sz w:val="22"/>
        </w:rPr>
      </w:pPr>
      <w:r>
        <w:rPr>
          <w:rFonts w:ascii="Arial" w:hAnsi="Arial"/>
          <w:color w:val="000000"/>
          <w:sz w:val="22"/>
        </w:rPr>
        <w:t>Gogo consistently strives to set new standards for reliability, security and innovation and is shaping the future of inflight aviation to make it easier for every customer to stay connected.</w:t>
      </w:r>
    </w:p>
    <w:p>
      <w:pPr>
        <w:pStyle w:val="TextBody"/>
        <w:bidi w:val="0"/>
        <w:spacing w:before="0" w:after="80"/>
        <w:jc w:val="right"/>
        <w:rPr>
          <w:rFonts w:ascii="Arial" w:hAnsi="Arial"/>
          <w:color w:val="000000"/>
          <w:sz w:val="20"/>
        </w:rPr>
      </w:pPr>
      <w:r>
        <w:rPr>
          <w:rFonts w:ascii="Arial" w:hAnsi="Arial"/>
          <w:color w:val="000000"/>
          <w:sz w:val="20"/>
        </w:rPr>
        <w:t>5</w:t>
      </w:r>
    </w:p>
    <w:p>
      <w:pPr>
        <w:pStyle w:val="TextBody"/>
        <w:bidi w:val="0"/>
        <w:spacing w:before="0" w:after="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80"/>
        <w:jc w:val="right"/>
        <w:rPr/>
      </w:pPr>
      <w:r>
        <w:rPr/>
        <w:t> </w:t>
      </w:r>
    </w:p>
    <w:p>
      <w:pPr>
        <w:pStyle w:val="TextBody"/>
        <w:bidi w:val="0"/>
        <w:jc w:val="left"/>
        <w:rPr/>
      </w:pPr>
      <w:r>
        <w:rPr/>
        <w:t> </w:t>
      </w:r>
    </w:p>
    <w:p>
      <w:pPr>
        <w:pStyle w:val="TextBody"/>
        <w:bidi w:val="0"/>
        <w:spacing w:before="120" w:after="283"/>
        <w:jc w:val="center"/>
        <w:rPr>
          <w:rFonts w:ascii="Arial" w:hAnsi="Arial"/>
          <w:b/>
          <w:color w:val="000000"/>
          <w:sz w:val="16"/>
        </w:rPr>
      </w:pPr>
      <w:r>
        <w:rPr>
          <w:rFonts w:ascii="Arial" w:hAnsi="Arial"/>
          <w:b/>
          <w:color w:val="000000"/>
          <w:sz w:val="16"/>
        </w:rPr>
        <w:t>Gogo Inc. and Subsidiaries</w:t>
      </w:r>
    </w:p>
    <w:p>
      <w:pPr>
        <w:pStyle w:val="TextBody"/>
        <w:bidi w:val="0"/>
        <w:jc w:val="center"/>
        <w:rPr>
          <w:rFonts w:ascii="Arial" w:hAnsi="Arial"/>
          <w:b/>
          <w:color w:val="000000"/>
          <w:sz w:val="16"/>
        </w:rPr>
      </w:pPr>
      <w:r>
        <w:rPr>
          <w:rFonts w:ascii="Arial" w:hAnsi="Arial"/>
          <w:b/>
          <w:color w:val="000000"/>
          <w:sz w:val="16"/>
        </w:rPr>
        <w:t>Unaudited Condensed Consolidated Statements of Operations</w:t>
      </w:r>
    </w:p>
    <w:p>
      <w:pPr>
        <w:pStyle w:val="TextBody"/>
        <w:bidi w:val="0"/>
        <w:jc w:val="center"/>
        <w:rPr>
          <w:rFonts w:ascii="Arial" w:hAnsi="Arial"/>
          <w:i/>
          <w:color w:val="000000"/>
          <w:sz w:val="16"/>
        </w:rPr>
      </w:pPr>
      <w:r>
        <w:rPr>
          <w:rFonts w:ascii="Arial" w:hAnsi="Arial"/>
          <w:i/>
          <w:color w:val="000000"/>
          <w:sz w:val="16"/>
        </w:rPr>
        <w:t>(in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984"/>
        <w:gridCol w:w="146"/>
        <w:gridCol w:w="196"/>
        <w:gridCol w:w="691"/>
        <w:gridCol w:w="166"/>
        <w:gridCol w:w="146"/>
        <w:gridCol w:w="196"/>
        <w:gridCol w:w="691"/>
        <w:gridCol w:w="166"/>
        <w:gridCol w:w="146"/>
        <w:gridCol w:w="196"/>
        <w:gridCol w:w="691"/>
        <w:gridCol w:w="166"/>
        <w:gridCol w:w="146"/>
        <w:gridCol w:w="196"/>
        <w:gridCol w:w="691"/>
        <w:gridCol w:w="591"/>
      </w:tblGrid>
      <w:tr>
        <w:trPr/>
        <w:tc>
          <w:tcPr>
            <w:tcW w:w="4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For the 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w:t>
              <w:br/>
              <w:t>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191,272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379,004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392,577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b/>
                <w:color w:val="000000"/>
                <w:sz w:val="16"/>
              </w:rPr>
            </w:pPr>
            <w:r>
              <w:rPr>
                <w:rFonts w:ascii="Arial" w:hAnsi="Arial"/>
                <w:b/>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449,130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456,345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Cost of service revenue (exclusive of amounts shown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196,424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185,430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Cost of equipment revenue (exclusive of amounts shown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57,007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Engineering, design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58,152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b/>
                <w:color w:val="000000"/>
                <w:sz w:val="16"/>
              </w:rPr>
            </w:pPr>
            <w:r>
              <w:rPr>
                <w:rFonts w:ascii="Arial" w:hAnsi="Arial"/>
                <w:b/>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387,793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385,197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35,961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71,148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32,969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Change in fair value of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b/>
                <w:color w:val="000000"/>
                <w:sz w:val="16"/>
              </w:rPr>
            </w:pPr>
            <w:r>
              <w:rPr>
                <w:rFonts w:ascii="Arial" w:hAnsi="Arial"/>
                <w:b/>
                <w:color w:val="000000"/>
                <w:sz w:val="16"/>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35,966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24,849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 (loss) attributable to common stock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Weighted average 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133,647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135,961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132,925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135,971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80"/>
        <w:jc w:val="right"/>
        <w:rPr>
          <w:rFonts w:ascii="Arial" w:hAnsi="Arial"/>
          <w:color w:val="000000"/>
          <w:sz w:val="20"/>
        </w:rPr>
      </w:pPr>
      <w:r>
        <w:rPr>
          <w:rFonts w:ascii="Arial" w:hAnsi="Arial"/>
          <w:color w:val="000000"/>
          <w:sz w:val="20"/>
        </w:rPr>
        <w:t>6</w:t>
      </w:r>
    </w:p>
    <w:p>
      <w:pPr>
        <w:pStyle w:val="TextBody"/>
        <w:bidi w:val="0"/>
        <w:spacing w:before="0" w:after="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80"/>
        <w:jc w:val="right"/>
        <w:rPr/>
      </w:pPr>
      <w:r>
        <w:rPr/>
        <w:t> </w:t>
      </w:r>
    </w:p>
    <w:p>
      <w:pPr>
        <w:pStyle w:val="TextBody"/>
        <w:bidi w:val="0"/>
        <w:spacing w:before="120" w:after="283"/>
        <w:jc w:val="center"/>
        <w:rPr>
          <w:rFonts w:ascii="Arial" w:hAnsi="Arial"/>
          <w:b/>
          <w:color w:val="000000"/>
          <w:sz w:val="16"/>
        </w:rPr>
      </w:pPr>
      <w:r>
        <w:rPr>
          <w:rFonts w:ascii="Arial" w:hAnsi="Arial"/>
          <w:b/>
          <w:color w:val="000000"/>
          <w:sz w:val="16"/>
        </w:rPr>
        <w:t>Gogo Inc. and Subsidiaries</w:t>
      </w:r>
    </w:p>
    <w:p>
      <w:pPr>
        <w:pStyle w:val="TextBody"/>
        <w:bidi w:val="0"/>
        <w:jc w:val="center"/>
        <w:rPr>
          <w:rFonts w:ascii="Arial" w:hAnsi="Arial"/>
          <w:b/>
          <w:color w:val="000000"/>
          <w:sz w:val="16"/>
        </w:rPr>
      </w:pPr>
      <w:r>
        <w:rPr>
          <w:rFonts w:ascii="Arial" w:hAnsi="Arial"/>
          <w:b/>
          <w:color w:val="000000"/>
          <w:sz w:val="16"/>
        </w:rPr>
        <w:t>Unaudited Condensed Consolidated Balance Sheets</w:t>
      </w:r>
    </w:p>
    <w:p>
      <w:pPr>
        <w:pStyle w:val="TextBody"/>
        <w:bidi w:val="0"/>
        <w:jc w:val="center"/>
        <w:rPr>
          <w:rFonts w:ascii="Arial" w:hAnsi="Arial"/>
          <w:i/>
          <w:color w:val="000000"/>
          <w:sz w:val="16"/>
        </w:rPr>
      </w:pPr>
      <w:r>
        <w:rPr>
          <w:rFonts w:ascii="Arial" w:hAnsi="Arial"/>
          <w:i/>
          <w:color w:val="000000"/>
          <w:sz w:val="16"/>
        </w:rPr>
        <w:t>(in thousands)</w:t>
      </w:r>
    </w:p>
    <w:tbl>
      <w:tblPr>
        <w:tblW w:w="9532" w:type="dxa"/>
        <w:jc w:val="left"/>
        <w:tblInd w:w="0" w:type="dxa"/>
        <w:tblLayout w:type="fixed"/>
        <w:tblCellMar>
          <w:top w:w="28" w:type="dxa"/>
          <w:left w:w="28" w:type="dxa"/>
          <w:bottom w:w="28" w:type="dxa"/>
          <w:right w:w="28" w:type="dxa"/>
        </w:tblCellMar>
      </w:tblPr>
      <w:tblGrid>
        <w:gridCol w:w="6011"/>
        <w:gridCol w:w="146"/>
        <w:gridCol w:w="196"/>
        <w:gridCol w:w="886"/>
        <w:gridCol w:w="166"/>
        <w:gridCol w:w="146"/>
        <w:gridCol w:w="212"/>
        <w:gridCol w:w="958"/>
        <w:gridCol w:w="811"/>
      </w:tblGrid>
      <w:tr>
        <w:trPr/>
        <w:tc>
          <w:tcPr>
            <w:tcW w:w="6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125,206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Accounts receivable, net of allowances of $8,022 and $6,783,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112,558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98,853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26,253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69,039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b/>
                <w:color w:val="000000"/>
                <w:sz w:val="16"/>
              </w:rPr>
            </w:pPr>
            <w:r>
              <w:rPr>
                <w:rFonts w:ascii="Arial" w:hAnsi="Arial"/>
                <w:b/>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411,903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431,909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117,274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248,818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193,187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Other non-current assets, net of allowances of $714 and $538,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44,928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209,666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b/>
                <w:color w:val="000000"/>
                <w:sz w:val="16"/>
              </w:rPr>
            </w:pPr>
            <w:r>
              <w:rPr>
                <w:rFonts w:ascii="Arial" w:hAnsi="Arial"/>
                <w:b/>
                <w:color w:val="000000"/>
                <w:sz w:val="16"/>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832,658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871,863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1,244,561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1,303,772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92,514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139,020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35,194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b/>
                <w:color w:val="000000"/>
                <w:sz w:val="16"/>
              </w:rPr>
            </w:pPr>
            <w:r>
              <w:rPr>
                <w:rFonts w:ascii="Arial" w:hAnsi="Arial"/>
                <w:b/>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269,228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814,053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833,579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55,772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44,064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b/>
                <w:color w:val="000000"/>
                <w:sz w:val="16"/>
              </w:rPr>
            </w:pPr>
            <w:r>
              <w:rPr>
                <w:rFonts w:ascii="Arial" w:hAnsi="Arial"/>
                <w:b/>
                <w:color w:val="000000"/>
                <w:sz w:val="16"/>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886,167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933,415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b/>
                <w:color w:val="000000"/>
                <w:sz w:val="16"/>
              </w:rPr>
            </w:pPr>
            <w:r>
              <w:rPr>
                <w:rFonts w:ascii="Arial" w:hAnsi="Arial"/>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1,123,864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1,202,643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1,296,865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1,288,294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(1,176,146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(1,187,222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b/>
                <w:color w:val="000000"/>
                <w:sz w:val="16"/>
              </w:rPr>
            </w:pPr>
            <w:r>
              <w:rPr>
                <w:rFonts w:ascii="Arial" w:hAnsi="Arial"/>
                <w:b/>
                <w:color w:val="000000"/>
                <w:sz w:val="16"/>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101,129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1,244,561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1,303,772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80"/>
        <w:jc w:val="right"/>
        <w:rPr>
          <w:rFonts w:ascii="Arial" w:hAnsi="Arial"/>
          <w:color w:val="000000"/>
          <w:sz w:val="20"/>
        </w:rPr>
      </w:pPr>
      <w:r>
        <w:rPr>
          <w:rFonts w:ascii="Arial" w:hAnsi="Arial"/>
          <w:color w:val="000000"/>
          <w:sz w:val="20"/>
        </w:rPr>
        <w:t>7</w:t>
      </w:r>
    </w:p>
    <w:p>
      <w:pPr>
        <w:pStyle w:val="TextBody"/>
        <w:bidi w:val="0"/>
        <w:spacing w:before="0" w:after="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80"/>
        <w:jc w:val="right"/>
        <w:rPr/>
      </w:pPr>
      <w:r>
        <w:rPr/>
        <w:t> </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16"/>
        </w:rPr>
        <w:t>Gogo Inc. and Subsidiaries</w:t>
      </w:r>
      <w:r>
        <w:rPr>
          <w:rFonts w:ascii="Times New Roman" w:hAnsi="Times New Roman"/>
          <w:color w:val="000000"/>
          <w:sz w:val="20"/>
        </w:rPr>
        <w:t xml:space="preserve"> </w:t>
      </w:r>
    </w:p>
    <w:p>
      <w:pPr>
        <w:pStyle w:val="TextBody"/>
        <w:bidi w:val="0"/>
        <w:jc w:val="center"/>
        <w:rPr>
          <w:rFonts w:ascii="Arial" w:hAnsi="Arial"/>
          <w:b/>
          <w:color w:val="000000"/>
          <w:sz w:val="16"/>
        </w:rPr>
      </w:pPr>
      <w:r>
        <w:rPr>
          <w:rFonts w:ascii="Arial" w:hAnsi="Arial"/>
          <w:b/>
          <w:color w:val="000000"/>
          <w:sz w:val="16"/>
        </w:rPr>
        <w:t>Unaudited Condensed Consolidated Statements of Cash Flows</w:t>
      </w:r>
    </w:p>
    <w:p>
      <w:pPr>
        <w:pStyle w:val="TextBody"/>
        <w:bidi w:val="0"/>
        <w:jc w:val="center"/>
        <w:rPr>
          <w:rFonts w:ascii="Arial" w:hAnsi="Arial"/>
          <w:i/>
          <w:color w:val="000000"/>
          <w:sz w:val="16"/>
        </w:rPr>
      </w:pPr>
      <w:r>
        <w:rPr>
          <w:rFonts w:ascii="Arial" w:hAnsi="Arial"/>
          <w:i/>
          <w:color w:val="000000"/>
          <w:sz w:val="16"/>
        </w:rPr>
        <w:t>(in thousands)</w:t>
      </w:r>
    </w:p>
    <w:p>
      <w:pPr>
        <w:pStyle w:val="TextBody"/>
        <w:bidi w:val="0"/>
        <w:jc w:val="center"/>
        <w:rPr/>
      </w:pPr>
      <w:r>
        <w:rPr/>
        <w:t> </w:t>
      </w:r>
    </w:p>
    <w:tbl>
      <w:tblPr>
        <w:tblW w:w="9974" w:type="dxa"/>
        <w:jc w:val="left"/>
        <w:tblInd w:w="0" w:type="dxa"/>
        <w:tblLayout w:type="fixed"/>
        <w:tblCellMar>
          <w:top w:w="28" w:type="dxa"/>
          <w:left w:w="28" w:type="dxa"/>
          <w:bottom w:w="28" w:type="dxa"/>
          <w:right w:w="28" w:type="dxa"/>
        </w:tblCellMar>
      </w:tblPr>
      <w:tblGrid>
        <w:gridCol w:w="6731"/>
        <w:gridCol w:w="146"/>
        <w:gridCol w:w="196"/>
        <w:gridCol w:w="691"/>
        <w:gridCol w:w="166"/>
        <w:gridCol w:w="146"/>
        <w:gridCol w:w="196"/>
        <w:gridCol w:w="691"/>
        <w:gridCol w:w="1011"/>
      </w:tblGrid>
      <w:tr>
        <w:trPr/>
        <w:tc>
          <w:tcPr>
            <w:tcW w:w="6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w:t>
              <w:br/>
              <w:t> Ended 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24,849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Adjustments to reconcile net income to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29,260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Loss on asset disposals, abandonments and write-downs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Provision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9,129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11,858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Amortization of deferred financing costs and interest rate caps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Accretion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Change in fair value of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Change in fair value of convertible note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(3,109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9,983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(11,608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(5,888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(5,117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4,447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Other non-current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1,781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b/>
                <w:color w:val="000000"/>
                <w:sz w:val="16"/>
              </w:rPr>
            </w:pPr>
            <w:r>
              <w:rPr>
                <w:rFonts w:ascii="Arial" w:hAnsi="Arial"/>
                <w:b/>
                <w:color w:val="000000"/>
                <w:sz w:val="16"/>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69,183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(5,929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Acquisition of intangible assets—capitalized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(6,177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Acquisition of Satcom Direct,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Proceeds from FCC Reimbursement Program for property, equipment and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Proceeds from interest rate caps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6,088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b/>
                <w:color w:val="000000"/>
                <w:sz w:val="16"/>
              </w:rPr>
            </w:pPr>
            <w:r>
              <w:rPr>
                <w:rFonts w:ascii="Arial" w:hAnsi="Arial"/>
                <w:b/>
                <w:color w:val="000000"/>
                <w:sz w:val="16"/>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(7,221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Payments on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Payments on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Payments on 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Stock-based compensation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b/>
                <w:color w:val="000000"/>
                <w:sz w:val="16"/>
              </w:rPr>
            </w:pPr>
            <w:r>
              <w:rPr>
                <w:rFonts w:ascii="Arial" w:hAnsi="Arial"/>
                <w:b/>
                <w:color w:val="000000"/>
                <w:sz w:val="16"/>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60,250</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42,304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102,554</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102,554</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non-current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102,085</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39,988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Cash paid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Non-cash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Purchases of property, equipment and intangibles in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10,968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80"/>
        <w:jc w:val="right"/>
        <w:rPr>
          <w:rFonts w:ascii="Arial" w:hAnsi="Arial"/>
          <w:color w:val="000000"/>
          <w:sz w:val="20"/>
        </w:rPr>
      </w:pPr>
      <w:r>
        <w:rPr>
          <w:rFonts w:ascii="Arial" w:hAnsi="Arial"/>
          <w:color w:val="000000"/>
          <w:sz w:val="20"/>
        </w:rPr>
        <w:t>8</w:t>
      </w:r>
    </w:p>
    <w:p>
      <w:pPr>
        <w:pStyle w:val="TextBody"/>
        <w:bidi w:val="0"/>
        <w:spacing w:before="0" w:after="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80"/>
        <w:jc w:val="right"/>
        <w:rPr/>
      </w:pPr>
      <w:r>
        <w:rPr/>
        <w:t> </w:t>
      </w:r>
    </w:p>
    <w:p>
      <w:pPr>
        <w:pStyle w:val="TextBody"/>
        <w:bidi w:val="0"/>
        <w:jc w:val="center"/>
        <w:rPr>
          <w:rFonts w:ascii="Arial" w:hAnsi="Arial"/>
          <w:b/>
          <w:color w:val="000000"/>
          <w:sz w:val="16"/>
        </w:rPr>
      </w:pPr>
      <w:r>
        <w:rPr>
          <w:rFonts w:ascii="Arial" w:hAnsi="Arial"/>
          <w:b/>
          <w:color w:val="000000"/>
          <w:sz w:val="16"/>
        </w:rPr>
        <w:t>Gogo Inc. and Subsidiaries</w:t>
      </w:r>
    </w:p>
    <w:p>
      <w:pPr>
        <w:pStyle w:val="TextBody"/>
        <w:bidi w:val="0"/>
        <w:jc w:val="center"/>
        <w:rPr>
          <w:rFonts w:ascii="Arial" w:hAnsi="Arial"/>
          <w:b/>
          <w:color w:val="000000"/>
          <w:sz w:val="16"/>
        </w:rPr>
      </w:pPr>
      <w:r>
        <w:rPr>
          <w:rFonts w:ascii="Arial" w:hAnsi="Arial"/>
          <w:b/>
          <w:color w:val="000000"/>
          <w:sz w:val="16"/>
        </w:rPr>
        <w:t>Supplemental Information – Disaggregated Revenue</w:t>
      </w:r>
    </w:p>
    <w:p>
      <w:pPr>
        <w:pStyle w:val="TextBody"/>
        <w:bidi w:val="0"/>
        <w:spacing w:before="0" w:after="120"/>
        <w:jc w:val="center"/>
        <w:rPr>
          <w:rFonts w:ascii="Arial" w:hAnsi="Arial"/>
          <w:i/>
          <w:color w:val="000000"/>
          <w:sz w:val="16"/>
        </w:rPr>
      </w:pPr>
      <w:r>
        <w:rPr>
          <w:rFonts w:ascii="Arial" w:hAnsi="Arial"/>
          <w:i/>
          <w:color w:val="000000"/>
          <w:sz w:val="16"/>
        </w:rPr>
        <w:t>(in thousands, unaudited)</w:t>
      </w:r>
    </w:p>
    <w:tbl>
      <w:tblPr>
        <w:tblW w:w="9289" w:type="dxa"/>
        <w:jc w:val="left"/>
        <w:tblInd w:w="0" w:type="dxa"/>
        <w:tblLayout w:type="fixed"/>
        <w:tblCellMar>
          <w:top w:w="28" w:type="dxa"/>
          <w:left w:w="28" w:type="dxa"/>
          <w:bottom w:w="28" w:type="dxa"/>
          <w:right w:w="28" w:type="dxa"/>
        </w:tblCellMar>
      </w:tblPr>
      <w:tblGrid>
        <w:gridCol w:w="2626"/>
        <w:gridCol w:w="146"/>
        <w:gridCol w:w="291"/>
        <w:gridCol w:w="1028"/>
        <w:gridCol w:w="217"/>
        <w:gridCol w:w="217"/>
        <w:gridCol w:w="291"/>
        <w:gridCol w:w="1028"/>
        <w:gridCol w:w="146"/>
        <w:gridCol w:w="146"/>
        <w:gridCol w:w="271"/>
        <w:gridCol w:w="958"/>
        <w:gridCol w:w="202"/>
        <w:gridCol w:w="202"/>
        <w:gridCol w:w="271"/>
        <w:gridCol w:w="958"/>
        <w:gridCol w:w="2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Service revenue by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Satellite broadband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84,317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164,419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154,385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ATG broadband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60,020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124,822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150,184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Narrowband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46,935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89,763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88,008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service revenue by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191,272</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193,965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379,004</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392,577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Service revenue by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Business aviation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151,330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305,685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334,647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Military /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39,942</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73,319</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service revenue by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191,272</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193,965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379,004</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392,577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Satellite broadband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13,090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25,503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10,938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ATG broadband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12,173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31,827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40,458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Narrowband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6,276</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12,796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12,372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31,539</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70,126</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63,768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center"/>
        <w:rPr/>
      </w:pPr>
      <w:r>
        <w:rPr/>
        <w:t> </w:t>
      </w:r>
    </w:p>
    <w:p>
      <w:pPr>
        <w:pStyle w:val="TextBody"/>
        <w:bidi w:val="0"/>
        <w:spacing w:before="0" w:after="80"/>
        <w:jc w:val="right"/>
        <w:rPr>
          <w:rFonts w:ascii="Arial" w:hAnsi="Arial"/>
          <w:color w:val="000000"/>
          <w:sz w:val="20"/>
        </w:rPr>
      </w:pPr>
      <w:r>
        <w:rPr>
          <w:rFonts w:ascii="Arial" w:hAnsi="Arial"/>
          <w:color w:val="000000"/>
          <w:sz w:val="20"/>
        </w:rPr>
        <w:t>9</w:t>
      </w:r>
    </w:p>
    <w:p>
      <w:pPr>
        <w:pStyle w:val="TextBody"/>
        <w:bidi w:val="0"/>
        <w:spacing w:before="0" w:after="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80"/>
        <w:jc w:val="right"/>
        <w:rPr/>
      </w:pPr>
      <w:r>
        <w:rPr/>
        <w:t> </w:t>
      </w:r>
    </w:p>
    <w:p>
      <w:pPr>
        <w:pStyle w:val="TextBody"/>
        <w:bidi w:val="0"/>
        <w:jc w:val="center"/>
        <w:rPr>
          <w:rFonts w:ascii="Arial" w:hAnsi="Arial"/>
          <w:b/>
          <w:color w:val="000000"/>
          <w:sz w:val="16"/>
        </w:rPr>
      </w:pPr>
      <w:r>
        <w:rPr>
          <w:rFonts w:ascii="Arial" w:hAnsi="Arial"/>
          <w:b/>
          <w:color w:val="000000"/>
          <w:sz w:val="16"/>
        </w:rPr>
        <w:t>Gogo Inc. and Subsidiaries</w:t>
      </w:r>
    </w:p>
    <w:p>
      <w:pPr>
        <w:pStyle w:val="TextBody"/>
        <w:bidi w:val="0"/>
        <w:spacing w:before="0" w:after="120"/>
        <w:jc w:val="center"/>
        <w:rPr>
          <w:rFonts w:ascii="Arial" w:hAnsi="Arial"/>
          <w:b/>
          <w:color w:val="000000"/>
          <w:sz w:val="16"/>
        </w:rPr>
      </w:pPr>
      <w:r>
        <w:rPr>
          <w:rFonts w:ascii="Arial" w:hAnsi="Arial"/>
          <w:b/>
          <w:color w:val="000000"/>
          <w:sz w:val="16"/>
        </w:rPr>
        <w:t>Supplemental Information – Key Business Metrics</w:t>
      </w:r>
    </w:p>
    <w:tbl>
      <w:tblPr>
        <w:tblW w:w="9664" w:type="dxa"/>
        <w:jc w:val="left"/>
        <w:tblInd w:w="0" w:type="dxa"/>
        <w:tblLayout w:type="fixed"/>
        <w:tblCellMar>
          <w:top w:w="28" w:type="dxa"/>
          <w:left w:w="28" w:type="dxa"/>
          <w:bottom w:w="28" w:type="dxa"/>
          <w:right w:w="28" w:type="dxa"/>
        </w:tblCellMar>
      </w:tblPr>
      <w:tblGrid>
        <w:gridCol w:w="5191"/>
        <w:gridCol w:w="146"/>
        <w:gridCol w:w="200"/>
        <w:gridCol w:w="521"/>
        <w:gridCol w:w="148"/>
        <w:gridCol w:w="148"/>
        <w:gridCol w:w="200"/>
        <w:gridCol w:w="521"/>
        <w:gridCol w:w="146"/>
        <w:gridCol w:w="146"/>
        <w:gridCol w:w="196"/>
        <w:gridCol w:w="511"/>
        <w:gridCol w:w="146"/>
        <w:gridCol w:w="146"/>
        <w:gridCol w:w="196"/>
        <w:gridCol w:w="511"/>
        <w:gridCol w:w="591"/>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For the Six Months</w:t>
              <w:br/>
              <w:t>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ATG aircraft online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AVANCE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4,603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Gogo 5G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Gogo Biz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1,090</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ATG aircraft online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5,731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GEO aircraft online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Gogo Galileo aircraft online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Average monthly connectivity service revenue per ATG aircraft online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ATG units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Gogo Galileo units shipped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left"/>
        <w:rPr>
          <w:color w:val="000000"/>
        </w:rPr>
      </w:pPr>
      <w:r>
        <w:rPr>
          <w:color w:val="000000"/>
        </w:rPr>
        <w:t>•</w:t>
      </w:r>
    </w:p>
    <w:p>
      <w:pPr>
        <w:pStyle w:val="TextBody"/>
        <w:bidi w:val="0"/>
        <w:spacing w:before="40" w:after="283"/>
        <w:jc w:val="left"/>
        <w:rPr/>
      </w:pPr>
      <w:r>
        <w:rPr>
          <w:rFonts w:ascii="Arial" w:hAnsi="Arial"/>
          <w:i/>
          <w:color w:val="000000"/>
          <w:sz w:val="20"/>
        </w:rPr>
        <w:t xml:space="preserve">AVANCE aircraft online. </w:t>
      </w:r>
      <w:r>
        <w:rPr>
          <w:rFonts w:ascii="Arial" w:hAnsi="Arial"/>
          <w:color w:val="000000"/>
          <w:sz w:val="20"/>
        </w:rPr>
        <w:t xml:space="preserve">We define AVANCE aircraft online as the total number of aircraft equipped with our AVANCE L5 or L3 system, excluding Gogo 5G systems, for which we provide ATG services to business aviation customers in the last month of the period presented. This number excludes military/government AVANCE aircraft online.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 xml:space="preserve">Gogo 5G aircraft online. </w:t>
      </w:r>
      <w:r>
        <w:rPr>
          <w:rFonts w:ascii="Arial" w:hAnsi="Arial"/>
          <w:color w:val="000000"/>
          <w:sz w:val="20"/>
        </w:rPr>
        <w:t>We define Gogo 5G aircraft online as the total number of aircraft equipped with our Gogo 5G system for which we provide ATG services to business aviation customers in the last month of the period presented. This number excludes military/government Gogo 5G aircraft online.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 xml:space="preserve">Gogo Biz aircraft online. </w:t>
      </w:r>
      <w:r>
        <w:rPr>
          <w:rFonts w:ascii="Arial" w:hAnsi="Arial"/>
          <w:color w:val="000000"/>
          <w:sz w:val="20"/>
        </w:rPr>
        <w:t>We define Gogo Biz aircraft online as the total number of aircraft not equipped with our AVANCE or Gogo 5G system for which we provide ATG services to business aviation customers in the last month of the period presented. This number excludes commercial aircraft operated by Intelsat’s airline customers as well as military/government aircraft receiving ATG service.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GEO aircraft online</w:t>
      </w:r>
      <w:r>
        <w:rPr>
          <w:rFonts w:ascii="Arial" w:hAnsi="Arial"/>
          <w:color w:val="000000"/>
          <w:sz w:val="20"/>
        </w:rPr>
        <w:t>. We define GEO aircraft online as the total number of aircraft for which we provide GEO broadband services to business aviation customers as of the last day of each period presented. This number excludes aircraft receiving services through GEO satellite networks that are end-of-life and military/government GEO aircraft online.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Gogo Galileo aircraft online</w:t>
      </w:r>
      <w:r>
        <w:rPr>
          <w:rFonts w:ascii="Arial" w:hAnsi="Arial"/>
          <w:color w:val="000000"/>
          <w:sz w:val="20"/>
        </w:rPr>
        <w:t>. We define Gogo Galileo aircraft online as the total number of aircraft for which we provide Gogo Galileo LEO broadband services in the last month of the period presented. This number excludes military/government Gogo Galileo aircraft online. This metric was not presented prior to the fiscal year ended December 31, 2025, as Gogo Galileo was only first deployed in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 xml:space="preserve">Average monthly connectivity service revenue per ATG aircraft online (“ARPU”). </w:t>
      </w:r>
      <w:r>
        <w:rPr>
          <w:rFonts w:ascii="Arial" w:hAnsi="Arial"/>
          <w:color w:val="000000"/>
          <w:sz w:val="20"/>
        </w:rPr>
        <w:t>We define ARPU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Intelsat is excluded from this calculation.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ATG units sold</w:t>
      </w:r>
      <w:r>
        <w:rPr>
          <w:rFonts w:ascii="Arial" w:hAnsi="Arial"/>
          <w:color w:val="000000"/>
          <w:sz w:val="20"/>
        </w:rPr>
        <w:t>. We define units sold as the number of ATG units for which we recognized revenue during the period.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Gogo Galileo units shipped</w:t>
      </w:r>
      <w:r>
        <w:rPr>
          <w:rFonts w:ascii="Arial" w:hAnsi="Arial"/>
          <w:color w:val="000000"/>
          <w:sz w:val="20"/>
        </w:rPr>
        <w:t>. We define Gogo Galileo units shipped as the number of Galileo units shipped to our distribution partners during the period, including units used to obtain Supplemental Type Certificates.</w:t>
      </w:r>
    </w:p>
    <w:p>
      <w:pPr>
        <w:pStyle w:val="TextBody"/>
        <w:bidi w:val="0"/>
        <w:spacing w:before="120" w:after="283"/>
        <w:jc w:val="left"/>
        <w:rPr>
          <w:rFonts w:ascii="Arial" w:hAnsi="Arial"/>
          <w:color w:val="000000"/>
          <w:sz w:val="20"/>
        </w:rPr>
      </w:pPr>
      <w:r>
        <w:rPr>
          <w:rFonts w:ascii="Arial" w:hAnsi="Arial"/>
          <w:color w:val="000000"/>
          <w:sz w:val="20"/>
        </w:rPr>
        <w:t>For more information, see "Key Business Metrics" above.</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0" w:after="80"/>
        <w:jc w:val="right"/>
        <w:rPr>
          <w:rFonts w:ascii="Arial" w:hAnsi="Arial"/>
          <w:color w:val="000000"/>
          <w:sz w:val="20"/>
        </w:rPr>
      </w:pPr>
      <w:r>
        <w:rPr>
          <w:rFonts w:ascii="Arial" w:hAnsi="Arial"/>
          <w:color w:val="000000"/>
          <w:sz w:val="20"/>
        </w:rPr>
        <w:t>10</w:t>
      </w:r>
    </w:p>
    <w:p>
      <w:pPr>
        <w:pStyle w:val="TextBody"/>
        <w:bidi w:val="0"/>
        <w:spacing w:before="0" w:after="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80"/>
        <w:jc w:val="righ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rFonts w:ascii="Arial" w:hAnsi="Arial"/>
          <w:b/>
          <w:color w:val="000000"/>
          <w:sz w:val="16"/>
        </w:rPr>
      </w:pPr>
      <w:r>
        <w:rPr>
          <w:rFonts w:ascii="Arial" w:hAnsi="Arial"/>
          <w:b/>
          <w:color w:val="000000"/>
          <w:sz w:val="16"/>
        </w:rPr>
        <w:t>Gogo Inc. and Subsidiaries</w:t>
      </w:r>
    </w:p>
    <w:p>
      <w:pPr>
        <w:pStyle w:val="TextBody"/>
        <w:bidi w:val="0"/>
        <w:jc w:val="center"/>
        <w:rPr>
          <w:rFonts w:ascii="Arial" w:hAnsi="Arial"/>
          <w:b/>
          <w:color w:val="000000"/>
          <w:sz w:val="16"/>
        </w:rPr>
      </w:pPr>
      <w:r>
        <w:rPr>
          <w:rFonts w:ascii="Arial" w:hAnsi="Arial"/>
          <w:b/>
          <w:color w:val="000000"/>
          <w:sz w:val="16"/>
        </w:rPr>
        <w:t>Supplemental Information – Revenue and Cost of Revenue</w:t>
      </w:r>
    </w:p>
    <w:p>
      <w:pPr>
        <w:pStyle w:val="TextBody"/>
        <w:bidi w:val="0"/>
        <w:spacing w:before="0" w:after="120"/>
        <w:jc w:val="center"/>
        <w:rPr>
          <w:rFonts w:ascii="Arial" w:hAnsi="Arial"/>
          <w:i/>
          <w:color w:val="000000"/>
          <w:sz w:val="16"/>
        </w:rPr>
      </w:pPr>
      <w:r>
        <w:rPr>
          <w:rFonts w:ascii="Arial" w:hAnsi="Arial"/>
          <w:i/>
          <w:color w:val="000000"/>
          <w:sz w:val="16"/>
        </w:rPr>
        <w:t>(in thousands, unaudited)</w:t>
      </w:r>
    </w:p>
    <w:tbl>
      <w:tblPr>
        <w:tblW w:w="10205" w:type="dxa"/>
        <w:jc w:val="left"/>
        <w:tblInd w:w="0" w:type="dxa"/>
        <w:tblLayout w:type="fixed"/>
        <w:tblCellMar>
          <w:top w:w="28" w:type="dxa"/>
          <w:left w:w="28" w:type="dxa"/>
          <w:bottom w:w="28" w:type="dxa"/>
          <w:right w:w="28" w:type="dxa"/>
        </w:tblCellMar>
      </w:tblPr>
      <w:tblGrid>
        <w:gridCol w:w="2093"/>
        <w:gridCol w:w="146"/>
        <w:gridCol w:w="196"/>
        <w:gridCol w:w="691"/>
        <w:gridCol w:w="146"/>
        <w:gridCol w:w="146"/>
        <w:gridCol w:w="196"/>
        <w:gridCol w:w="691"/>
        <w:gridCol w:w="146"/>
        <w:gridCol w:w="146"/>
        <w:gridCol w:w="312"/>
        <w:gridCol w:w="907"/>
        <w:gridCol w:w="309"/>
        <w:gridCol w:w="146"/>
        <w:gridCol w:w="196"/>
        <w:gridCol w:w="691"/>
        <w:gridCol w:w="146"/>
        <w:gridCol w:w="146"/>
        <w:gridCol w:w="196"/>
        <w:gridCol w:w="691"/>
        <w:gridCol w:w="146"/>
        <w:gridCol w:w="146"/>
        <w:gridCol w:w="312"/>
        <w:gridCol w:w="907"/>
        <w:gridCol w:w="357"/>
      </w:tblGrid>
      <w:tr>
        <w:trPr/>
        <w:tc>
          <w:tcPr>
            <w:tcW w:w="2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w:t>
              <w:br/>
              <w:t>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 over 2025</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 over 2025</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191,272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379,004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32,073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222,811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226,038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449,130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456,345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w:t>
              <w:br/>
              <w:t>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 over 2025</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 over 2025</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Cost of service revenue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196,424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Cost of equipment revenue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Excludes depreciation and amortization expense.</w:t>
      </w:r>
    </w:p>
    <w:p>
      <w:pPr>
        <w:pStyle w:val="TextBody"/>
        <w:bidi w:val="0"/>
        <w:jc w:val="left"/>
        <w:rPr/>
      </w:pPr>
      <w:r>
        <w:rPr/>
        <w:t> </w:t>
      </w:r>
    </w:p>
    <w:p>
      <w:pPr>
        <w:pStyle w:val="TextBody"/>
        <w:bidi w:val="0"/>
        <w:jc w:val="center"/>
        <w:rPr>
          <w:rFonts w:ascii="Arial" w:hAnsi="Arial"/>
          <w:b/>
          <w:color w:val="000000"/>
          <w:sz w:val="16"/>
        </w:rPr>
      </w:pPr>
      <w:r>
        <w:rPr>
          <w:rFonts w:ascii="Arial" w:hAnsi="Arial"/>
          <w:b/>
          <w:color w:val="000000"/>
          <w:sz w:val="16"/>
        </w:rPr>
        <w:t>Gogo Inc. and Subsidiaries</w:t>
      </w:r>
    </w:p>
    <w:p>
      <w:pPr>
        <w:pStyle w:val="TextBody"/>
        <w:bidi w:val="0"/>
        <w:jc w:val="center"/>
        <w:rPr>
          <w:rFonts w:ascii="Arial" w:hAnsi="Arial"/>
          <w:b/>
          <w:color w:val="000000"/>
          <w:sz w:val="16"/>
        </w:rPr>
      </w:pPr>
      <w:r>
        <w:rPr>
          <w:rFonts w:ascii="Arial" w:hAnsi="Arial"/>
          <w:b/>
          <w:color w:val="000000"/>
          <w:sz w:val="16"/>
        </w:rPr>
        <w:t>Reconciliation of GAAP to Non-GAAP Measures</w:t>
      </w:r>
    </w:p>
    <w:p>
      <w:pPr>
        <w:pStyle w:val="TextBody"/>
        <w:bidi w:val="0"/>
        <w:jc w:val="center"/>
        <w:rPr>
          <w:rFonts w:ascii="Arial" w:hAnsi="Arial"/>
          <w:i/>
          <w:color w:val="000000"/>
          <w:sz w:val="16"/>
        </w:rPr>
      </w:pPr>
      <w:r>
        <w:rPr>
          <w:rFonts w:ascii="Arial" w:hAnsi="Arial"/>
          <w:i/>
          <w:color w:val="000000"/>
          <w:sz w:val="16"/>
        </w:rPr>
        <w:t>(in thousands, unaudited)</w:t>
      </w:r>
    </w:p>
    <w:tbl>
      <w:tblPr>
        <w:tblW w:w="10205" w:type="dxa"/>
        <w:jc w:val="left"/>
        <w:tblInd w:w="0" w:type="dxa"/>
        <w:tblLayout w:type="fixed"/>
        <w:tblCellMar>
          <w:top w:w="28" w:type="dxa"/>
          <w:left w:w="28" w:type="dxa"/>
          <w:bottom w:w="28" w:type="dxa"/>
          <w:right w:w="28" w:type="dxa"/>
        </w:tblCellMar>
      </w:tblPr>
      <w:tblGrid>
        <w:gridCol w:w="3246"/>
        <w:gridCol w:w="146"/>
        <w:gridCol w:w="196"/>
        <w:gridCol w:w="661"/>
        <w:gridCol w:w="166"/>
        <w:gridCol w:w="146"/>
        <w:gridCol w:w="196"/>
        <w:gridCol w:w="601"/>
        <w:gridCol w:w="166"/>
        <w:gridCol w:w="146"/>
        <w:gridCol w:w="196"/>
        <w:gridCol w:w="691"/>
        <w:gridCol w:w="166"/>
        <w:gridCol w:w="146"/>
        <w:gridCol w:w="196"/>
        <w:gridCol w:w="691"/>
        <w:gridCol w:w="166"/>
        <w:gridCol w:w="146"/>
        <w:gridCol w:w="348"/>
        <w:gridCol w:w="1176"/>
        <w:gridCol w:w="613"/>
      </w:tblGrid>
      <w:tr>
        <w:trPr/>
        <w:tc>
          <w:tcPr>
            <w:tcW w:w="3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For the 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w:t>
              <w:br/>
              <w:t>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March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income (loss) attributable to common stock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13,085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16,846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7,948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15,139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51,864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4,833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Change in fair value of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6"/>
              </w:rPr>
            </w:pPr>
            <w:r>
              <w:rPr>
                <w:rFonts w:ascii="Arial" w:hAnsi="Arial"/>
                <w:color w:val="000000"/>
                <w:sz w:val="16"/>
              </w:rPr>
              <w:t>Acquisition and integration-related costs</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Amortization of acquisition-related inventory step-up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Litigation settlement accrual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Change in fair value of convertible note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106,991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123,777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53,339</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w:hAnsi="Arial"/>
                <w:color w:val="000000"/>
                <w:sz w:val="16"/>
              </w:rPr>
              <w:t xml:space="preserve">Net cash provided by operating activities (GAAP) </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(7,236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w:hAnsi="Arial"/>
                <w:color w:val="000000"/>
                <w:sz w:val="16"/>
              </w:rPr>
              <w:t xml:space="preserve">Consolidated capital expenditures </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(28,013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w:hAnsi="Arial"/>
                <w:color w:val="000000"/>
                <w:sz w:val="16"/>
              </w:rPr>
              <w:t>Proceeds from FCC Reimbursement Program for property, equipment and intangibles</w:t>
            </w:r>
            <w:r>
              <w:rPr>
                <w:rFonts w:ascii="Times New Roman" w:hAnsi="Times New Roman"/>
                <w:color w:val="000000"/>
                <w:sz w:val="16"/>
              </w:rPr>
              <w:t> </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14,886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w:hAnsi="Arial"/>
                <w:color w:val="000000"/>
                <w:sz w:val="16"/>
              </w:rPr>
              <w:t xml:space="preserve">Proceeds from interest rate caps </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63,574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(19,183</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center"/>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jc w:val="left"/>
        <w:rPr>
          <w:rFonts w:ascii="Arial" w:hAnsi="Arial"/>
          <w:color w:val="000000"/>
          <w:sz w:val="16"/>
        </w:rPr>
      </w:pPr>
      <w:r>
        <w:rPr>
          <w:rFonts w:ascii="Arial" w:hAnsi="Arial"/>
          <w:color w:val="000000"/>
          <w:sz w:val="16"/>
        </w:rPr>
        <w:t xml:space="preserve">For the three months ended June 30, 2026, the figure consists of severance and other compensation-related costs of $1.3 million and integration support costs of $0.6 million. For the six months ended June 30, 2026, the figure consists of severance and other </w:t>
      </w:r>
    </w:p>
    <w:p>
      <w:pPr>
        <w:pStyle w:val="TextBody"/>
        <w:bidi w:val="0"/>
        <w:spacing w:before="0" w:after="80"/>
        <w:jc w:val="right"/>
        <w:rPr>
          <w:rFonts w:ascii="Arial" w:hAnsi="Arial"/>
          <w:color w:val="000000"/>
          <w:sz w:val="20"/>
        </w:rPr>
      </w:pPr>
      <w:r>
        <w:rPr>
          <w:rFonts w:ascii="Arial" w:hAnsi="Arial"/>
          <w:color w:val="000000"/>
          <w:sz w:val="20"/>
        </w:rPr>
        <w:t>11</w:t>
      </w:r>
    </w:p>
    <w:p>
      <w:pPr>
        <w:pStyle w:val="TextBody"/>
        <w:bidi w:val="0"/>
        <w:spacing w:before="0" w:after="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80"/>
        <w:jc w:val="right"/>
        <w:rPr/>
      </w:pPr>
      <w:r>
        <w:rPr/>
        <w:t> </w:t>
      </w:r>
    </w:p>
    <w:p>
      <w:pPr>
        <w:pStyle w:val="TextBody"/>
        <w:bidi w:val="0"/>
        <w:spacing w:before="0" w:after="0"/>
        <w:jc w:val="left"/>
        <w:rPr>
          <w:rFonts w:ascii="Arial" w:hAnsi="Arial"/>
          <w:color w:val="000000"/>
          <w:sz w:val="16"/>
        </w:rPr>
      </w:pPr>
      <w:r>
        <w:rPr>
          <w:rFonts w:ascii="Arial" w:hAnsi="Arial"/>
          <w:color w:val="000000"/>
          <w:sz w:val="16"/>
        </w:rPr>
        <w:t>compensation-related costs of $2.5 million and integration support costs of $1.2 million. For the three months ended June 30, 2025, the figure consists of integration support costs of $1.5 million and severance and other compensation-related costs of $2.2 million. For the six months ended June 30, 2025, the figure consists of integration support costs of $5.4 million and severance and other compensation-related costs of $4.7 million. For the three months ended March 31, 2026, the figure consists of severance and other compensation-related costs of $1.2 million and integration support costs of $0.6 million.</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jc w:val="left"/>
        <w:rPr>
          <w:rFonts w:ascii="Arial" w:hAnsi="Arial"/>
          <w:color w:val="000000"/>
          <w:sz w:val="16"/>
        </w:rPr>
      </w:pPr>
      <w:r>
        <w:rPr>
          <w:rFonts w:ascii="Arial" w:hAnsi="Arial"/>
          <w:color w:val="000000"/>
          <w:sz w:val="16"/>
        </w:rPr>
        <w:t xml:space="preserve">See Unaudited Condensed Consolidated Statements of Cash Flows.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6"/>
        </w:rPr>
      </w:pPr>
      <w:r>
        <w:rPr>
          <w:rFonts w:ascii="Arial" w:hAnsi="Arial"/>
          <w:b/>
          <w:color w:val="000000"/>
          <w:sz w:val="16"/>
        </w:rPr>
        <w:t xml:space="preserve">Gogo Inc. and Subsidiaries </w:t>
      </w:r>
    </w:p>
    <w:p>
      <w:pPr>
        <w:pStyle w:val="TextBody"/>
        <w:bidi w:val="0"/>
        <w:jc w:val="center"/>
        <w:rPr>
          <w:rFonts w:ascii="Arial" w:hAnsi="Arial"/>
          <w:b/>
          <w:color w:val="000000"/>
          <w:sz w:val="16"/>
        </w:rPr>
      </w:pPr>
      <w:r>
        <w:rPr>
          <w:rFonts w:ascii="Arial" w:hAnsi="Arial"/>
          <w:b/>
          <w:color w:val="000000"/>
          <w:sz w:val="16"/>
        </w:rPr>
        <w:t xml:space="preserve">Reconciliation of Estimated Full-Year GAAP Net Cash </w:t>
      </w:r>
    </w:p>
    <w:p>
      <w:pPr>
        <w:pStyle w:val="TextBody"/>
        <w:bidi w:val="0"/>
        <w:jc w:val="center"/>
        <w:rPr>
          <w:rFonts w:ascii="Arial" w:hAnsi="Arial"/>
          <w:b/>
          <w:color w:val="000000"/>
          <w:sz w:val="16"/>
        </w:rPr>
      </w:pPr>
      <w:r>
        <w:rPr>
          <w:rFonts w:ascii="Arial" w:hAnsi="Arial"/>
          <w:b/>
          <w:color w:val="000000"/>
          <w:sz w:val="16"/>
        </w:rPr>
        <w:t xml:space="preserve">Provided by Operating Activities to Non-GAAP Measures </w:t>
      </w:r>
    </w:p>
    <w:p>
      <w:pPr>
        <w:pStyle w:val="TextBody"/>
        <w:bidi w:val="0"/>
        <w:jc w:val="center"/>
        <w:rPr>
          <w:rFonts w:ascii="Arial" w:hAnsi="Arial"/>
          <w:i/>
          <w:color w:val="000000"/>
          <w:sz w:val="16"/>
        </w:rPr>
      </w:pPr>
      <w:r>
        <w:rPr>
          <w:rFonts w:ascii="Arial" w:hAnsi="Arial"/>
          <w:i/>
          <w:color w:val="000000"/>
          <w:sz w:val="16"/>
        </w:rPr>
        <w:t>(in millions, unaudited)</w:t>
      </w:r>
    </w:p>
    <w:tbl>
      <w:tblPr>
        <w:tblW w:w="8768" w:type="dxa"/>
        <w:jc w:val="left"/>
        <w:tblInd w:w="0" w:type="dxa"/>
        <w:tblLayout w:type="fixed"/>
        <w:tblCellMar>
          <w:top w:w="28" w:type="dxa"/>
          <w:left w:w="28" w:type="dxa"/>
          <w:bottom w:w="28" w:type="dxa"/>
          <w:right w:w="28" w:type="dxa"/>
        </w:tblCellMar>
      </w:tblPr>
      <w:tblGrid>
        <w:gridCol w:w="6731"/>
        <w:gridCol w:w="196"/>
        <w:gridCol w:w="346"/>
        <w:gridCol w:w="166"/>
        <w:gridCol w:w="146"/>
        <w:gridCol w:w="196"/>
        <w:gridCol w:w="376"/>
        <w:gridCol w:w="611"/>
      </w:tblGrid>
      <w:tr>
        <w:trPr/>
        <w:tc>
          <w:tcPr>
            <w:tcW w:w="67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FY 2026 Range</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Low</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High</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Free Cash Flow:</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cash provided by operating activities (GAAP)</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Consolidated capital expenditures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Proceeds from FCC Reimbursement Program for property, equipment and intangibles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Proceeds from interest rate caps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Free cash flow</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i/>
          <w:color w:val="000000"/>
          <w:sz w:val="20"/>
        </w:rPr>
      </w:pPr>
      <w:r>
        <w:rPr>
          <w:rFonts w:ascii="Arial" w:hAnsi="Arial"/>
          <w:i/>
          <w:color w:val="000000"/>
          <w:sz w:val="20"/>
        </w:rPr>
        <w:t>Definition of Non-GAAP Measures</w:t>
      </w:r>
    </w:p>
    <w:p>
      <w:pPr>
        <w:pStyle w:val="TextBody"/>
        <w:bidi w:val="0"/>
        <w:spacing w:before="120" w:after="283"/>
        <w:jc w:val="left"/>
        <w:rPr>
          <w:rFonts w:ascii="Times New Roman" w:hAnsi="Times New Roman"/>
          <w:sz w:val="20"/>
        </w:rPr>
      </w:pPr>
      <w:r>
        <w:rPr>
          <w:rFonts w:ascii="Arial" w:hAnsi="Arial"/>
          <w:color w:val="000000"/>
          <w:sz w:val="20"/>
          <w:u w:val="single"/>
        </w:rPr>
        <w:t>EBITDA</w:t>
      </w:r>
      <w:r>
        <w:rPr>
          <w:rFonts w:ascii="Times New Roman" w:hAnsi="Times New Roman"/>
          <w:color w:val="000000"/>
          <w:sz w:val="20"/>
        </w:rPr>
        <w:t xml:space="preserve"> </w:t>
      </w:r>
      <w:r>
        <w:rPr>
          <w:rFonts w:ascii="Arial" w:hAnsi="Arial"/>
          <w:color w:val="000000"/>
          <w:sz w:val="20"/>
        </w:rPr>
        <w:t>represents net income attributable to common stock before interest expense, interest income, income taxes and depreciation and amortization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u w:val="single"/>
        </w:rPr>
        <w:t>Adjusted EBITDA</w:t>
      </w:r>
      <w:r>
        <w:rPr>
          <w:rFonts w:ascii="Times New Roman" w:hAnsi="Times New Roman"/>
          <w:color w:val="000000"/>
          <w:sz w:val="20"/>
        </w:rPr>
        <w:t xml:space="preserve"> </w:t>
      </w:r>
      <w:r>
        <w:rPr>
          <w:rFonts w:ascii="Arial" w:hAnsi="Arial"/>
          <w:color w:val="000000"/>
          <w:sz w:val="20"/>
        </w:rPr>
        <w:t>represents EBITDA adjusted for (i) stock-based compensation expense, (ii) acquisition and integration-related costs, including amortization of acquisition-related inventory step-up costs and changes in fair value of the Earnout Liability, (iii) change in fair value of convertible note investment, and (iv) loss on extinguishment of debt .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pStyle w:val="TextBody"/>
        <w:bidi w:val="0"/>
        <w:spacing w:before="120" w:after="283"/>
        <w:jc w:val="left"/>
        <w:rPr>
          <w:rFonts w:ascii="Arial" w:hAnsi="Arial"/>
          <w:color w:val="000000"/>
          <w:sz w:val="20"/>
        </w:rPr>
      </w:pPr>
      <w:r>
        <w:rPr>
          <w:rFonts w:ascii="Arial" w:hAnsi="Arial"/>
          <w:color w:val="000000"/>
          <w:sz w:val="20"/>
        </w:rPr>
        <w:t>We believe that the exclusion of stock-based compensation expense from Adjusted EBITDA provides a clearer view of the operating performance of our business and is appropriate given that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pStyle w:val="TextBody"/>
        <w:bidi w:val="0"/>
        <w:spacing w:before="120" w:after="283"/>
        <w:jc w:val="left"/>
        <w:rPr>
          <w:rFonts w:ascii="Arial" w:hAnsi="Arial"/>
          <w:color w:val="000000"/>
          <w:sz w:val="20"/>
        </w:rPr>
      </w:pPr>
      <w:r>
        <w:rPr>
          <w:rFonts w:ascii="Arial" w:hAnsi="Arial"/>
          <w:color w:val="000000"/>
          <w:sz w:val="20"/>
        </w:rPr>
        <w:t>Acquisition and integration-related costs include direct transaction costs, such as due diligence and advisory fees and certain compensation and integration-related expenses as well as the amortization of acquisition-related inventory step-up costs. We believe it is useful for an understanding of our operating performance to exclude acquisition and integration-related costs from Adjusted EBITDA because they are infrequent, are outside of the ordinary course of our operations and do not reflect our operating performance.</w:t>
      </w:r>
    </w:p>
    <w:p>
      <w:pPr>
        <w:pStyle w:val="TextBody"/>
        <w:bidi w:val="0"/>
        <w:spacing w:before="120" w:after="283"/>
        <w:jc w:val="left"/>
        <w:rPr>
          <w:rFonts w:ascii="Times New Roman" w:hAnsi="Times New Roman"/>
          <w:sz w:val="20"/>
        </w:rPr>
      </w:pPr>
      <w:r>
        <w:rPr>
          <w:rFonts w:ascii="Arial" w:hAnsi="Arial"/>
          <w:color w:val="000000"/>
          <w:sz w:val="20"/>
        </w:rPr>
        <w:t>We believe it is useful for an understanding of our operating performance to exclude the changes in fair value of the Earnout Liability related to the acquisition of Satcom Direct from Adjusted EBITDA because this activity is outside of the ordinary course of our operations and does not reflect our operating performance.</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believe it is useful for an understanding of our operating performance to exclude the change in fair value of convertible note investment from Adjusted EBITDA because this activity is not related to our operating performance.</w:t>
      </w:r>
    </w:p>
    <w:p>
      <w:pPr>
        <w:pStyle w:val="TextBody"/>
        <w:bidi w:val="0"/>
        <w:spacing w:before="120" w:after="283"/>
        <w:jc w:val="left"/>
        <w:rPr>
          <w:rFonts w:ascii="Arial" w:hAnsi="Arial"/>
          <w:color w:val="000000"/>
          <w:sz w:val="20"/>
        </w:rPr>
      </w:pPr>
      <w:r>
        <w:rPr>
          <w:rFonts w:ascii="Arial" w:hAnsi="Arial"/>
          <w:color w:val="000000"/>
          <w:sz w:val="20"/>
        </w:rPr>
        <w:t>We believe it is useful for an understanding of our operating performance to exclude the loss on extinguishment of debt from Adjusted EBITDA because this activity is not related to our operating performance.</w:t>
      </w:r>
    </w:p>
    <w:p>
      <w:pPr>
        <w:pStyle w:val="TextBody"/>
        <w:bidi w:val="0"/>
        <w:spacing w:before="120" w:after="283"/>
        <w:jc w:val="left"/>
        <w:rPr>
          <w:rFonts w:ascii="Times New Roman" w:hAnsi="Times New Roman"/>
          <w:sz w:val="20"/>
        </w:rPr>
      </w:pPr>
      <w:r>
        <w:rPr>
          <w:rFonts w:ascii="Arial" w:hAnsi="Arial"/>
          <w:color w:val="000000"/>
          <w:sz w:val="20"/>
        </w:rPr>
        <w:t>We also present Adjusted EBITDA as a supplemental performance measure because we believe that this measure provides investors, securities analysts and other users of our consolidated financial statements with important</w:t>
      </w:r>
      <w:r>
        <w:rPr>
          <w:rFonts w:ascii="Times New Roman" w:hAnsi="Times New Roman"/>
          <w:color w:val="000000"/>
          <w:sz w:val="20"/>
        </w:rPr>
        <w:t xml:space="preserve"> </w:t>
      </w:r>
    </w:p>
    <w:p>
      <w:pPr>
        <w:pStyle w:val="TextBody"/>
        <w:bidi w:val="0"/>
        <w:spacing w:before="0" w:after="80"/>
        <w:jc w:val="right"/>
        <w:rPr>
          <w:rFonts w:ascii="Arial" w:hAnsi="Arial"/>
          <w:color w:val="000000"/>
          <w:sz w:val="20"/>
        </w:rPr>
      </w:pPr>
      <w:r>
        <w:rPr>
          <w:rFonts w:ascii="Arial" w:hAnsi="Arial"/>
          <w:color w:val="000000"/>
          <w:sz w:val="20"/>
        </w:rPr>
        <w:t>12</w:t>
      </w:r>
    </w:p>
    <w:p>
      <w:pPr>
        <w:pStyle w:val="TextBody"/>
        <w:bidi w:val="0"/>
        <w:spacing w:before="0" w:after="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80"/>
        <w:jc w:val="right"/>
        <w:rPr/>
      </w:pPr>
      <w:r>
        <w:rPr/>
        <w:t> </w:t>
      </w:r>
    </w:p>
    <w:p>
      <w:pPr>
        <w:pStyle w:val="TextBody"/>
        <w:bidi w:val="0"/>
        <w:spacing w:before="120" w:after="283"/>
        <w:jc w:val="left"/>
        <w:rPr>
          <w:rFonts w:ascii="Arial" w:hAnsi="Arial"/>
          <w:color w:val="000000"/>
          <w:sz w:val="20"/>
        </w:rPr>
      </w:pPr>
      <w:r>
        <w:rPr>
          <w:rFonts w:ascii="Arial" w:hAnsi="Arial"/>
          <w:color w:val="000000"/>
          <w:sz w:val="20"/>
        </w:rPr>
        <w:t>supplemental information with which to evaluate our performance and to enable them to assess our performance on the same basis as management.</w:t>
      </w:r>
    </w:p>
    <w:p>
      <w:pPr>
        <w:pStyle w:val="TextBody"/>
        <w:bidi w:val="0"/>
        <w:spacing w:before="120" w:after="283"/>
        <w:jc w:val="left"/>
        <w:rPr>
          <w:rFonts w:ascii="Times New Roman" w:hAnsi="Times New Roman"/>
          <w:sz w:val="20"/>
        </w:rPr>
      </w:pPr>
      <w:r>
        <w:rPr>
          <w:rFonts w:ascii="Arial" w:hAnsi="Arial"/>
          <w:color w:val="000000"/>
          <w:sz w:val="20"/>
          <w:u w:val="single"/>
        </w:rPr>
        <w:t>Free Cash Flow</w:t>
      </w:r>
      <w:r>
        <w:rPr>
          <w:rFonts w:ascii="Times New Roman" w:hAnsi="Times New Roman"/>
          <w:color w:val="000000"/>
          <w:sz w:val="20"/>
        </w:rPr>
        <w:t xml:space="preserve"> </w:t>
      </w:r>
      <w:r>
        <w:rPr>
          <w:rFonts w:ascii="Arial" w:hAnsi="Arial"/>
          <w:color w:val="000000"/>
          <w:sz w:val="20"/>
        </w:rPr>
        <w:t>represents net cash provided by operating activities, plus the proceeds received from the FCC Reimbursement Program and the interest rate caps, less purchases of property and equipment and the acquisition of intangible assets. We believe that Free Cash Flow provides meaningful information regarding our liquidity.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of making capital allocation decisions.</w:t>
      </w:r>
    </w:p>
    <w:p>
      <w:pPr>
        <w:pStyle w:val="TextBody"/>
        <w:bidi w:val="0"/>
        <w:spacing w:before="0" w:after="80"/>
        <w:jc w:val="right"/>
        <w:rPr>
          <w:rFonts w:ascii="Arial" w:hAnsi="Arial"/>
          <w:color w:val="000000"/>
          <w:sz w:val="20"/>
        </w:rPr>
      </w:pPr>
      <w:r>
        <w:rPr>
          <w:rFonts w:ascii="Arial" w:hAnsi="Arial"/>
          <w:color w:val="000000"/>
          <w:sz w:val="20"/>
        </w:rPr>
        <w:t>13</w:t>
      </w:r>
    </w:p>
    <w:p>
      <w:pPr>
        <w:pStyle w:val="TextBody"/>
        <w:bidi w:val="0"/>
        <w:spacing w:before="0" w:after="8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5766</Words>
  <Characters>31990</Characters>
  <CharactersWithSpaces>38430</CharactersWithSpaces>
  <Paragraphs>2797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