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1" w:lineRule="exact"/>
        <w:rPr>
          <w:sz w:val="24"/>
          <w:szCs w:val="24"/>
          <w:color w:val="auto"/>
        </w:rPr>
      </w:pPr>
    </w:p>
    <w:p>
      <w:pPr>
        <w:ind w:left="860" w:hanging="839"/>
        <w:spacing w:after="0"/>
        <w:tabs>
          <w:tab w:leader="none" w:pos="8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8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1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9" w:lineRule="exact"/>
        <w:rPr>
          <w:sz w:val="24"/>
          <w:szCs w:val="24"/>
          <w:color w:val="auto"/>
        </w:rPr>
      </w:pPr>
    </w:p>
    <w:p>
      <w:pPr>
        <w:ind w:left="700" w:hanging="679"/>
        <w:spacing w:after="0"/>
        <w:tabs>
          <w:tab w:leader="none" w:pos="7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633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Gogo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279" w:right="419" w:bottom="1440" w:gutter="0" w:footer="0" w:header="0"/>
        </w:sectPr>
      </w:pPr>
    </w:p>
    <w:p>
      <w:pPr>
        <w:spacing w:after="0" w:line="120"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27-1650905</w:t>
      </w:r>
    </w:p>
    <w:p>
      <w:pPr>
        <w:spacing w:after="0" w:line="47" w:lineRule="exact"/>
        <w:rPr>
          <w:sz w:val="24"/>
          <w:szCs w:val="24"/>
          <w:color w:val="auto"/>
        </w:rPr>
      </w:pPr>
    </w:p>
    <w:p>
      <w:pPr>
        <w:sectPr>
          <w:pgSz w:w="11900" w:h="16838" w:orient="portrait"/>
          <w:cols w:equalWidth="0" w:num="2">
            <w:col w:w="7340" w:space="720"/>
            <w:col w:w="3100"/>
          </w:cols>
          <w:pgMar w:left="320" w:top="1279" w:right="41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64770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74" w:lineRule="exact"/>
        <w:rPr>
          <w:sz w:val="24"/>
          <w:szCs w:val="24"/>
          <w:color w:val="auto"/>
        </w:rPr>
      </w:pPr>
    </w:p>
    <w:p>
      <w:pPr>
        <w:sectPr>
          <w:pgSz w:w="11900" w:h="16838" w:orient="portrait"/>
          <w:cols w:equalWidth="0" w:num="2">
            <w:col w:w="7240" w:space="720"/>
            <w:col w:w="3200"/>
          </w:cols>
          <w:pgMar w:left="320" w:top="1279" w:right="4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105 Edgeview Dr., Suite 300</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Broomfield, CO 80021</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Number (303) 301-3271</w:t>
      </w:r>
    </w:p>
    <w:p>
      <w:pPr>
        <w:spacing w:after="0" w:line="2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64770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Class</w:t>
            </w:r>
          </w:p>
        </w:tc>
        <w:tc>
          <w:tcPr>
            <w:tcW w:w="2540" w:type="dxa"/>
            <w:vAlign w:val="bottom"/>
          </w:tcPr>
          <w:p>
            <w:pPr>
              <w:spacing w:after="0"/>
              <w:rPr>
                <w:sz w:val="13"/>
                <w:szCs w:val="13"/>
                <w:color w:val="auto"/>
              </w:rPr>
            </w:pP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Trading Symbol</w:t>
            </w:r>
          </w:p>
        </w:tc>
        <w:tc>
          <w:tcPr>
            <w:tcW w:w="3460" w:type="dxa"/>
            <w:vAlign w:val="bottom"/>
            <w:gridSpan w:val="2"/>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73"/>
        </w:trPr>
        <w:tc>
          <w:tcPr>
            <w:tcW w:w="4220" w:type="dxa"/>
            <w:vAlign w:val="bottom"/>
            <w:gridSpan w:val="3"/>
          </w:tcPr>
          <w:p>
            <w:pPr>
              <w:jc w:val="center"/>
              <w:ind w:right="168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7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r>
        <w:trPr>
          <w:trHeight w:val="186"/>
        </w:trPr>
        <w:tc>
          <w:tcPr>
            <w:tcW w:w="4220" w:type="dxa"/>
            <w:vAlign w:val="bottom"/>
            <w:gridSpan w:val="3"/>
          </w:tcPr>
          <w:p>
            <w:pPr>
              <w:jc w:val="center"/>
              <w:ind w:right="1640"/>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172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w w:val="98"/>
              </w:rPr>
              <w:t>GOGO</w:t>
            </w:r>
          </w:p>
        </w:tc>
        <w:tc>
          <w:tcPr>
            <w:tcW w:w="7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97" w:lineRule="exact"/>
        <w:rPr>
          <w:sz w:val="24"/>
          <w:szCs w:val="24"/>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rPr>
          <w:sz w:val="20"/>
          <w:szCs w:val="20"/>
          <w:color w:val="auto"/>
        </w:rPr>
      </w:pP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w:t>
      </w:r>
    </w:p>
    <w:p>
      <w:pPr>
        <w:spacing w:after="0" w:line="12" w:lineRule="exact"/>
        <w:rPr>
          <w:sz w:val="24"/>
          <w:szCs w:val="24"/>
          <w:color w:val="auto"/>
        </w:rPr>
      </w:pPr>
    </w:p>
    <w:p>
      <w:pPr>
        <w:spacing w:after="0" w:line="161" w:lineRule="exact"/>
        <w:tabs>
          <w:tab w:leader="none" w:pos="8600" w:val="left"/>
        </w:tabs>
        <w:rPr>
          <w:sz w:val="20"/>
          <w:szCs w:val="20"/>
          <w:color w:val="auto"/>
        </w:rPr>
      </w:pPr>
      <w:r>
        <w:rPr>
          <w:rFonts w:ascii="Times New Roman" w:cs="Times New Roman" w:eastAsia="Times New Roman" w:hAnsi="Times New Roman"/>
          <w:sz w:val="14"/>
          <w:szCs w:val="14"/>
          <w:color w:val="auto"/>
        </w:rPr>
        <w:t>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58" w:lineRule="exact"/>
        <w:rPr>
          <w:sz w:val="24"/>
          <w:szCs w:val="24"/>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1"/>
        </w:trPr>
        <w:tc>
          <w:tcPr>
            <w:tcW w:w="2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6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6" w:lineRule="exact"/>
        <w:rPr>
          <w:sz w:val="24"/>
          <w:szCs w:val="24"/>
          <w:color w:val="auto"/>
        </w:rPr>
      </w:pPr>
    </w:p>
    <w:p>
      <w:pPr>
        <w:ind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left="520" w:right="2660"/>
        <w:spacing w:after="0" w:line="223"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No</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2, 2024, 126,952,348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9" w:right="41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10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962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6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6"/>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tcBorders>
              <w:left w:val="single" w:sz="8" w:color="0000FF"/>
            </w:tcBorders>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6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6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5"/>
            <w:shd w:val="clear" w:color="auto" w:fill="0000FF"/>
          </w:tcPr>
          <w:p>
            <w:pPr>
              <w:spacing w:after="0" w:line="20" w:lineRule="exact"/>
              <w:rPr>
                <w:sz w:val="1"/>
                <w:szCs w:val="1"/>
                <w:color w:val="auto"/>
              </w:rPr>
            </w:pPr>
          </w:p>
        </w:tc>
        <w:tc>
          <w:tcPr>
            <w:tcW w:w="73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8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161,550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139,036</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allowances of $2,418 and $2,091, respectively</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48,233</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344,937</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314,594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94,686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55,647</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67,829</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70,552</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convertible note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 net of allowances of $664 and $591, respectively</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207,188</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216,638</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457,740</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466,945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802,677</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87,365</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585,060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73,047</w:t>
            </w:r>
          </w:p>
        </w:tc>
        <w:tc>
          <w:tcPr>
            <w:tcW w:w="100" w:type="dxa"/>
            <w:vAlign w:val="bottom"/>
          </w:tcPr>
          <w:p>
            <w:pPr>
              <w:spacing w:after="0"/>
              <w:rPr>
                <w:sz w:val="20"/>
                <w:szCs w:val="20"/>
                <w:color w:val="auto"/>
              </w:rPr>
            </w:pPr>
          </w:p>
        </w:tc>
      </w:tr>
      <w:tr>
        <w:trPr>
          <w:trHeight w:val="243"/>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8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663,301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668,818</w:t>
            </w:r>
          </w:p>
        </w:tc>
        <w:tc>
          <w:tcPr>
            <w:tcW w:w="100" w:type="dxa"/>
            <w:vAlign w:val="bottom"/>
          </w:tcPr>
          <w:p>
            <w:pPr>
              <w:spacing w:after="0"/>
              <w:rPr>
                <w:sz w:val="20"/>
                <w:szCs w:val="20"/>
                <w:color w:val="auto"/>
              </w:rPr>
            </w:pPr>
          </w:p>
        </w:tc>
      </w:tr>
      <w:tr>
        <w:trPr>
          <w:trHeight w:val="236"/>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750,666</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15)</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par value $0.0001 per share; 500,000,000 shares authorized at June 30, 2024 and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138,676,639 and 137,632,284 shares issued at June 30, 2024 and December 31,</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 respectively; and 126,882,774 and 128,462,343 shares outstanding at June 30, 2024 and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4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1,409,060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1,402,003</w:t>
            </w:r>
          </w:p>
        </w:tc>
        <w:tc>
          <w:tcPr>
            <w:tcW w:w="100" w:type="dxa"/>
            <w:vAlign w:val="bottom"/>
            <w:shd w:val="clear" w:color="auto" w:fill="CFF0FC"/>
          </w:tcPr>
          <w:p>
            <w:pPr>
              <w:spacing w:after="0"/>
              <w:rPr>
                <w:sz w:val="21"/>
                <w:szCs w:val="21"/>
                <w:color w:val="auto"/>
              </w:rPr>
            </w:pP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100" w:type="dxa"/>
            <w:vAlign w:val="bottom"/>
          </w:tcPr>
          <w:p>
            <w:pPr>
              <w:spacing w:after="0"/>
              <w:rPr>
                <w:sz w:val="20"/>
                <w:szCs w:val="20"/>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w:t>
            </w: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(186,492 )</w:t>
            </w:r>
          </w:p>
        </w:tc>
        <w:tc>
          <w:tcPr>
            <w:tcW w:w="1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(163,197 )</w:t>
            </w:r>
          </w:p>
        </w:tc>
      </w:tr>
      <w:tr>
        <w:trPr>
          <w:trHeight w:val="238"/>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(1,182,562 )</w:t>
            </w:r>
          </w:p>
        </w:tc>
        <w:tc>
          <w:tcPr>
            <w:tcW w:w="1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(1,213,891 )</w:t>
            </w:r>
          </w:p>
        </w:tc>
      </w:tr>
      <w:tr>
        <w:trPr>
          <w:trHeight w:val="238"/>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802,677</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781,539</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-5325110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-5325110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-4074795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-4074795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-2799080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-2174240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-2174240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-1849120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23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45"/>
        </w:trPr>
        <w:tc>
          <w:tcPr>
            <w:tcW w:w="5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40" w:type="dxa"/>
            <w:vAlign w:val="bottom"/>
          </w:tcPr>
          <w:p>
            <w:pPr>
              <w:spacing w:after="0"/>
              <w:rPr>
                <w:sz w:val="21"/>
                <w:szCs w:val="21"/>
                <w:color w:val="auto"/>
              </w:rPr>
            </w:pPr>
          </w:p>
        </w:tc>
        <w:tc>
          <w:tcPr>
            <w:tcW w:w="23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40"/>
        </w:trPr>
        <w:tc>
          <w:tcPr>
            <w:tcW w:w="58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81,929</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201,818</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135,845</w:t>
            </w:r>
          </w:p>
        </w:tc>
        <w:tc>
          <w:tcPr>
            <w:tcW w:w="100" w:type="dxa"/>
            <w:vAlign w:val="bottom"/>
          </w:tcPr>
          <w:p>
            <w:pPr>
              <w:spacing w:after="0"/>
              <w:rPr>
                <w:sz w:val="20"/>
                <w:szCs w:val="20"/>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(2,120 )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(1,971 )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(4,168 )</w:t>
            </w:r>
          </w:p>
        </w:tc>
        <w:tc>
          <w:tcPr>
            <w:tcW w:w="2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(3,887 )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(63,827 )</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(59,439 )</w:t>
            </w:r>
          </w:p>
        </w:tc>
      </w:tr>
      <w:tr>
        <w:trPr>
          <w:trHeight w:val="238"/>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Borders>
              <w:top w:val="single" w:sz="8" w:color="CFF0FC"/>
            </w:tcBorders>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 per share: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128,792</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129,467</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133,228</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132,094</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-4152265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-4152265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-4152265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-4152265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-2901950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-2901950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-2901950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-2576830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-2576830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-2576830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-2576830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-1634490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-1634490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-1634490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-1318260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-1318260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-1318260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(102 )</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Amount recognized in other comprehensive income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100" w:type="dxa"/>
            <w:vAlign w:val="bottom"/>
          </w:tcPr>
          <w:p>
            <w:pPr>
              <w:spacing w:after="0"/>
              <w:rPr>
                <w:sz w:val="20"/>
                <w:szCs w:val="20"/>
                <w:color w:val="auto"/>
              </w:rPr>
            </w:pPr>
          </w:p>
        </w:tc>
      </w:tr>
      <w:tr>
        <w:trPr>
          <w:trHeight w:val="23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fair value of cash flow hedges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(2,873 )</w:t>
            </w: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(3,548 )</w:t>
            </w: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(5,235 )</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(2,975 )</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(4,976 )</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(2,136 )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91,958</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27,524</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105,322</w:t>
            </w:r>
          </w:p>
        </w:tc>
        <w:tc>
          <w:tcPr>
            <w:tcW w:w="100" w:type="dxa"/>
            <w:vAlign w:val="bottom"/>
            <w:shd w:val="clear" w:color="auto" w:fill="CFF0FC"/>
          </w:tcPr>
          <w:p>
            <w:pPr>
              <w:spacing w:after="0"/>
              <w:rPr>
                <w:sz w:val="22"/>
                <w:szCs w:val="22"/>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-350520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-350520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-350520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31,329</w:t>
            </w:r>
          </w:p>
        </w:tc>
        <w:tc>
          <w:tcPr>
            <w:tcW w:w="26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110,298</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Adjustments to reconcile net income to cash provided by operating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asset disposals, abandonments and write-downs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10,604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(59,686 )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10,494</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Amortization of deferred financing costs and interest rate caps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debt discount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 in fair value of convertible note investment</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(6,078 )</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Inventories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(5,871 )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(10,757 )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(11,146 )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(15,148 )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Contract assets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(473 )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liabilities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(7,185 )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(1,534 )</w:t>
            </w:r>
          </w:p>
        </w:tc>
      </w:tr>
      <w:tr>
        <w:trPr>
          <w:trHeight w:val="175"/>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Accrued interest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(9,728 )</w:t>
            </w:r>
          </w:p>
        </w:tc>
      </w:tr>
      <w:tr>
        <w:trPr>
          <w:trHeight w:val="175"/>
        </w:trPr>
        <w:tc>
          <w:tcPr>
            <w:tcW w:w="77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(268 )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(1,316 )</w:t>
            </w:r>
          </w:p>
        </w:tc>
      </w:tr>
      <w:tr>
        <w:trPr>
          <w:trHeight w:val="169"/>
        </w:trPr>
        <w:tc>
          <w:tcPr>
            <w:tcW w:w="77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54,606</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(4,837 )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(10,406 )</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intangible assets—capitalized software</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(5,861 )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(2,956 )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Proceeds from FCC Reimbursement Program for property, equipment and intangibles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Proceeds from interest rate caps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Redemptions of short-term investments</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49,524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04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(24,728 )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Purchase of convertible note investment</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(5,000 )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(2,685 )</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23,923</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term loan</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(3,625 )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(103,625 )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(23,157 )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on financing leases</w:t>
            </w:r>
          </w:p>
        </w:tc>
        <w:tc>
          <w:tcPr>
            <w:tcW w:w="104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360" w:type="dxa"/>
            <w:vAlign w:val="bottom"/>
          </w:tcPr>
          <w:p>
            <w:pPr>
              <w:spacing w:after="0"/>
              <w:rPr>
                <w:sz w:val="15"/>
                <w:szCs w:val="15"/>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(97 )</w:t>
            </w: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 activity</w:t>
            </w:r>
          </w:p>
        </w:tc>
        <w:tc>
          <w:tcPr>
            <w:tcW w:w="10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(2,668 )</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(7,747 )</w:t>
            </w:r>
          </w:p>
        </w:tc>
      </w:tr>
      <w:tr>
        <w:trPr>
          <w:trHeight w:val="20"/>
        </w:trPr>
        <w:tc>
          <w:tcPr>
            <w:tcW w:w="7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70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(29,453 )</w:t>
            </w:r>
          </w:p>
        </w:tc>
        <w:tc>
          <w:tcPr>
            <w:tcW w:w="36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(111,469 )</w:t>
            </w:r>
          </w:p>
        </w:tc>
      </w:tr>
      <w:tr>
        <w:trPr>
          <w:trHeight w:val="16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(53,350 )</w:t>
            </w: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139,366</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150,880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40" w:type="dxa"/>
            <w:vAlign w:val="bottom"/>
            <w:tcBorders>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161,880</w:t>
            </w:r>
          </w:p>
        </w:tc>
        <w:tc>
          <w:tcPr>
            <w:tcW w:w="260" w:type="dxa"/>
            <w:vAlign w:val="bottom"/>
          </w:tcPr>
          <w:p>
            <w:pPr>
              <w:spacing w:after="0"/>
              <w:rPr>
                <w:sz w:val="14"/>
                <w:szCs w:val="14"/>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97,530</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040" w:type="dxa"/>
            <w:vAlign w:val="bottom"/>
            <w:shd w:val="clear" w:color="auto" w:fill="CFF0FC"/>
          </w:tcPr>
          <w:p>
            <w:pPr>
              <w:jc w:val="right"/>
              <w:ind w:right="8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161,880</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97,530</w:t>
            </w: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non-current restricted cash</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161,550</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Cash paid for interest</w:t>
            </w:r>
          </w:p>
        </w:tc>
        <w:tc>
          <w:tcPr>
            <w:tcW w:w="1040" w:type="dxa"/>
            <w:vAlign w:val="bottom"/>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28,348</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39,759</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Cash paid for taxes</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0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6"/>
        </w:trPr>
        <w:tc>
          <w:tcPr>
            <w:tcW w:w="77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Purchases of property and equipment in current liabilities</w:t>
            </w:r>
          </w:p>
        </w:tc>
        <w:tc>
          <w:tcPr>
            <w:tcW w:w="104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26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-3131185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-3131185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-2232660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-2232660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-1547495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-1547495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-1307465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-1307465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-1076325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-1076325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-588645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-571500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-588645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-571500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Notes to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2024</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9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128,227,127</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1,404,217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14,966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(1,183,401 )</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10,308,622</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(173,357 )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(102 )</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(102 )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(2,873 )</w:t>
            </w: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(2,873 )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81,336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59,554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(256 )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(256 )</w:t>
            </w:r>
          </w:p>
        </w:tc>
        <w:tc>
          <w:tcPr>
            <w:tcW w:w="0" w:type="dxa"/>
            <w:vAlign w:val="bottom"/>
          </w:tcPr>
          <w:p>
            <w:pPr>
              <w:spacing w:after="0"/>
              <w:rPr>
                <w:sz w:val="1"/>
                <w:szCs w:val="1"/>
                <w:color w:val="auto"/>
              </w:rPr>
            </w:pPr>
          </w:p>
        </w:tc>
      </w:tr>
      <w:tr>
        <w:trPr>
          <w:trHeight w:val="16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(1,485,243 )</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1,485,243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(13,135 )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(13,135 )</w:t>
            </w: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126,882,774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1,409,060</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11,991</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(1,182,562 )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11,793,865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(186,492 )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3"/>
                <w:szCs w:val="13"/>
                <w:b w:val="1"/>
                <w:bCs w:val="1"/>
                <w:color w:val="auto"/>
              </w:rPr>
              <w:t>For the Three Months Ended June 30, 2023</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9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128,585,935</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1,386,295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23,043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(1,339,120 )</w:t>
            </w: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(88,143 )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5,453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46,251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48,022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(402 )</w:t>
            </w: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(402 )</w:t>
            </w: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2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128,696,883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1,391,692</w:t>
            </w:r>
          </w:p>
        </w:tc>
        <w:tc>
          <w:tcPr>
            <w:tcW w:w="22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25,152</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(1,249,271 )</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-2285365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-2285365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-2285365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-2285365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-2285365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-2285365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-2285365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-136525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-136525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-136525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30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8"/>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92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6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128,462,343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1,402,003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15,796</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(1,213,891 )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9,169,941</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(163,197 )</w:t>
            </w:r>
          </w:p>
        </w:tc>
        <w:tc>
          <w:tcPr>
            <w:tcW w:w="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40,725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(257 )</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(257 )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(3,548 )</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(3,548 )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112,472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931,883</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(2,962 )</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(2,962 )</w:t>
            </w: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11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(2,623,924 )</w:t>
            </w:r>
          </w:p>
        </w:tc>
        <w:tc>
          <w:tcPr>
            <w:tcW w:w="12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2,623,924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(23,295 )</w:t>
            </w:r>
          </w:p>
        </w:tc>
        <w:tc>
          <w:tcPr>
            <w:tcW w:w="180" w:type="dxa"/>
            <w:vAlign w:val="bottom"/>
            <w:shd w:val="clear" w:color="auto" w:fill="CFF0FC"/>
          </w:tcPr>
          <w:p>
            <w:pPr>
              <w:spacing w:after="0"/>
              <w:rPr>
                <w:sz w:val="11"/>
                <w:szCs w:val="11"/>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(23,295 )</w:t>
            </w:r>
          </w:p>
        </w:tc>
        <w:tc>
          <w:tcPr>
            <w:tcW w:w="0" w:type="dxa"/>
            <w:vAlign w:val="bottom"/>
          </w:tcPr>
          <w:p>
            <w:pPr>
              <w:spacing w:after="0"/>
              <w:rPr>
                <w:sz w:val="1"/>
                <w:szCs w:val="1"/>
                <w:color w:val="auto"/>
              </w:rPr>
            </w:pPr>
          </w:p>
        </w:tc>
      </w:tr>
      <w:tr>
        <w:trPr>
          <w:trHeight w:val="153"/>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110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80" w:type="dxa"/>
            <w:vAlign w:val="bottom"/>
            <w:gridSpan w:val="2"/>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126,882,774</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1,409,060</w:t>
            </w:r>
          </w:p>
        </w:tc>
        <w:tc>
          <w:tcPr>
            <w:tcW w:w="220" w:type="dxa"/>
            <w:vAlign w:val="bottom"/>
          </w:tcPr>
          <w:p>
            <w:pPr>
              <w:spacing w:after="0"/>
              <w:rPr>
                <w:sz w:val="13"/>
                <w:szCs w:val="13"/>
                <w:color w:val="auto"/>
              </w:rPr>
            </w:pP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11,991</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(1,182,562 )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11,793,865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(186,492 )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0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For the Six Months Ended June 30,2023</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920" w:type="dxa"/>
            <w:vAlign w:val="bottom"/>
            <w:gridSpan w:val="4"/>
            <w:vMerge w:val="restart"/>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Comprehensi</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ve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6"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7"/>
              <w:spacing w:after="0" w:line="146" w:lineRule="exact"/>
              <w:rPr>
                <w:sz w:val="20"/>
                <w:szCs w:val="20"/>
                <w:color w:val="auto"/>
              </w:rPr>
            </w:pPr>
            <w:r>
              <w:rPr>
                <w:rFonts w:ascii="Times New Roman" w:cs="Times New Roman" w:eastAsia="Times New Roman" w:hAnsi="Times New Roman"/>
                <w:sz w:val="13"/>
                <w:szCs w:val="13"/>
                <w:b w:val="1"/>
                <w:bCs w:val="1"/>
                <w:color w:val="auto"/>
                <w:w w:val="96"/>
              </w:rPr>
              <w:t>Par Value</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7"/>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77"/>
              <w:spacing w:after="0" w:line="146" w:lineRule="exact"/>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7"/>
              <w:spacing w:after="0" w:line="146"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7"/>
              <w:spacing w:after="0" w:line="14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127,840,813</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1,385,933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30,128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(1,359,569 )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(101,869 )</w:t>
            </w: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income</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110,298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Currency translation adjustments, net of tax</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Fair value adjustments of cash flow hedges, net of tax</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(5,235 )</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(5,235 )</w:t>
            </w:r>
          </w:p>
        </w:tc>
        <w:tc>
          <w:tcPr>
            <w:tcW w:w="0" w:type="dxa"/>
            <w:vAlign w:val="bottom"/>
          </w:tcPr>
          <w:p>
            <w:pPr>
              <w:spacing w:after="0"/>
              <w:rPr>
                <w:sz w:val="1"/>
                <w:szCs w:val="1"/>
                <w:color w:val="auto"/>
              </w:rPr>
            </w:pPr>
          </w:p>
        </w:tc>
      </w:tr>
      <w:tr>
        <w:trPr>
          <w:trHeight w:val="162"/>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10,494</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Issuance of common stock upon exercise of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114,771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upon vesting of restricted</w:t>
            </w: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stock units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712,042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306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auto"/>
              </w:rPr>
              <w:t>Tax withholding related to vesting of restricted stock</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units</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(5,439 )</w:t>
            </w:r>
          </w:p>
        </w:tc>
        <w:tc>
          <w:tcPr>
            <w:tcW w:w="1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(5,439 )</w:t>
            </w:r>
          </w:p>
        </w:tc>
        <w:tc>
          <w:tcPr>
            <w:tcW w:w="0" w:type="dxa"/>
            <w:vAlign w:val="bottom"/>
          </w:tcPr>
          <w:p>
            <w:pPr>
              <w:spacing w:after="0"/>
              <w:rPr>
                <w:sz w:val="1"/>
                <w:szCs w:val="1"/>
                <w:color w:val="auto"/>
              </w:rPr>
            </w:pPr>
          </w:p>
        </w:tc>
      </w:tr>
      <w:tr>
        <w:trPr>
          <w:trHeight w:val="131"/>
        </w:trPr>
        <w:tc>
          <w:tcPr>
            <w:tcW w:w="3060" w:type="dxa"/>
            <w:vAlign w:val="bottom"/>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Issuance of common stock in connection with</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29,257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86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220" w:type="dxa"/>
            <w:vAlign w:val="bottom"/>
            <w:tcBorders>
              <w:bottom w:val="single" w:sz="8" w:color="CFF0FC"/>
            </w:tcBorders>
            <w:vMerge w:val="continue"/>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128,696,883</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1,391,692</w:t>
            </w:r>
          </w:p>
        </w:tc>
        <w:tc>
          <w:tcPr>
            <w:tcW w:w="220" w:type="dxa"/>
            <w:vAlign w:val="bottom"/>
          </w:tcPr>
          <w:p>
            <w:pPr>
              <w:spacing w:after="0"/>
              <w:rPr>
                <w:sz w:val="13"/>
                <w:szCs w:val="13"/>
                <w:color w:val="auto"/>
              </w:rPr>
            </w:pPr>
          </w:p>
        </w:tc>
        <w:tc>
          <w:tcPr>
            <w:tcW w:w="140" w:type="dxa"/>
            <w:vAlign w:val="bottom"/>
          </w:tcPr>
          <w:p>
            <w:pPr>
              <w:jc w:val="right"/>
              <w:ind w:right="22"/>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25,152</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(1,249,271 )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8,690,549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(158,375 )</w:t>
            </w: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2487930</wp:posOffset>
            </wp:positionH>
            <wp:positionV relativeFrom="paragraph">
              <wp:posOffset>-2294255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-2294255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-2294255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-2294255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-2294255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-2294255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-2294255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5746115</wp:posOffset>
            </wp:positionH>
            <wp:positionV relativeFrom="paragraph">
              <wp:posOffset>-1527810</wp:posOffset>
            </wp:positionV>
            <wp:extent cx="9398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6388100</wp:posOffset>
            </wp:positionH>
            <wp:positionV relativeFrom="paragraph">
              <wp:posOffset>-1527810</wp:posOffset>
            </wp:positionV>
            <wp:extent cx="93980"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2487930</wp:posOffset>
            </wp:positionH>
            <wp:positionV relativeFrom="paragraph">
              <wp:posOffset>-136525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-136525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-136525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-136525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5090795</wp:posOffset>
            </wp:positionH>
            <wp:positionV relativeFrom="paragraph">
              <wp:posOffset>-136525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-136525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-136525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the Notes to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Business – </w:t>
      </w:r>
      <w:r>
        <w:rPr>
          <w:rFonts w:ascii="Times New Roman" w:cs="Times New Roman" w:eastAsia="Times New Roman" w:hAnsi="Times New Roman"/>
          <w:sz w:val="18"/>
          <w:szCs w:val="18"/>
          <w:color w:val="auto"/>
        </w:rPr>
        <w:t>Gogo Inc. (“Gogo,” the “Company,” “we,” “us,” or “our”) is the world’s largest provider of broadband connectivity services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in the second quarter of 2025.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Federal Communications Commission (“FCC”) Secure and Trusted Communications Networks Reimbursement Program (the “FCC Reimbursement Program”).</w:t>
      </w:r>
    </w:p>
    <w:p>
      <w:pPr>
        <w:spacing w:after="0" w:line="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business aviation (“Gogo Galileo”). The service will use an electronically steered antenna, specifically designed to address a broad range of business aviation aircraft, operating on a low earth orbit (“LEO”) satellite network and is targeted for commercial launch in the fourth quarter of 2024. We believe that Gogo Galileo, in combination with, or as an alternative to, our ATG systems will allow us to increase our penetration of the North American heavy jet market and provide an upgrade path for our existing ATG customer base. In addition, we believe that Gogo Galileo will allow us to penetrate the business aviation market outside of North America, where only approximately 6% of business aviation aircraft are installed with in-flight connectivity systems.</w:t>
      </w:r>
    </w:p>
    <w:p>
      <w:pPr>
        <w:spacing w:after="0" w:line="7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and notes have been prepared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2023 as filed with the Securities and Exchange Commission (the “SEC”) on February 28, 2024 (the “2023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78"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The results of operations and cash flows for the three- and six-month periods ended June 30, 2024 are not necessarily indicative of the results that may be expected for the fiscal year ending December 31, 2024.</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one class of common stock outstanding as of June 30, 2024 and December 31, 2023.</w:t>
      </w:r>
    </w:p>
    <w:p>
      <w:pPr>
        <w:spacing w:after="0" w:line="11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disclosures of contingent assets and liabilities as of the date of the financial statements, and the reported amounts of revenues and expenses during the reporting period. On an ongoing basis, management evaluates the significant estimates and bases such estimates on historical experience and various other assumptions believed to be reasonable under the circumstances. However, actual results could differ materially from those estimates.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21E1F"/>
        </w:rPr>
        <w:t>Recently Issued Accounting Pronouncements</w:t>
      </w:r>
    </w:p>
    <w:p>
      <w:pPr>
        <w:spacing w:after="0" w:line="121"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(“ASUs”) issued by the Financial Accounting Standards Board (“FASB”). ASUs not listed below were assessed and determined to be either not applicable or expected to have minimal impact on our consolidated financial statements and related notes.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to improve reportable segment disclosure requirements, primarily through enhanced disclosures about significant segment expenses. This guidance is effective retrospectively for fiscal years beginning after December 15, 2023 and interim periods after December 15, 2024. Early adoption is permitted. As this guidance only impacts disclosures, we do not expect the adoption to have a material impact on our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to enhance the transparency and decision usefulness of income tax disclosures, most notably in the tax rate reconciliation and income taxes paid. This guidance is effective for annual periods beginning after December 15, 2024. Early adoption is permitted and the amendments should be applied on a prospective basis, with retrospective application permitted. As this guidance only impacts disclosures, we do not expect the adoption to have a material impact on our consolidated financial statements.</w:t>
      </w:r>
    </w:p>
    <w:p>
      <w:pPr>
        <w:spacing w:after="0" w:line="180"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Basic and diluted earnings per share have been calculated using the weighted average number of common shares outstanding for the period. Diluted earnings per share was computed using the treasury stock method for stock-based compensation.</w:t>
      </w:r>
    </w:p>
    <w:p>
      <w:pPr>
        <w:spacing w:after="0" w:line="55"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diluted earnings per share calculations exclude the effect of stock options, deferred stock units and restricted stock units when the computation is anti-dilutive. For the three- and six-month periods ended June 30, 2024, the weighted average number of shares excluded from the computation was 2.1 million and 2.5 million, respectively. For the three- and six-month periods ended June 30, 2023, the weighted average shares excluded from the computation was 1.8 million and 1.2 million, respectively.</w:t>
      </w:r>
    </w:p>
    <w:p>
      <w:pPr>
        <w:spacing w:after="0" w:line="74"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six-month periods ended June 30, 2024 and 2023 (</w:t>
      </w:r>
      <w:r>
        <w:rPr>
          <w:rFonts w:ascii="Times New Roman" w:cs="Times New Roman" w:eastAsia="Times New Roman" w:hAnsi="Times New Roman"/>
          <w:sz w:val="18"/>
          <w:szCs w:val="18"/>
          <w:i w:val="1"/>
          <w:iCs w:val="1"/>
          <w:color w:val="auto"/>
        </w:rPr>
        <w:t>in thousands, except per share amounts</w:t>
      </w:r>
      <w:r>
        <w:rPr>
          <w:rFonts w:ascii="Times New Roman" w:cs="Times New Roman" w:eastAsia="Times New Roman" w:hAnsi="Times New Roman"/>
          <w:sz w:val="18"/>
          <w:szCs w:val="18"/>
          <w:color w:val="auto"/>
        </w:rPr>
        <w:t>):</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r>
      <w:tr>
        <w:trPr>
          <w:trHeight w:val="245"/>
        </w:trPr>
        <w:tc>
          <w:tcPr>
            <w:tcW w:w="5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43"/>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128,295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128,792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129,467</w:t>
            </w:r>
          </w:p>
        </w:tc>
        <w:tc>
          <w:tcPr>
            <w:tcW w:w="100" w:type="dxa"/>
            <w:vAlign w:val="bottom"/>
          </w:tcPr>
          <w:p>
            <w:pPr>
              <w:spacing w:after="0"/>
              <w:rPr>
                <w:sz w:val="20"/>
                <w:szCs w:val="20"/>
                <w:color w:val="auto"/>
              </w:rPr>
            </w:pPr>
          </w:p>
        </w:tc>
      </w:tr>
      <w:tr>
        <w:trPr>
          <w:trHeight w:val="278"/>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basic</w:t>
            </w:r>
          </w:p>
        </w:tc>
        <w:tc>
          <w:tcPr>
            <w:tcW w:w="2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-24765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-7620</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-24765</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7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128,295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129,814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128,792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 - stock-based compensation</w:t>
            </w:r>
          </w:p>
        </w:tc>
        <w:tc>
          <w:tcPr>
            <w:tcW w:w="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5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weighted average diluted shares outstanding</w:t>
            </w:r>
          </w:p>
        </w:tc>
        <w:tc>
          <w:tcPr>
            <w:tcW w:w="7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133,228</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132,094</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133,407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Earnings per share - diluted</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-1095375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-1095375</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-1095375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-1095375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right="8460" w:firstLine="8"/>
        <w:spacing w:after="0" w:line="399" w:lineRule="auto"/>
        <w:tabs>
          <w:tab w:leader="none" w:pos="51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 Remaining performance obligations</w:t>
      </w:r>
    </w:p>
    <w:p>
      <w:pPr>
        <w:spacing w:after="0" w:line="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in our contracts allocated to the remaining unsatisfied performance obligations (“RPO”) was approximately $278 million and excludes consideration from contracts that have an original duration of one year or less. Approximately $264 million of the RPO primarily represents connectivity and entertainment service revenues which are recognized as services are provided, which is expected to occur through the remaining term of the contracts. Our contracts vary in length and generally have terms of two to ten years. We expect to recognize approximately 21% of our connectivity and entertainment service RPO within the next year, approximately 43% in one to five years and the remaining 36% in five to ten years. The remaining $14 million of the RPO represents future equipment revenue that is expected to be recognized primarily within the next three years as equipment is shipped.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our revenue disaggregated by category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r>
      <w:tr>
        <w:trPr>
          <w:trHeight w:val="245"/>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40"/>
        </w:trPr>
        <w:tc>
          <w:tcPr>
            <w:tcW w:w="40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8"/>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Connectivity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80,613</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160,971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155,045</w:t>
            </w:r>
          </w:p>
        </w:tc>
        <w:tc>
          <w:tcPr>
            <w:tcW w:w="100" w:type="dxa"/>
            <w:vAlign w:val="bottom"/>
          </w:tcPr>
          <w:p>
            <w:pPr>
              <w:spacing w:after="0"/>
              <w:rPr>
                <w:sz w:val="20"/>
                <w:szCs w:val="20"/>
                <w:color w:val="auto"/>
              </w:rPr>
            </w:pPr>
          </w:p>
        </w:tc>
      </w:tr>
      <w:tr>
        <w:trPr>
          <w:trHeight w:val="24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Entertainment and other</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81,929</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157,561</w:t>
            </w:r>
          </w:p>
        </w:tc>
        <w:tc>
          <w:tcPr>
            <w:tcW w:w="100" w:type="dxa"/>
            <w:vAlign w:val="bottom"/>
          </w:tcPr>
          <w:p>
            <w:pPr>
              <w:spacing w:after="0"/>
              <w:rPr>
                <w:sz w:val="20"/>
                <w:szCs w:val="20"/>
                <w:color w:val="auto"/>
              </w:rPr>
            </w:pPr>
          </w:p>
        </w:tc>
      </w:tr>
      <w:tr>
        <w:trPr>
          <w:trHeight w:val="20"/>
        </w:trPr>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ATG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17,196</w:t>
            </w:r>
          </w:p>
        </w:tc>
        <w:tc>
          <w:tcPr>
            <w:tcW w:w="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36,543</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100" w:type="dxa"/>
            <w:vAlign w:val="bottom"/>
          </w:tcPr>
          <w:p>
            <w:pPr>
              <w:spacing w:after="0"/>
              <w:rPr>
                <w:sz w:val="20"/>
                <w:szCs w:val="20"/>
                <w:color w:val="auto"/>
              </w:rPr>
            </w:pPr>
          </w:p>
        </w:tc>
      </w:tr>
      <w:tr>
        <w:trPr>
          <w:trHeight w:val="247"/>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Narrowband satellite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20"/>
                <w:szCs w:val="20"/>
                <w:color w:val="auto"/>
              </w:rPr>
            </w:pPr>
          </w:p>
        </w:tc>
      </w:tr>
      <w:tr>
        <w:trPr>
          <w:trHeight w:val="278"/>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7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00" w:type="dxa"/>
            <w:vAlign w:val="bottom"/>
            <w:shd w:val="clear" w:color="auto" w:fill="CFF0FC"/>
          </w:tcPr>
          <w:p>
            <w:pPr>
              <w:spacing w:after="0"/>
              <w:rPr>
                <w:sz w:val="24"/>
                <w:szCs w:val="24"/>
                <w:color w:val="auto"/>
              </w:rPr>
            </w:pPr>
          </w:p>
        </w:tc>
      </w:tr>
      <w:tr>
        <w:trPr>
          <w:trHeight w:val="223"/>
        </w:trPr>
        <w:tc>
          <w:tcPr>
            <w:tcW w:w="4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Customer type</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owner/operator/service provider</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81,929</w:t>
            </w:r>
          </w:p>
        </w:tc>
        <w:tc>
          <w:tcPr>
            <w:tcW w:w="74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5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157,561</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OEM and aftermarket dealer</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00" w:type="dxa"/>
            <w:vAlign w:val="bottom"/>
          </w:tcPr>
          <w:p>
            <w:pPr>
              <w:spacing w:after="0"/>
              <w:rPr>
                <w:sz w:val="20"/>
                <w:szCs w:val="20"/>
                <w:color w:val="auto"/>
              </w:rPr>
            </w:pPr>
          </w:p>
        </w:tc>
      </w:tr>
      <w:tr>
        <w:trPr>
          <w:trHeight w:val="278"/>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102,059</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206,381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-1643380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-1643380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-1643380</wp:posOffset>
            </wp:positionV>
            <wp:extent cx="59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-1643380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-675640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-658495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-675640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-658495</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-675640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-658495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-675640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-658495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3755390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-24765</wp:posOffset>
            </wp:positionV>
            <wp:extent cx="59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-7620</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59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current and non-current contract asset balances totaled $15.7 million and $16.6 million as of June 30, 2024 and December 31, 2023, respectively. Contract assets represent the aggregate amount of revenue recognized in excess of billings and recoverable contract costs primarily for certain sales programs.</w:t>
      </w:r>
    </w:p>
    <w:p>
      <w:pPr>
        <w:spacing w:after="0" w:line="69" w:lineRule="exact"/>
        <w:rPr>
          <w:sz w:val="20"/>
          <w:szCs w:val="20"/>
          <w:color w:val="auto"/>
        </w:rPr>
      </w:pPr>
    </w:p>
    <w:p>
      <w:pPr>
        <w:ind w:right="840" w:firstLine="509"/>
        <w:spacing w:after="0" w:line="281" w:lineRule="auto"/>
        <w:rPr>
          <w:sz w:val="20"/>
          <w:szCs w:val="20"/>
          <w:color w:val="auto"/>
        </w:rPr>
      </w:pPr>
      <w:r>
        <w:rPr>
          <w:rFonts w:ascii="Times New Roman" w:cs="Times New Roman" w:eastAsia="Times New Roman" w:hAnsi="Times New Roman"/>
          <w:sz w:val="18"/>
          <w:szCs w:val="18"/>
          <w:color w:val="auto"/>
        </w:rPr>
        <w:t>Our current and non-current deferred revenue balances totaled $1.9 million and $1.0 million as of June 30, 2024 and December 31, 2023, respectively. Deferred revenue includes, among other things, prepayments for equipment and subscription connectivity products.</w:t>
      </w:r>
    </w:p>
    <w:p>
      <w:pPr>
        <w:spacing w:after="0" w:line="159"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Assistance</w:t>
      </w:r>
    </w:p>
    <w:p>
      <w:pPr>
        <w:spacing w:after="0" w:line="116"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FCC Reimbursement Program</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July 15, 2022, the Company was notified that it was approved for participation in the FCC Reimbursement Program, designed to reimburse providers of advanced communications services for reasonable costs incurred in the required removal, replacement, and disposal of covered communications equipment or services, that have been deemed to pose a national security risk, from their networks. Pursuant to the FCC Reimbursement Program, the FCC approved up to approximately $334 million in reimbursements to the Company to cover documented and approved costs to (i) remove and securely destroy all ZTE communications equipment and services in the Company’s terrestrial U.S. networks and replace such equipment and (ii) remove and replace certain equipment installed on aircraft operated by the Company’s ATG customers that is not compatible with the terrestrial equipment that will replace ZTE equipment. Due to a shortfall in the amount appropriated by Congress to fund the FCC Reimbursement Program, approximately $132 million of the approved amount is currently allocated to the Company under the program. If Congress appropriates additional funds for this purpose, the allocations of the Company and other approved applicants will be increased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Program participants are subject to a number of conditions and requirements under the FCC’s rules including a requirement that they submit their first reimbursement request by July 17, 2023 and certify that they have developed a plan to permanently remove, replace and dispose of covered equipment or services within one year following the first reimbursement request. The rules permit</w:t>
      </w:r>
    </w:p>
    <w:p>
      <w:pPr>
        <w:sectPr>
          <w:pgSz w:w="11900" w:h="16838" w:orient="portrait"/>
          <w:cols w:equalWidth="0" w:num="1">
            <w:col w:w="11220"/>
          </w:cols>
          <w:pgMar w:left="320" w:top="764" w:right="35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1" w:name="page12"/>
    <w:bookmarkEnd w:id="1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participants to petition the FCC for one or more six-month extensions of the completion deadline. The Company, with the assistance of an advisor engaged to help administer the program, submitted and received its first reimbursement claim in July 2023. The Company’s original one year term to complete the program was set for July 21, 2024. On March 29, 2024 the Company was granted its first six-month extension by the FCC extending the program completion deadline to January 21, 2025. Based on discussions with our vendors supporting the program regarding lead times for network equipment, we plan to petition the FCC for multiple extensions, as outlined in our application for the FCC Reimbursement Program.</w:t>
      </w:r>
    </w:p>
    <w:p>
      <w:pPr>
        <w:spacing w:after="0" w:line="74"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As of June 30, 2024 and December 31, 2023, we have recorded a $17.5 million and $18.3 million receivable from the FCC, respectively, which is included in Prepaid expenses and other current assets in our Unaudited Condensed Consolidated Balance Sheets.</w:t>
      </w:r>
    </w:p>
    <w:p>
      <w:pPr>
        <w:spacing w:after="0" w:line="5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are the deductions to the carrying value of asset balances in our Unaudited Condensed Consolidated Balance Sheets as of June 30, 2024 and December 31, 2023 </w:t>
      </w:r>
      <w:r>
        <w:rPr>
          <w:rFonts w:ascii="Times New Roman" w:cs="Times New Roman" w:eastAsia="Times New Roman" w:hAnsi="Times New Roman"/>
          <w:sz w:val="18"/>
          <w:szCs w:val="18"/>
          <w:i w:val="1"/>
          <w:iCs w:val="1"/>
          <w:color w:val="auto"/>
        </w:rPr>
        <w:t>(in thousands):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45"/>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June 30,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Pr>
          <w:p>
            <w:pPr>
              <w:spacing w:after="0"/>
              <w:rPr>
                <w:sz w:val="21"/>
                <w:szCs w:val="21"/>
                <w:color w:val="auto"/>
              </w:rPr>
            </w:pPr>
          </w:p>
        </w:tc>
      </w:tr>
      <w:tr>
        <w:trPr>
          <w:trHeight w:val="240"/>
        </w:trPr>
        <w:tc>
          <w:tcPr>
            <w:tcW w:w="58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8"/>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(5,430 )</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(4,970 )</w:t>
            </w:r>
          </w:p>
        </w:tc>
      </w:tr>
      <w:tr>
        <w:trPr>
          <w:trHeight w:val="247"/>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Prepaids expenses and other current assets</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(2,540 )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(1,542 )</w:t>
            </w:r>
          </w:p>
        </w:tc>
      </w:tr>
      <w:tr>
        <w:trPr>
          <w:trHeight w:val="238"/>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(2,094 )</w:t>
            </w:r>
          </w:p>
        </w:tc>
      </w:tr>
      <w:tr>
        <w:trPr>
          <w:trHeight w:val="247"/>
        </w:trPr>
        <w:tc>
          <w:tcPr>
            <w:tcW w:w="5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(296 )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56"/>
        </w:trPr>
        <w:tc>
          <w:tcPr>
            <w:tcW w:w="5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(8,542 )</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(5,542 )</w:t>
            </w:r>
          </w:p>
        </w:tc>
      </w:tr>
    </w:tbl>
    <w:p>
      <w:pPr>
        <w:spacing w:after="0" w:line="1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An immaterial amount was recorded to Net income during the three- and six-month periods ended June 30, 2023. The following are the increases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Net income in our Unaudited Condensed Consolidated Statements of Operations for the three- and six-month periods ended June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45"/>
        </w:trPr>
        <w:tc>
          <w:tcPr>
            <w:tcW w:w="4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40"/>
        </w:trPr>
        <w:tc>
          <w:tcPr>
            <w:tcW w:w="4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02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6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20"/>
                <w:szCs w:val="20"/>
                <w:color w:val="auto"/>
              </w:rPr>
            </w:pPr>
          </w:p>
        </w:tc>
      </w:tr>
      <w:tr>
        <w:trPr>
          <w:trHeight w:val="238"/>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8"/>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8"/>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service revenue</w:t>
            </w:r>
          </w:p>
        </w:tc>
        <w:tc>
          <w:tcPr>
            <w:tcW w:w="1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80" w:type="dxa"/>
            <w:vAlign w:val="bottom"/>
          </w:tcPr>
          <w:p>
            <w:pPr>
              <w:spacing w:after="0"/>
              <w:rPr>
                <w:sz w:val="20"/>
                <w:szCs w:val="20"/>
                <w:color w:val="auto"/>
              </w:rPr>
            </w:pPr>
          </w:p>
        </w:tc>
      </w:tr>
      <w:tr>
        <w:trPr>
          <w:trHeight w:val="247"/>
        </w:trPr>
        <w:tc>
          <w:tcPr>
            <w:tcW w:w="4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16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80" w:type="dxa"/>
            <w:vAlign w:val="bottom"/>
            <w:shd w:val="clear" w:color="auto" w:fill="CFF0FC"/>
          </w:tcPr>
          <w:p>
            <w:pPr>
              <w:spacing w:after="0"/>
              <w:rPr>
                <w:sz w:val="21"/>
                <w:szCs w:val="21"/>
                <w:color w:val="auto"/>
              </w:rPr>
            </w:pPr>
          </w:p>
        </w:tc>
      </w:tr>
      <w:tr>
        <w:trPr>
          <w:trHeight w:val="234"/>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Balance Sheet Accounts</w:t>
      </w:r>
    </w:p>
    <w:p>
      <w:pPr>
        <w:spacing w:after="0" w:line="121" w:lineRule="exact"/>
        <w:rPr>
          <w:sz w:val="20"/>
          <w:szCs w:val="20"/>
          <w:color w:val="auto"/>
        </w:rPr>
      </w:pPr>
    </w:p>
    <w:p>
      <w:pPr>
        <w:ind w:right="340" w:firstLine="509"/>
        <w:spacing w:after="0" w:line="265" w:lineRule="auto"/>
        <w:rPr>
          <w:sz w:val="20"/>
          <w:szCs w:val="20"/>
          <w:color w:val="auto"/>
        </w:rPr>
      </w:pPr>
      <w:r>
        <w:rPr>
          <w:rFonts w:ascii="Times New Roman" w:cs="Times New Roman" w:eastAsia="Times New Roman" w:hAnsi="Times New Roman"/>
          <w:sz w:val="18"/>
          <w:szCs w:val="18"/>
          <w:color w:val="auto"/>
        </w:rPr>
        <w:t>Inventories consist primarily of telecommunications systems and parts and are recorded at the lower of average cost or net realizable value. We evaluate the need for write-downs associated with obsolete, slow-moving and nonsalable inventory by reviewing net realizable inventory values on a periodic basis.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Inventories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Work-in-process component parts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34,107</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34,692</w:t>
            </w:r>
          </w:p>
        </w:tc>
        <w:tc>
          <w:tcPr>
            <w:tcW w:w="80" w:type="dxa"/>
            <w:vAlign w:val="bottom"/>
            <w:shd w:val="clear" w:color="auto" w:fill="CFF0FC"/>
          </w:tcPr>
          <w:p>
            <w:pPr>
              <w:spacing w:after="0"/>
              <w:rPr>
                <w:sz w:val="21"/>
                <w:szCs w:val="21"/>
                <w:color w:val="auto"/>
              </w:rPr>
            </w:pP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28,495</w:t>
            </w:r>
          </w:p>
        </w:tc>
        <w:tc>
          <w:tcPr>
            <w:tcW w:w="80" w:type="dxa"/>
            <w:vAlign w:val="bottom"/>
          </w:tcPr>
          <w:p>
            <w:pPr>
              <w:spacing w:after="0"/>
              <w:rPr>
                <w:sz w:val="20"/>
                <w:szCs w:val="20"/>
                <w:color w:val="auto"/>
              </w:rPr>
            </w:pPr>
          </w:p>
        </w:tc>
      </w:tr>
      <w:tr>
        <w:trPr>
          <w:trHeight w:val="280"/>
        </w:trPr>
        <w:tc>
          <w:tcPr>
            <w:tcW w:w="614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Total inventory</w:t>
            </w:r>
            <w:r>
              <w:rPr>
                <w:rFonts w:ascii="Times New Roman" w:cs="Times New Roman" w:eastAsia="Times New Roman" w:hAnsi="Times New Roman"/>
                <w:sz w:val="24"/>
                <w:szCs w:val="24"/>
                <w:i w:val="1"/>
                <w:iCs w:val="1"/>
                <w:color w:val="auto"/>
                <w:vertAlign w:val="superscript"/>
              </w:rPr>
              <w:t>(1)</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69,058</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-24765</wp:posOffset>
            </wp:positionV>
            <wp:extent cx="596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-7620</wp:posOffset>
            </wp:positionV>
            <wp:extent cx="596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4" w:right="419" w:bottom="1440" w:gutter="0" w:footer="0" w:header="0"/>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 and receivable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FCC reimbursement receivable</w:t>
            </w:r>
            <w:r>
              <w:rPr>
                <w:rFonts w:ascii="Times New Roman" w:cs="Times New Roman" w:eastAsia="Times New Roman" w:hAnsi="Times New Roman"/>
                <w:sz w:val="24"/>
                <w:szCs w:val="24"/>
                <w:i w:val="1"/>
                <w:iCs w:val="1"/>
                <w:color w:val="auto"/>
                <w:vertAlign w:val="superscript"/>
              </w:rPr>
              <w:t>(1)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line="243" w:lineRule="exact"/>
              <w:rPr>
                <w:sz w:val="20"/>
                <w:szCs w:val="20"/>
                <w:color w:val="auto"/>
              </w:rPr>
            </w:pPr>
            <w:r>
              <w:rPr>
                <w:rFonts w:ascii="Times New Roman" w:cs="Times New Roman" w:eastAsia="Times New Roman" w:hAnsi="Times New Roman"/>
                <w:sz w:val="18"/>
                <w:szCs w:val="18"/>
                <w:color w:val="auto"/>
              </w:rPr>
              <w:t>Contract assets</w:t>
            </w:r>
            <w:r>
              <w:rPr>
                <w:rFonts w:ascii="Times New Roman" w:cs="Times New Roman" w:eastAsia="Times New Roman" w:hAnsi="Times New Roman"/>
                <w:sz w:val="24"/>
                <w:szCs w:val="24"/>
                <w:i w:val="1"/>
                <w:iCs w:val="1"/>
                <w:color w:val="auto"/>
                <w:vertAlign w:val="superscript"/>
              </w:rPr>
              <w:t>(1)</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inventories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13,092</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60,676</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64,138</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equipment, furniture, fixtures and other</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19,153</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16,132</w:t>
            </w:r>
          </w:p>
        </w:tc>
        <w:tc>
          <w:tcPr>
            <w:tcW w:w="8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spacing w:after="0" w:line="247" w:lineRule="exact"/>
              <w:rPr>
                <w:sz w:val="20"/>
                <w:szCs w:val="20"/>
                <w:color w:val="auto"/>
              </w:rPr>
            </w:pPr>
            <w:r>
              <w:rPr>
                <w:rFonts w:ascii="Times New Roman" w:cs="Times New Roman" w:eastAsia="Times New Roman" w:hAnsi="Times New Roman"/>
                <w:sz w:val="18"/>
                <w:szCs w:val="18"/>
                <w:color w:val="auto"/>
              </w:rPr>
              <w:t>Network equipment</w:t>
            </w:r>
            <w:r>
              <w:rPr>
                <w:rFonts w:ascii="Times New Roman" w:cs="Times New Roman" w:eastAsia="Times New Roman" w:hAnsi="Times New Roman"/>
                <w:sz w:val="24"/>
                <w:szCs w:val="24"/>
                <w:i w:val="1"/>
                <w:iCs w:val="1"/>
                <w:color w:val="auto"/>
                <w:vertAlign w:val="superscript"/>
              </w:rPr>
              <w:t>(1)</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186,394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222,626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219,461</w:t>
            </w:r>
          </w:p>
        </w:tc>
        <w:tc>
          <w:tcPr>
            <w:tcW w:w="80" w:type="dxa"/>
            <w:vAlign w:val="bottom"/>
          </w:tcPr>
          <w:p>
            <w:pPr>
              <w:spacing w:after="0"/>
              <w:rPr>
                <w:sz w:val="20"/>
                <w:szCs w:val="20"/>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(127,940 )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(121,332 )</w:t>
            </w:r>
          </w:p>
        </w:tc>
      </w:tr>
      <w:tr>
        <w:trPr>
          <w:trHeight w:val="236"/>
        </w:trPr>
        <w:tc>
          <w:tcPr>
            <w:tcW w:w="61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94,686</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80" w:type="dxa"/>
            <w:vAlign w:val="bottom"/>
            <w:tcBorders>
              <w:top w:val="single" w:sz="8" w:color="CFF0FC"/>
            </w:tcBorders>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-504825</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non-current assets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80" w:type="dxa"/>
            <w:vAlign w:val="bottom"/>
            <w:shd w:val="clear" w:color="auto" w:fill="CFF0FC"/>
          </w:tcPr>
          <w:p>
            <w:pPr>
              <w:spacing w:after="0"/>
              <w:rPr>
                <w:sz w:val="21"/>
                <w:szCs w:val="21"/>
                <w:color w:val="auto"/>
              </w:rPr>
            </w:pPr>
          </w:p>
        </w:tc>
      </w:tr>
      <w:tr>
        <w:trPr>
          <w:trHeight w:val="243"/>
        </w:trPr>
        <w:tc>
          <w:tcPr>
            <w:tcW w:w="618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Contract assets, net of allowances of $664 and $591, respectively</w:t>
            </w:r>
            <w:r>
              <w:rPr>
                <w:rFonts w:ascii="Times New Roman" w:cs="Times New Roman" w:eastAsia="Times New Roman" w:hAnsi="Times New Roman"/>
                <w:sz w:val="24"/>
                <w:szCs w:val="24"/>
                <w:i w:val="1"/>
                <w:iCs w:val="1"/>
                <w:color w:val="auto"/>
                <w:vertAlign w:val="superscript"/>
              </w:rPr>
              <w:t>(1)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 deferred financing costs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80" w:type="dxa"/>
            <w:vAlign w:val="bottom"/>
          </w:tcPr>
          <w:p>
            <w:pPr>
              <w:spacing w:after="0"/>
              <w:rPr>
                <w:sz w:val="20"/>
                <w:szCs w:val="20"/>
                <w:color w:val="auto"/>
              </w:rPr>
            </w:pPr>
          </w:p>
        </w:tc>
      </w:tr>
      <w:tr>
        <w:trPr>
          <w:trHeight w:val="25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25,979</w:t>
            </w:r>
          </w:p>
        </w:tc>
        <w:tc>
          <w:tcPr>
            <w:tcW w:w="80" w:type="dxa"/>
            <w:vAlign w:val="bottom"/>
            <w:shd w:val="clear" w:color="auto" w:fill="CFF0FC"/>
          </w:tcPr>
          <w:p>
            <w:pPr>
              <w:spacing w:after="0"/>
              <w:rPr>
                <w:sz w:val="22"/>
                <w:szCs w:val="22"/>
                <w:color w:val="auto"/>
              </w:rPr>
            </w:pP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See Note 4, “Government Assistance,” for additional information.</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credit reserve</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Network equipment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Gogo Galileo development costs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80" w:type="dxa"/>
            <w:vAlign w:val="bottom"/>
          </w:tcPr>
          <w:p>
            <w:pPr>
              <w:spacing w:after="0"/>
              <w:rPr>
                <w:sz w:val="20"/>
                <w:szCs w:val="20"/>
                <w:color w:val="auto"/>
              </w:rPr>
            </w:pP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shd w:val="clear" w:color="auto" w:fill="CFF0FC"/>
          </w:tcPr>
          <w:p>
            <w:pPr>
              <w:spacing w:after="0"/>
              <w:rPr>
                <w:sz w:val="21"/>
                <w:szCs w:val="21"/>
                <w:color w:val="auto"/>
              </w:rPr>
            </w:pPr>
          </w:p>
        </w:tc>
      </w:t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0"/>
                <w:szCs w:val="20"/>
                <w:color w:val="auto"/>
              </w:rPr>
            </w:pP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52,982</w:t>
            </w:r>
          </w:p>
        </w:tc>
        <w:tc>
          <w:tcPr>
            <w:tcW w:w="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47,649</w:t>
            </w:r>
          </w:p>
        </w:tc>
        <w:tc>
          <w:tcPr>
            <w:tcW w:w="8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-187960</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Expenditures for research and development are charged to expense as incurred and totaled $10.3 million and $19.5 million, respectively, during the three- and six-month periods ended June 30, 2024 and $9.2 million and $17.1 million, respectively, for the prior-year periods. Research and development costs are reported as Engineering, design and development expenses in our Unaudited Condensed Consolidated Statements of Operations.</w:t>
      </w:r>
    </w:p>
    <w:p>
      <w:pPr>
        <w:sectPr>
          <w:pgSz w:w="11900" w:h="16838" w:orient="portrait"/>
          <w:cols w:equalWidth="0" w:num="1">
            <w:col w:w="11100"/>
          </w:cols>
          <w:pgMar w:left="320" w:top="764" w:right="479" w:bottom="1440" w:gutter="0" w:footer="0" w:header="0"/>
        </w:sectPr>
      </w:pP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4" w:right="47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intangible assets are comprised of both indefinite-lived and finite-lived intangible assets. Intangible assets with indefinite lives are not amortized; rather, they are reviewed for impairment at least annually or whenever events or circumstances indicate the carrying value of the asset may not be recoverable. We perform our annual impairment test of our indefinite-lived intangible assets during the fourth quarter of each fiscal year, and the results from the test performed in the fourth quarter of 2023 indicated no impairment. We also reevaluate the useful life of indefinite-lived intangible assets each reporting period to determine whether events and circumstances continue to support an indefinite useful life.</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both June 30, 2024 and December 31, 2023, our goodwill balance was $0.6 million.</w:t>
      </w:r>
    </w:p>
    <w:p>
      <w:pPr>
        <w:spacing w:after="0" w:line="11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intangible assets, other than goodwill, as of June 30, 2024 and December 31, 2023 were as follows (</w:t>
      </w:r>
      <w:r>
        <w:rPr>
          <w:rFonts w:ascii="Times New Roman" w:cs="Times New Roman" w:eastAsia="Times New Roman" w:hAnsi="Times New Roman"/>
          <w:sz w:val="18"/>
          <w:szCs w:val="18"/>
          <w:i w:val="1"/>
          <w:iCs w:val="1"/>
          <w:color w:val="auto"/>
        </w:rPr>
        <w:t>in thousands, except for weighted average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remaining useful life</w:t>
      </w:r>
      <w:r>
        <w:rPr>
          <w:rFonts w:ascii="Times New Roman" w:cs="Times New Roman" w:eastAsia="Times New Roman" w:hAnsi="Times New Roman"/>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05"/>
        </w:trPr>
        <w:tc>
          <w:tcPr>
            <w:tcW w:w="3400" w:type="dxa"/>
            <w:vAlign w:val="bottom"/>
          </w:tcPr>
          <w:p>
            <w:pPr>
              <w:spacing w:after="0"/>
              <w:rPr>
                <w:sz w:val="17"/>
                <w:szCs w:val="17"/>
                <w:color w:val="auto"/>
              </w:rPr>
            </w:pPr>
          </w:p>
        </w:tc>
        <w:tc>
          <w:tcPr>
            <w:tcW w:w="1240" w:type="dxa"/>
            <w:vAlign w:val="bottom"/>
            <w:gridSpan w:val="2"/>
          </w:tcPr>
          <w:p>
            <w:pPr>
              <w:jc w:val="center"/>
              <w:ind w:right="120"/>
              <w:spacing w:after="0" w:line="20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4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45"/>
        </w:trPr>
        <w:tc>
          <w:tcPr>
            <w:tcW w:w="34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43"/>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intangible assets:</w:t>
            </w: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$(46,250)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$68,155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$22,245</w:t>
            </w: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customer relationships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OEM and dealer relationships</w:t>
            </w: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4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amortized intangible assets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(61,055)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83,459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22,744</w:t>
            </w:r>
          </w:p>
        </w:tc>
      </w:tr>
      <w:tr>
        <w:trPr>
          <w:trHeight w:val="247"/>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Unamortized intangible assets: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38"/>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FCC Licenses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32,283</w:t>
            </w:r>
          </w:p>
        </w:tc>
      </w:tr>
      <w:tr>
        <w:trPr>
          <w:trHeight w:val="278"/>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$121,487</w:t>
            </w:r>
          </w:p>
        </w:tc>
        <w:tc>
          <w:tcPr>
            <w:tcW w:w="1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$(61,055)</w:t>
            </w:r>
          </w:p>
        </w:tc>
        <w:tc>
          <w:tcPr>
            <w:tcW w:w="10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$60,432</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$115,742</w:t>
            </w:r>
          </w:p>
        </w:tc>
        <w:tc>
          <w:tcPr>
            <w:tcW w:w="1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$(60,715)</w:t>
            </w:r>
          </w:p>
        </w:tc>
        <w:tc>
          <w:tcPr>
            <w:tcW w:w="1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-658495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-658495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-658495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-658495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-658495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-24765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-7620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Amortization expense was $0.2 million and $0.4 million, respectively, for the three- and six-month periods ended June 30, 2024 and $0.6 million and $1.2 million, respectively, for the prior-year periods.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the remainder of 2024, each of the next four years and thereafter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5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36"/>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July 1 to December 31)</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$4,035</w:t>
            </w:r>
          </w:p>
        </w:tc>
      </w:tr>
      <w:tr>
        <w:trPr>
          <w:trHeight w:val="23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47"/>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r>
    </w:tbl>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 estimated amount as a result of future investments and other factors.</w:t>
      </w:r>
    </w:p>
    <w:p>
      <w:pPr>
        <w:spacing w:after="0" w:line="22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Other Liabilities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as of June 30, 2024 and December 31, 2023 was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6"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60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601,375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604,797</w:t>
            </w:r>
          </w:p>
        </w:tc>
        <w:tc>
          <w:tcPr>
            <w:tcW w:w="80" w:type="dxa"/>
            <w:vAlign w:val="bottom"/>
            <w:shd w:val="clear" w:color="auto" w:fill="CFF0FC"/>
          </w:tcPr>
          <w:p>
            <w:pPr>
              <w:spacing w:after="0"/>
              <w:rPr>
                <w:sz w:val="21"/>
                <w:szCs w:val="21"/>
                <w:color w:val="auto"/>
              </w:rPr>
            </w:pPr>
          </w:p>
        </w:tc>
      </w:tr>
      <w:tr>
        <w:trPr>
          <w:trHeight w:val="238"/>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(9,065 )</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(10,046 )</w:t>
            </w:r>
          </w:p>
        </w:tc>
      </w:tr>
      <w:tr>
        <w:trPr>
          <w:trHeight w:val="243"/>
        </w:trPr>
        <w:tc>
          <w:tcPr>
            <w:tcW w:w="6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(7,250 )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(7,250 )</w:t>
            </w:r>
          </w:p>
        </w:tc>
      </w:tr>
      <w:tr>
        <w:trPr>
          <w:trHeight w:val="236"/>
        </w:trPr>
        <w:tc>
          <w:tcPr>
            <w:tcW w:w="6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585,060</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587,501</w:t>
            </w:r>
          </w:p>
        </w:tc>
        <w:tc>
          <w:tcPr>
            <w:tcW w:w="80" w:type="dxa"/>
            <w:vAlign w:val="bottom"/>
            <w:tcBorders>
              <w:top w:val="single" w:sz="8" w:color="CFF0FC"/>
            </w:tcBorders>
          </w:tcPr>
          <w:p>
            <w:pPr>
              <w:spacing w:after="0"/>
              <w:rPr>
                <w:sz w:val="20"/>
                <w:szCs w:val="20"/>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-187960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-187960</wp:posOffset>
            </wp:positionV>
            <wp:extent cx="514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Credit Agreement</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On April 30, 2021, Gogo and Gogo Intermediate Holdings LLC (“GIH”) (a wholly owned subsidiary of Gogo) entered into a credit agreement (the “Original 2021 Credit Agreement,” and, as it may be amended, supplemented or otherwise modified from time</w:t>
      </w:r>
    </w:p>
    <w:p>
      <w:pPr>
        <w:sectPr>
          <w:pgSz w:w="11900" w:h="16838" w:orient="portrait"/>
          <w:cols w:equalWidth="0" w:num="1">
            <w:col w:w="11240"/>
          </w:cols>
          <w:pgMar w:left="320" w:top="764"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to time, the “2021 Credit Agreement”) among Gogo, GIH, the lenders and issuing banks party thereto and Morgan Stanley Senior Funding, Inc., as administrative agent, which provides for (i) a term loan credit facility (the “Term Loan Facility”) in an aggregate principal amount of $725.0 million, issued with a discount of 0.5%, and (ii) a revolving credit facility (the “Revolving Facility” and together with the Term Loan Facility, the “Facilities”) of up to $100.0 million, which includes a letter of credit sub-facility.</w:t>
      </w:r>
    </w:p>
    <w:p>
      <w:pPr>
        <w:spacing w:after="0" w:line="74"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one percent of the aggregate initial principal amount thereof per annum, with the remaining balance payable upon final maturity of the Term Loan Facility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secured overnight financing rate as administered by the Federal Reserve Bank of New York (“SOFR”) (subject to a floor of 0.75%) plus an applicable margin of 3.75% and a credit spread adjustment recommended by the Alternative Reference Rates Committee of 0.11%, 0.26% or 0.43% per annum based on 1-month, 3-month or 6-month term SOFR, respectively or (ii) an alternate base rate plus an applicable margin of 2.75%.</w:t>
      </w:r>
    </w:p>
    <w:p>
      <w:pPr>
        <w:spacing w:after="0" w:line="7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June 30, 2024, the fee for unused commitments under the Revolving Facility was 0.25% and the applicable margin was 3.25%.</w:t>
      </w:r>
    </w:p>
    <w:p>
      <w:pPr>
        <w:spacing w:after="0" w:line="7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 As a result, we wrote off $2.2 million of the deferred financing costs and unaccreted debt discount, which are included in Loss on extinguishment of debt in our Unaudited Condensed Consolidated Statements of Operations for the three- and six-month periods ended June 30, 2023.</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w:t>
      </w:r>
    </w:p>
    <w:p>
      <w:pPr>
        <w:spacing w:after="0" w:line="117" w:lineRule="exact"/>
        <w:rPr>
          <w:sz w:val="20"/>
          <w:szCs w:val="20"/>
          <w:color w:val="auto"/>
        </w:rPr>
      </w:pPr>
    </w:p>
    <w:p>
      <w:pPr>
        <w:ind w:left="1020" w:right="38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asset sales, insurance recovery and condemnation events, subject to reduction to 50% and 0% if specified senior secured first lien net leverage ratio targets are met;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certain debt offerings; and</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(as defined in the 2021 Credit Agreement), subject to reduction to 25% and 0% if specified senior secured first lien net leverage ratio targets are met.</w:t>
      </w:r>
    </w:p>
    <w:p>
      <w:pPr>
        <w:spacing w:after="0" w:line="5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2021 Credit Agreement contains customary representations and warranties and customary affirmative and negative covenants. The negative covenants include restrictions on, among other things: incurrence of indebtedness or issuance of disqualified equity interests; incurrence or existence of liens; consolidations or mergers; activities of Gogo and any subsidiary holding a license issued by the FCC; investments, loans, advances, guarantees or acquisitions; asset sales; dividends or other distributions on equity; purchase, redemption or retirement of capital stock; payment or redemption of certain junior indebtedness; entry into other agreements that restrict the ability to incur liens securing the Facilities; and amendment of organizational documents; in each case subject to customary exceptions.</w:t>
      </w:r>
    </w:p>
    <w:p>
      <w:pPr>
        <w:spacing w:after="0" w:line="78"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The Revolving Facility is available for working capital and general corporate purposes of GIH and its subsidiaries and was undrawn as of June 30, 2024 and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As of June 30, 2024 and December 31, 2023, the outstanding principal amount of the Term Loan Facility was $603.3 million and $606.9 million, respectively, the unaccreted debt discount was $1.9 million and $2.1 million, respectively, and the net carrying amount was $601.4 million and $604.8 million, respectively.</w:t>
      </w:r>
    </w:p>
    <w:p>
      <w:pPr>
        <w:spacing w:after="0" w:line="6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paid approximately $19.7 million of loan origination and financing costs related to the Facilities which are being accounted for as deferred financing costs on our Unaudited Condensed Consolidated Balance Sheets and are amortized over the terms of the Facilities. Total amortization expense was $0.6 million and $1.2 million, respectively, for the three- and six-month periods ended June 30, 2024 and $0.6 million and $1.3 million, respectively, for the prior-year periods and is included in interest expense in our Unaudited Condensed Consolidated Statements of Operations. As of June 30, 2024 and December 31, 2023, the balance of unamortized deferred financing costs related to the Facilities was $9.9 million and $11.1 million, respectively.</w:t>
      </w:r>
    </w:p>
    <w:p>
      <w:pPr>
        <w:spacing w:after="0" w:line="74"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April 30, 2021, Gogo, GIH, and each direct and indirect wholly-owned U.S. restricted subsidiary of GIH (Gogo and such subsidiaries collectively, the “Guarantors”) entered into a guarantee agreement (the “Guarantee Agreement”) in favor of Morgan Stanley Senior Funding, Inc., as collateral agent (the “Collateral Agent”), whereby GIH and the Guarantors guarantee the obligations under the Facilities and certain other secured obligations as set forth in the Guarantee Agreement, and GIH and the Guarantors entered into a collateral agreement (the “Collateral Agreement”), in favor of the Collateral Agent, whereby GIH and the Guarantors grant a security interest in substantially all of their respective tangible and intangible assets (including the equity interests in each direct material wholly-owned U.S. restricted subsidiary owned by GIH or any Guarantor, and 65% of the equity interests in any non-U.S. subsidiary held directly by GIH or any Guarantor), subject to certain exceptions, to secure the obligations under the Facilities and certain other secured obligations as set forth in the Collateral Agreement.</w:t>
      </w:r>
    </w:p>
    <w:p>
      <w:pPr>
        <w:spacing w:after="0" w:line="185"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jc w:val="both"/>
        <w:ind w:right="380" w:firstLine="509"/>
        <w:spacing w:after="0" w:line="265" w:lineRule="auto"/>
        <w:rPr>
          <w:sz w:val="20"/>
          <w:szCs w:val="20"/>
          <w:color w:val="auto"/>
        </w:rPr>
      </w:pPr>
      <w:r>
        <w:rPr>
          <w:rFonts w:ascii="Times New Roman" w:cs="Times New Roman" w:eastAsia="Times New Roman" w:hAnsi="Times New Roman"/>
          <w:sz w:val="18"/>
          <w:szCs w:val="18"/>
          <w:color w:val="auto"/>
        </w:rPr>
        <w:t>We are exposed to interest rate risk on our variable rate borrowings. We currently use interest rate caps to manage our exposure to interest rate changes, and have designated these interest rate caps as cash flow hedges for accounting purposes. Accordingly, the earnings impact of the derivatives designated as cash flow hedges is recorded upon the recognition of the variable interest payments related to the hedged debt.</w:t>
      </w:r>
    </w:p>
    <w:p>
      <w:pPr>
        <w:spacing w:after="0" w:line="6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The cost of the interest rate caps will be amortized to interest expense using the caplet method, from the effective date through termination date. We receive payments in the amount calculated pursuant to the caps for any period in which the daily compounded SOFR rate plus a credit spread adjustment recommended by the Alternative Reference Rate Committee of 0.26% increases beyond the applicable strike rate. The notional amounts of the interest rate caps periodically decrease over the life of the caps.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notional amounts, strike rates and end dates of the cap agreements are as follows </w:t>
      </w:r>
      <w:r>
        <w:rPr>
          <w:rFonts w:ascii="Times New Roman" w:cs="Times New Roman" w:eastAsia="Times New Roman" w:hAnsi="Times New Roman"/>
          <w:sz w:val="18"/>
          <w:szCs w:val="18"/>
          <w:i w:val="1"/>
          <w:iCs w:val="1"/>
          <w:color w:val="auto"/>
        </w:rPr>
        <w:t>(notional amounts 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80" w:type="dxa"/>
            <w:vAlign w:val="bottom"/>
          </w:tcPr>
          <w:p>
            <w:pPr>
              <w:spacing w:after="0"/>
              <w:rPr>
                <w:sz w:val="21"/>
                <w:szCs w:val="21"/>
                <w:color w:val="auto"/>
              </w:rPr>
            </w:pP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200" w:type="dxa"/>
            <w:vAlign w:val="bottom"/>
          </w:tcPr>
          <w:p>
            <w:pPr>
              <w:spacing w:after="0"/>
              <w:rPr>
                <w:sz w:val="21"/>
                <w:szCs w:val="21"/>
                <w:color w:val="auto"/>
              </w:rPr>
            </w:pPr>
          </w:p>
        </w:tc>
        <w:tc>
          <w:tcPr>
            <w:tcW w:w="1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Strike Rate</w:t>
            </w:r>
          </w:p>
        </w:tc>
        <w:tc>
          <w:tcPr>
            <w:tcW w:w="160" w:type="dxa"/>
            <w:vAlign w:val="bottom"/>
          </w:tcPr>
          <w:p>
            <w:pPr>
              <w:spacing w:after="0"/>
              <w:rPr>
                <w:sz w:val="21"/>
                <w:szCs w:val="21"/>
                <w:color w:val="auto"/>
              </w:rPr>
            </w:pPr>
          </w:p>
        </w:tc>
      </w:tr>
      <w:tr>
        <w:trPr>
          <w:trHeight w:val="234"/>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7/31/2021</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7/31/2023</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7/31/2024</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43"/>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7/31/2026</w:t>
            </w:r>
          </w:p>
        </w:tc>
        <w:tc>
          <w:tcPr>
            <w:tcW w:w="1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7/30/2027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-761365</wp:posOffset>
            </wp:positionV>
            <wp:extent cx="4272915"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-453390</wp:posOffset>
            </wp:positionV>
            <wp:extent cx="4272915"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-144780</wp:posOffset>
            </wp:positionV>
            <wp:extent cx="4272915"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72915" cy="154305"/>
                    </a:xfrm>
                    <a:prstGeom prst="rect">
                      <a:avLst/>
                    </a:prstGeom>
                    <a:noFill/>
                  </pic:spPr>
                </pic:pic>
              </a:graphicData>
            </a:graphic>
          </wp:anchor>
        </w:drawing>
      </w:r>
    </w:p>
    <w:p>
      <w:pPr>
        <w:spacing w:after="0" w:line="19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record the effective portion of changes in the fair value of our cash flow hedges to other comprehensive income (loss), net of tax, and subsequently reclassify these amounts into earnings in the period during which the hedged transaction is recognized. The amounts included in accumulated other comprehensive income (loss) will be reclassified to interest expense in the event the hedges are no longer considered effective,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No gains or losses of our cash flow hedges were considered to be ineffective and reclassified from other comprehensive income (loss) to earnings for the three- and six-month periods ended June 30, 2024. For the three- and six-month periods ended June 30, 2023, approximately $0.2 million in net unrealized gains from our cash flow hedges were considered to be ineffective and reclassified from other comprehensive income (loss) to earnings. The ineffective portion was the result of a voluntary partial de-designation of the hedge relationship related to a prepayment of our existing variable-rate debt discussed in Note 8, “Long-Term Debt and Other Liabilities.” We estimate that approximately $2.5 million currently recorded in accumulated other comprehensive income (loss) will be recognized in earnings over the next 12 months. We assess the effectiveness of the hedges on an ongoing basis, and the remaining outstanding caps are still considered to be highly effective, and remain designated as a cash flow hedge. Cash flows from interest rate caps are classified in the Unaudited Condensed Consolidated Statements of Cash Flows as investing activities.</w:t>
      </w:r>
    </w:p>
    <w:p>
      <w:pPr>
        <w:spacing w:after="0" w:line="8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For the three-month period ended June 30, 2024, we recorded a decrease in fair value on the interest rate caps of $3.5 million, net of tax of $0.9 million, and for the six-month period ended June 30, 2024, we recorded a decrease in fair value on the interest rate caps of $4.9 million, net of tax of $1.2 million. For the three-month period ended June 30, 2023, we recorded an increase in fair value</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the interest rate caps of $1.8 million, net of tax of $0.7 million and for the six-month period ended June 30, 2023, we recorded a decrease in fair value on the interest rate caps of $5.5 million, net of tax of $1.7 million. Increases and decreases in fair value on interest rate caps above exclude amortization of the purchase price paid for the interest rate caps.</w:t>
      </w:r>
    </w:p>
    <w:p>
      <w:pPr>
        <w:spacing w:after="0" w:line="6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When derivatives are used, we are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fair value of our interest rate derivatives included in the Unaudited Condensed Consolidated Balance Sheets for the periods presented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caps</w:t>
            </w:r>
          </w:p>
        </w:tc>
        <w:tc>
          <w:tcPr>
            <w:tcW w:w="40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100" w:type="dxa"/>
            <w:vAlign w:val="bottom"/>
            <w:shd w:val="clear" w:color="auto" w:fill="CFF0FC"/>
          </w:tcPr>
          <w:p>
            <w:pPr>
              <w:spacing w:after="0"/>
              <w:rPr>
                <w:sz w:val="21"/>
                <w:szCs w:val="2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interest rate caps</w:t>
            </w:r>
          </w:p>
        </w:tc>
        <w:tc>
          <w:tcPr>
            <w:tcW w:w="4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20"/>
                <w:szCs w:val="20"/>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19"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Our derivative assets and liabilities consist principally of interest rate caps, which are carried at fair value based on significant observable inputs (Level 2 inputs). Derivatives entered into by us are typically executed over-the-counter and are valued using discounted cash flows along with fair value models that primarily use market observable inputs. These models take into account a variety of factors including, where applicable, maturity, interest rate yield curves, and counterparty credit risks.</w:t>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Costs</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is a summary of our interest costs for the three- and six-month periods ended June 30, 2024 and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300" w:type="dxa"/>
            <w:vAlign w:val="bottom"/>
          </w:tcPr>
          <w:p>
            <w:pPr>
              <w:spacing w:after="0"/>
              <w:rPr>
                <w:sz w:val="18"/>
                <w:szCs w:val="18"/>
                <w:color w:val="auto"/>
              </w:rPr>
            </w:pPr>
          </w:p>
        </w:tc>
        <w:tc>
          <w:tcPr>
            <w:tcW w:w="27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45"/>
        </w:trPr>
        <w:tc>
          <w:tcPr>
            <w:tcW w:w="49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4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costs charged to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6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28,709</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the purchase price of interest rate caps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rate cap benefit</w:t>
            </w:r>
          </w:p>
        </w:tc>
        <w:tc>
          <w:tcPr>
            <w:tcW w:w="3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(6,464 )</w:t>
            </w:r>
          </w:p>
        </w:tc>
        <w:tc>
          <w:tcPr>
            <w:tcW w:w="4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(7,440 )</w:t>
            </w:r>
          </w:p>
        </w:tc>
        <w:tc>
          <w:tcPr>
            <w:tcW w:w="3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(12,869 )</w:t>
            </w:r>
          </w:p>
        </w:tc>
        <w:tc>
          <w:tcPr>
            <w:tcW w:w="4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(13,833 )</w:t>
            </w:r>
          </w:p>
        </w:tc>
      </w:tr>
      <w:tr>
        <w:trPr>
          <w:trHeight w:val="243"/>
        </w:trPr>
        <w:tc>
          <w:tcPr>
            <w:tcW w:w="4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Accretion of debt discount</w:t>
            </w:r>
          </w:p>
        </w:tc>
        <w:tc>
          <w:tcPr>
            <w:tcW w:w="3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property and equipment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costs capitalized to software</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0"/>
                <w:szCs w:val="20"/>
                <w:color w:val="auto"/>
              </w:rPr>
            </w:pP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interest costs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2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18,275</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-658495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-658495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-658495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-24765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-7620</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120"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three-tier fair value hierarchy has been established which prioritizes the inputs used in measuring fair value. These tiers include:</w:t>
      </w:r>
    </w:p>
    <w:p>
      <w:pPr>
        <w:spacing w:after="0" w:line="114"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defined as observable inputs such as quoted prices for identical assets or liabilities in active markets;</w:t>
      </w:r>
    </w:p>
    <w:p>
      <w:pPr>
        <w:spacing w:after="0" w:line="116" w:lineRule="exact"/>
        <w:rPr>
          <w:rFonts w:ascii="Times New Roman" w:cs="Times New Roman" w:eastAsia="Times New Roman" w:hAnsi="Times New Roman"/>
          <w:sz w:val="18"/>
          <w:szCs w:val="18"/>
          <w:color w:val="auto"/>
        </w:rPr>
      </w:pPr>
    </w:p>
    <w:p>
      <w:pPr>
        <w:ind w:left="1020" w:right="60" w:hanging="503"/>
        <w:spacing w:after="0" w:line="267"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defined as observable inputs other than Level 1 inputs such as quoted prices for similar assets or liabilities,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inputs that are observable or can be corroborated by observable market data for substantially the full term of the assets or liabilities; and</w:t>
      </w:r>
    </w:p>
    <w:p>
      <w:pPr>
        <w:spacing w:after="0" w:line="64" w:lineRule="exact"/>
        <w:rPr>
          <w:rFonts w:ascii="Times New Roman" w:cs="Times New Roman" w:eastAsia="Times New Roman" w:hAnsi="Times New Roman"/>
          <w:sz w:val="18"/>
          <w:szCs w:val="18"/>
          <w:color w:val="auto"/>
        </w:rPr>
      </w:pPr>
    </w:p>
    <w:p>
      <w:pPr>
        <w:ind w:left="500" w:right="60" w:firstLine="17"/>
        <w:spacing w:after="0" w:line="409" w:lineRule="auto"/>
        <w:tabs>
          <w:tab w:leader="none" w:pos="102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defined as unobservable inputs in which little or no market data exists, therefore requiring an entity to develop its own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 to Note 9, “Derivative Instruments and Hedging Activities,” for fair value information relating to our interest rate caps.</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Investment in Convertible Note:</w:t>
      </w:r>
    </w:p>
    <w:p>
      <w:pPr>
        <w:spacing w:after="0" w:line="11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February 26, 2024, Gogo invested $5 million in a convertible note offering (“Investment in Convertible Note”). The Investment in Convertible Note accrues interest at 5% per annum, payable upon maturity of the note or upon conversion, and matures two years after the date of issuance. We have elected to measure our Investment in Convertible Note using the fair value option and record changes in fair value, including accrued interest, in Other (income) expense, net on the Unaudited Condensed Consolidated Statements of Operations. The Company elected the fair value option for the Investment in Convertible Note to eliminate complexities of applying certain accounting models.</w:t>
      </w:r>
    </w:p>
    <w:p>
      <w:pPr>
        <w:spacing w:after="0" w:line="7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fair value of the Investment in Convertible Note is measured using Level 3 (unobservable) inputs. The Company, with the assistance of a third-party valuation specialist, determined the fair value using a binomial lattice model. The significant assumptions used in the model include the yield, equity volatility, outstanding principal, remaining term, stated interest rate, risk-free interest rate and the current publicly available stock price. The yield is estimated using similar security yields for companies with similar credit ratings. Equity volatility is estimated based on observed equity volatility for similar companies. The outstanding principal, remaining term and stated interest rate are all determined based on contractually defined terms and the risk-free interest rate is determined by reference to the U.S. Treasury yield curve in effect at the time of measurement for time periods approximately equal to the remaining time to maturity.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reconciliation of beginning and ending balances of the Investment in Convertible Note as of June 30,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69"/>
        </w:trPr>
        <w:tc>
          <w:tcPr>
            <w:tcW w:w="45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14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r>
      <w:tr>
        <w:trPr>
          <w:trHeight w:val="243"/>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(14,694 )</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(1,562 )</w:t>
            </w:r>
          </w:p>
        </w:tc>
      </w:tr>
      <w:tr>
        <w:trPr>
          <w:trHeight w:val="236"/>
        </w:trPr>
        <w:tc>
          <w:tcPr>
            <w:tcW w:w="4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80" w:type="dxa"/>
            <w:vAlign w:val="bottom"/>
            <w:tcBorders>
              <w:top w:val="single" w:sz="8" w:color="CFF0FC"/>
            </w:tcBorders>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-187960</wp:posOffset>
            </wp:positionV>
            <wp:extent cx="514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June 30, 2024 and December 31, 2023, our only financial asset and liability disclosed but not measured at fair value is the Term Loan Facility, which is reflected on the Unaudited Condensed Consolidated Balance Sheets at cost. The fair value measurement is classified as Level 2 within the fair value hierarchy since it is based on quoted market prices of our instrument in markets that are not active. We estimated the fair value of the Term Loan Facility by calculating the upfront cash payment a market participant would require to assume this obligation. The upfront cash payment used in the calculation of fair value on our June 30, 2024 Unaudited Condensed Consolidated Balance Sheets, excluding any issuance costs, is the amount that a market participant would be willing to lend at such date to an entity with a credit rating similar to ours and that would allow such an entity to achieve sufficient cash inflows to cover the scheduled cash outflows under the Term Loan Facility.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fair value and carrying value of long-term debt as of June 30, 2024 and December 31,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8"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5"/>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00" w:type="dxa"/>
            <w:vAlign w:val="bottom"/>
          </w:tcPr>
          <w:p>
            <w:pPr>
              <w:spacing w:after="0"/>
              <w:rPr>
                <w:sz w:val="20"/>
                <w:szCs w:val="20"/>
                <w:color w:val="auto"/>
              </w:rPr>
            </w:pPr>
          </w:p>
        </w:tc>
        <w:tc>
          <w:tcPr>
            <w:tcW w:w="23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0"/>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2"/>
              </w:rPr>
              <w:t xml:space="preserve">Fair Value </w:t>
            </w:r>
            <w:r>
              <w:rPr>
                <w:rFonts w:ascii="Times New Roman" w:cs="Times New Roman" w:eastAsia="Times New Roman" w:hAnsi="Times New Roman"/>
                <w:sz w:val="24"/>
                <w:szCs w:val="24"/>
                <w:b w:val="1"/>
                <w:bCs w:val="1"/>
                <w:i w:val="1"/>
                <w:iCs w:val="1"/>
                <w:color w:val="auto"/>
                <w:w w:val="92"/>
                <w:vertAlign w:val="superscript"/>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1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xml:space="preserve">Fair Value </w:t>
            </w:r>
            <w:r>
              <w:rPr>
                <w:rFonts w:ascii="Times New Roman" w:cs="Times New Roman" w:eastAsia="Times New Roman" w:hAnsi="Times New Roman"/>
                <w:sz w:val="24"/>
                <w:szCs w:val="24"/>
                <w:b w:val="1"/>
                <w:bCs w:val="1"/>
                <w:i w:val="1"/>
                <w:iCs w:val="1"/>
                <w:color w:val="auto"/>
                <w:vertAlign w:val="superscript"/>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52"/>
        </w:trPr>
        <w:tc>
          <w:tcPr>
            <w:tcW w:w="2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40" w:type="dxa"/>
            <w:vAlign w:val="bottom"/>
          </w:tcPr>
          <w:p>
            <w:pPr>
              <w:spacing w:after="0"/>
              <w:rPr>
                <w:sz w:val="21"/>
                <w:szCs w:val="21"/>
                <w:color w:val="auto"/>
              </w:rPr>
            </w:pPr>
          </w:p>
        </w:tc>
        <w:tc>
          <w:tcPr>
            <w:tcW w:w="118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602,000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80"/>
              <w:spacing w:after="0" w:line="236" w:lineRule="exact"/>
              <w:rPr>
                <w:sz w:val="20"/>
                <w:szCs w:val="20"/>
                <w:color w:val="auto"/>
              </w:rPr>
            </w:pPr>
            <w:r>
              <w:rPr>
                <w:rFonts w:ascii="Times New Roman" w:cs="Times New Roman" w:eastAsia="Times New Roman" w:hAnsi="Times New Roman"/>
                <w:sz w:val="18"/>
                <w:szCs w:val="18"/>
                <w:color w:val="auto"/>
              </w:rPr>
              <w:t xml:space="preserve">601,375 </w:t>
            </w:r>
            <w:r>
              <w:rPr>
                <w:rFonts w:ascii="Times New Roman" w:cs="Times New Roman" w:eastAsia="Times New Roman" w:hAnsi="Times New Roman"/>
                <w:sz w:val="24"/>
                <w:szCs w:val="24"/>
                <w:i w:val="1"/>
                <w:iCs w:val="1"/>
                <w:color w:val="auto"/>
                <w:vertAlign w:val="superscript"/>
              </w:rPr>
              <w:t>(2)</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line="236" w:lineRule="exact"/>
              <w:rPr>
                <w:sz w:val="20"/>
                <w:szCs w:val="20"/>
                <w:color w:val="auto"/>
              </w:rPr>
            </w:pPr>
            <w:r>
              <w:rPr>
                <w:rFonts w:ascii="Times New Roman" w:cs="Times New Roman" w:eastAsia="Times New Roman" w:hAnsi="Times New Roman"/>
                <w:sz w:val="18"/>
                <w:szCs w:val="18"/>
                <w:color w:val="auto"/>
              </w:rPr>
              <w:t xml:space="preserve">604,797 </w:t>
            </w:r>
            <w:r>
              <w:rPr>
                <w:rFonts w:ascii="Times New Roman" w:cs="Times New Roman" w:eastAsia="Times New Roman" w:hAnsi="Times New Roman"/>
                <w:sz w:val="24"/>
                <w:szCs w:val="24"/>
                <w:i w:val="1"/>
                <w:iCs w:val="1"/>
                <w:color w:val="auto"/>
                <w:vertAlign w:val="superscript"/>
              </w:rPr>
              <w:t>(2)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amounts are rounded to the nearest million.</w:t>
      </w:r>
    </w:p>
    <w:p>
      <w:pPr>
        <w:spacing w:after="0" w:line="27" w:lineRule="exact"/>
        <w:rPr>
          <w:rFonts w:ascii="Times New Roman" w:cs="Times New Roman" w:eastAsia="Times New Roman" w:hAnsi="Times New Roman"/>
          <w:sz w:val="18"/>
          <w:szCs w:val="18"/>
          <w:i w:val="1"/>
          <w:iCs w:val="1"/>
          <w:color w:val="auto"/>
        </w:rPr>
      </w:pPr>
    </w:p>
    <w:p>
      <w:pPr>
        <w:ind w:left="520" w:right="180" w:hanging="512"/>
        <w:spacing w:after="0" w:line="260" w:lineRule="auto"/>
        <w:tabs>
          <w:tab w:leader="none" w:pos="52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Carrying value of the Term Loan Facility reflects the unaccreted debt discount of $1.9 million and $2.1 million as of June 30, 2024 and December 31, 2023, respectively. See Note 8, “Long-Term Debt and Other Liabilities,” for further information.</w:t>
      </w:r>
    </w:p>
    <w:p>
      <w:pPr>
        <w:spacing w:after="0" w:line="17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and 401(k) Plan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 </w:t>
      </w:r>
      <w:r>
        <w:rPr>
          <w:rFonts w:ascii="Times New Roman" w:cs="Times New Roman" w:eastAsia="Times New Roman" w:hAnsi="Times New Roman"/>
          <w:sz w:val="18"/>
          <w:szCs w:val="18"/>
          <w:color w:val="auto"/>
        </w:rPr>
        <w:t>As of June 30, 2024, we maintained the 2024 Omnibus Equity Incentive Plan (the “2024 Plan”), which replaced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Amended and Restated 2016 Omnibus Incentive Plan (the “2016 Plan”). The 2024 Plan provides for the grant of both equity and cash awards, including non-qualified stock options, incentive stock options, stock appreciation rights, performance awards (shares and units), restricted stock, restricted stock units (“RSUs”), deferred share units and other stock-based awards and dividend equivalents to eligible employees, directors and consultants, as determined by the Compensation Committee of our Board of Directors. Concurrent with the effectiveness of the 2024 Plan on June 4, 2024, no further grants are being made under the 2016 Plan. The 2016 Plan remains in effect for all awards outstanding thereunder on or after June 4, 2024. See Note 12, “Stock-Based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Compensation and 401(k) Plan,” in our 2023 10-K for further information regarding the 2016 Plan. The majority of our equity grants are awarded on an annual basis.</w:t>
      </w:r>
    </w:p>
    <w:p>
      <w:pPr>
        <w:spacing w:after="0" w:line="55"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For the six-month period ended June 30, 2024, no options to purchase shares of common stock were granted, options to purchase 112,472 shares of common stock were exercised, no options to purchase shares of common stock were forfeited and 26,216 options to purchase shares of common stock expired.</w:t>
      </w:r>
    </w:p>
    <w:p>
      <w:pPr>
        <w:spacing w:after="0" w:line="69" w:lineRule="exact"/>
        <w:rPr>
          <w:sz w:val="20"/>
          <w:szCs w:val="20"/>
          <w:color w:val="auto"/>
        </w:rPr>
      </w:pPr>
    </w:p>
    <w:p>
      <w:pPr>
        <w:jc w:val="both"/>
        <w:ind w:right="220" w:firstLine="509"/>
        <w:spacing w:after="0" w:line="265" w:lineRule="auto"/>
        <w:rPr>
          <w:sz w:val="20"/>
          <w:szCs w:val="20"/>
          <w:color w:val="auto"/>
        </w:rPr>
      </w:pPr>
      <w:r>
        <w:rPr>
          <w:rFonts w:ascii="Times New Roman" w:cs="Times New Roman" w:eastAsia="Times New Roman" w:hAnsi="Times New Roman"/>
          <w:sz w:val="18"/>
          <w:szCs w:val="18"/>
          <w:color w:val="auto"/>
        </w:rPr>
        <w:t>For the six-month period ended June 30, 2024, 1,938,279 RSUs were granted, 1,104,670 RSUs vested and 130,062 RSUs were forfeited. The fair value of the RSUs granted during the six-month period ended June 30, 2024 was approximately $16.4 million, which will generally be recognized over a period of four years.</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For the six-month period ended June 30, 2024, 94,212 deferred stock units were granted, none vested and 169,683 were settled. The fair value of the deferred stock units granted during the six-month period ended June 30, 2024 was approximately $0.9 million, which will generally be recognized over a period of one year.</w:t>
      </w:r>
    </w:p>
    <w:p>
      <w:pPr>
        <w:spacing w:after="0" w:line="69" w:lineRule="exact"/>
        <w:rPr>
          <w:sz w:val="20"/>
          <w:szCs w:val="20"/>
          <w:color w:val="auto"/>
        </w:rPr>
      </w:pPr>
    </w:p>
    <w:p>
      <w:pPr>
        <w:ind w:right="680" w:firstLine="509"/>
        <w:spacing w:after="0" w:line="281" w:lineRule="auto"/>
        <w:rPr>
          <w:sz w:val="20"/>
          <w:szCs w:val="20"/>
          <w:color w:val="auto"/>
        </w:rPr>
      </w:pPr>
      <w:r>
        <w:rPr>
          <w:rFonts w:ascii="Times New Roman" w:cs="Times New Roman" w:eastAsia="Times New Roman" w:hAnsi="Times New Roman"/>
          <w:sz w:val="18"/>
          <w:szCs w:val="18"/>
          <w:color w:val="auto"/>
        </w:rPr>
        <w:t xml:space="preserve">The following is a summary of our stock-based compensation expense by operating expense line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service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-187960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ind w:right="38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401(k) Plan — </w:t>
      </w:r>
      <w:r>
        <w:rPr>
          <w:rFonts w:ascii="Times New Roman" w:cs="Times New Roman" w:eastAsia="Times New Roman" w:hAnsi="Times New Roman"/>
          <w:sz w:val="18"/>
          <w:szCs w:val="18"/>
          <w:color w:val="auto"/>
        </w:rPr>
        <w:t>Under our 401(k) plan, all employees who are eligible to participate are entitled to make tax-deferred contributions,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Revenue Service limitations. We match 100% of the employee’s first 4% of contributions made, subject to annual limitations. Our matching contributions were $0.6 million and $1.2 million, respectively, during the three- and six-month periods ended June 30, 2024, and $0.5 million and $1.0 million, respectively, for the prior-year periods.</w:t>
      </w:r>
    </w:p>
    <w:p>
      <w:pPr>
        <w:spacing w:after="0" w:line="17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effective income tax rates for the three- and six-month periods ended June 30, 2024 were 13.6% and 26.1%, respectively, compared to (245.3)% and (116.9)%, respectively, for the prior-year periods. For the three-month period ended June 30, 2024, our effective income tax rate was lower than the U.S. federal statutory rate of 21% primarily due to tax benefits related to domestic research and development tax credits, partially offset by stock-based compensation and state income taxes. For the six-month period ended June 30, 2024, our effective income tax rate was higher than the U.S. federal statutory rate of 21% primarily due to state income taxes, stock-based compensation and nondeductible officer’s compensation partially offset by tax benefits related to domestic research and development tax credits. For the three- and six-month periods ended June 30, 2023, our effective income tax rate was lower than the U.S. federal statutory rate of 21% primarily due to a partial release of the valuation allowance on our deferred income tax assets, partially offset by state income taxes.</w:t>
      </w:r>
    </w:p>
    <w:p>
      <w:pPr>
        <w:spacing w:after="0" w:line="81" w:lineRule="exact"/>
        <w:rPr>
          <w:sz w:val="20"/>
          <w:szCs w:val="20"/>
          <w:color w:val="auto"/>
        </w:rPr>
      </w:pPr>
    </w:p>
    <w:p>
      <w:pPr>
        <w:ind w:right="20" w:firstLine="509"/>
        <w:spacing w:after="0" w:line="276" w:lineRule="auto"/>
        <w:rPr>
          <w:sz w:val="20"/>
          <w:szCs w:val="20"/>
          <w:color w:val="auto"/>
        </w:rPr>
      </w:pPr>
      <w:r>
        <w:rPr>
          <w:rFonts w:ascii="Times New Roman" w:cs="Times New Roman" w:eastAsia="Times New Roman" w:hAnsi="Times New Roman"/>
          <w:sz w:val="17"/>
          <w:szCs w:val="17"/>
          <w:color w:val="auto"/>
        </w:rPr>
        <w:t>We regularly assess the need for a valuation allowance related to our deferred income tax assets to determine, based on the weight of all available positive and negative evidence, whether it is more likely than not that some or all of such deferred assets will not be realized. In our assessments, the Company considers recent financial operating results, the scheduled expiration of our net operating losses, future taxable income, the reversal of existing taxable differences, and tax planning strategies. The remaining valuation allowance is still required for deferred tax assets related to certain state credits, foreign net operating losses and capital loss carryforwards as it is more likely than not as of June 30, 2024 that these deferred tax assets will not be realized.</w:t>
      </w:r>
    </w:p>
    <w:p>
      <w:pPr>
        <w:spacing w:after="0" w:line="63"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We are subject to taxation and file income tax returns in the United States federal jurisdiction and many states, Canada and the United Kingdom. With few exceptions, as of June 30, 2024 we are no longer subject to U.S. federal, state, local or foreign examinations by tax authorities for years before 2020.</w:t>
      </w:r>
    </w:p>
    <w:p>
      <w:pPr>
        <w:spacing w:after="0" w:line="69"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We record penalties and interest relating to uncertain tax positions in the income tax provision line item in the Unaudited Condensed Consolidated Statements of Operations. No penalties or interest related to uncertain tax positions were recorded for the three- and six-month periods ended June 30, 2024 and 2023. As of June 30, 2024 and December 31, 2023, we did not have a liability recorded for interest or potential penalties.</w:t>
      </w:r>
    </w:p>
    <w:p>
      <w:pPr>
        <w:spacing w:after="0" w:line="173"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ectPr>
          <w:pgSz w:w="11900" w:h="16838" w:orient="portrait"/>
          <w:cols w:equalWidth="0" w:num="1">
            <w:col w:w="11220"/>
          </w:cols>
          <w:pgMar w:left="320" w:top="764" w:right="359"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type w:val="continuous"/>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310"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Operating and Financing Leases — </w:t>
      </w:r>
      <w:r>
        <w:rPr>
          <w:rFonts w:ascii="Times New Roman" w:cs="Times New Roman" w:eastAsia="Times New Roman" w:hAnsi="Times New Roman"/>
          <w:sz w:val="18"/>
          <w:szCs w:val="18"/>
          <w:color w:val="auto"/>
        </w:rPr>
        <w:t>We determine whether a contract contains a lease at contract inception. Lease liabilities are calculated using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 rate based on our incremental borrowing rate at lease commencement. We have operating lease agreements primarily related to cell sites and office space. Certain cell site and office space leases have renewal option terms that have been deemed reasonably certain to be exercised. These renewal options extend a lease by up to 15 years. We recognize operating lease expense on a straight-line basis over the lease term. As of June 30, 2024, there were no significant leases which had not commenced.</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following is a summary of our lease expense included in the Unaudited Condensed Consolidated Statements of Operations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254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8"/>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180" w:type="dxa"/>
            <w:vAlign w:val="bottom"/>
            <w:gridSpan w:val="2"/>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8,191</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8,226</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320" w:type="dxa"/>
            <w:vAlign w:val="bottom"/>
            <w:gridSpan w:val="9"/>
          </w:tcPr>
          <w:p>
            <w:pPr>
              <w:ind w:left="520"/>
              <w:spacing w:after="0"/>
              <w:rPr>
                <w:sz w:val="20"/>
                <w:szCs w:val="20"/>
                <w:color w:val="auto"/>
              </w:rPr>
            </w:pPr>
            <w:r>
              <w:rPr>
                <w:rFonts w:ascii="Times New Roman" w:cs="Times New Roman" w:eastAsia="Times New Roman" w:hAnsi="Times New Roman"/>
                <w:sz w:val="18"/>
                <w:szCs w:val="18"/>
                <w:color w:val="auto"/>
              </w:rPr>
              <w:t xml:space="preserve">Other information regarding our leases is as follows </w:t>
            </w:r>
            <w:r>
              <w:rPr>
                <w:rFonts w:ascii="Times New Roman" w:cs="Times New Roman" w:eastAsia="Times New Roman" w:hAnsi="Times New Roman"/>
                <w:sz w:val="18"/>
                <w:szCs w:val="18"/>
                <w:i w:val="1"/>
                <w:iCs w:val="1"/>
                <w:color w:val="auto"/>
              </w:rPr>
              <w:t>(in thousands, except lease terms and discount rates)</w:t>
            </w:r>
            <w:r>
              <w:rPr>
                <w:rFonts w:ascii="Times New Roman" w:cs="Times New Roman" w:eastAsia="Times New Roman" w:hAnsi="Times New Roman"/>
                <w:sz w:val="18"/>
                <w:szCs w:val="18"/>
                <w:color w:val="auto"/>
              </w:rPr>
              <w:t>:</w:t>
            </w:r>
          </w:p>
        </w:tc>
        <w:tc>
          <w:tcPr>
            <w:tcW w:w="2980" w:type="dxa"/>
            <w:vAlign w:val="bottom"/>
            <w:gridSpan w:val="8"/>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8"/>
          </w:tcPr>
          <w:p>
            <w:pPr>
              <w:ind w:left="52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0" w:type="dxa"/>
            <w:vAlign w:val="bottom"/>
          </w:tcPr>
          <w:p>
            <w:pPr>
              <w:spacing w:after="0"/>
              <w:rPr>
                <w:sz w:val="1"/>
                <w:szCs w:val="1"/>
                <w:color w:val="auto"/>
              </w:rPr>
            </w:pPr>
          </w:p>
        </w:tc>
      </w:tr>
      <w:tr>
        <w:trPr>
          <w:trHeight w:val="240"/>
        </w:trPr>
        <w:tc>
          <w:tcPr>
            <w:tcW w:w="4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used in financing leases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cash flows used in financing leases</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 obtained</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leases obtained</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20"/>
                <w:szCs w:val="20"/>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 years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 year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9.0 %</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337"/>
        </w:trPr>
        <w:tc>
          <w:tcPr>
            <w:tcW w:w="6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Annual future minimum lease payments as of June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(period from July 1 to December 31)</w:t>
            </w:r>
          </w:p>
        </w:tc>
        <w:tc>
          <w:tcPr>
            <w:tcW w:w="8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13,062</w:t>
            </w: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99,133</w:t>
            </w: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(19,102 )</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8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80,031</w:t>
            </w:r>
          </w:p>
        </w:tc>
        <w:tc>
          <w:tcPr>
            <w:tcW w:w="24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Reported as of June 30, 2024</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8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2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liabilities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80,031</w:t>
            </w:r>
          </w:p>
        </w:tc>
        <w:tc>
          <w:tcPr>
            <w:tcW w:w="240" w:type="dxa"/>
            <w:vAlign w:val="bottom"/>
          </w:tcPr>
          <w:p>
            <w:pPr>
              <w:spacing w:after="0"/>
              <w:rPr>
                <w:sz w:val="20"/>
                <w:szCs w:val="20"/>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3986530</wp:posOffset>
            </wp:positionH>
            <wp:positionV relativeFrom="paragraph">
              <wp:posOffset>-5590540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-5573395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-5590540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-5573395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-5590540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-5573395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-5590540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-5573395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-3047365</wp:posOffset>
            </wp:positionV>
            <wp:extent cx="713232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-829945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-812800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4" w:right="27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Contractual Commitments </w:t>
      </w:r>
      <w:r>
        <w:rPr>
          <w:rFonts w:ascii="Times New Roman" w:cs="Times New Roman" w:eastAsia="Times New Roman" w:hAnsi="Times New Roman"/>
          <w:sz w:val="18"/>
          <w:szCs w:val="18"/>
          <w:color w:val="auto"/>
        </w:rPr>
        <w:t>– We have agreements with various vendors under which we have remaining commitments to purchase hardware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components and development services. Such commitments will become payable as we receive the hardware components, or as development services are provided.</w:t>
      </w:r>
    </w:p>
    <w:p>
      <w:pPr>
        <w:spacing w:after="0" w:line="6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May 17, 2024, Airspan Networks Holdings Inc. (“Airspan”) filed a plan supplement to its Joint Prepackaged Chapter 11 Plan of Reorganization, Case No. 24-10621 (the “Plan”), whereby the Company and Fortress Credit Corp. agreed in principle to each provide fifty percent (50%) of a new first lien revolving facility in an aggregate committed principal amount of $20.0 million (the “New Revolving Credit Facility”). Unless otherwise extended by the parties, any amounts outstanding under the New Revolving Credit Facility shall be due and payable in full on the first anniversary of the closing date. The Plan, including the Company’s participation in the New Revolving Credit Facility, was approved by the Bankruptcy Court for the District of Delaware on June 28, 2024. However, the New Revolving Credit Facility remains subject to satisfaction of certain closing conditions and agreement of and execution of the definitive documents for the New Revolving Credit Facility. Additionally, on June 27, 2024, Airspan and the Company amended the Master Service Agreement, dated November 25, 2019.</w:t>
      </w:r>
    </w:p>
    <w:p>
      <w:pPr>
        <w:spacing w:after="0" w:line="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SmartSky Litigation </w:t>
      </w:r>
      <w:r>
        <w:rPr>
          <w:rFonts w:ascii="Times New Roman" w:cs="Times New Roman" w:eastAsia="Times New Roman" w:hAnsi="Times New Roman"/>
          <w:sz w:val="18"/>
          <w:szCs w:val="18"/>
          <w:color w:val="auto"/>
        </w:rPr>
        <w:t>– On February 28, 2022, SmartSky Networks, LLC brought suit against Gogo Inc. and its subsidiary Gogo Business Aviation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in the U.S. District Court for the District of Delaware (the “Court”) alleging that Gogo 5G infringes four patents owned by the plaintiff. On February 21, 2023, the plaintiff amended its complaint to allege that Gogo 5G infringes two additional patents recently issued to the plaintiff. The suit seeks compensatory damages as well as treble damages for alleged willful infringement and reimbursement of plaintiff's costs, disbursements and attorneys' fees. Under a schedule agreed upon by the parties, claim construction proceedings and fact discovery have been substantially completed and expert discovery will be completed in September of 2024, with dispositive motions to follow. On May 29, 2024, Gogo Inc. and its subsidiary Gogo Business Aviation LLC amended its answer and counterclaims in the same suit, alleging that three of the six patents asserted by SmartSky are unenforceable due to inequitable conduct before the U.S. Patent Office. A trial date has been scheduled for April 14, 2025. We continue to vigorously defend our position in the infringement suit. The outcome of the underlying litigation is inherently uncertain. No amounts have been accrued for any potential losses under this matter, as we cannot reasonably predict the outcome of the litigation or any potential losses.</w:t>
      </w:r>
    </w:p>
    <w:p>
      <w:pPr>
        <w:spacing w:after="0" w:line="79"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March 5, 2024, Gogo Inc. and its subsidiary Gogo Business Aviation LLC filed counterclaims in the same suit, alleging that SmartSky’s ATG network, Flagship equipment, and LITE ATG equipment infringe three patents owned by Gogo. Gogo’s counterclaim suit seeks an unspecified amount of compensatory damages as well as reimbursement of Gogo's costs and attorneys' fees. On April 10, 2024, the Court held that Gogo's counterclaims would proceed under a separate schedule and would be tried separately from SmartSky's claims. At this time, no schedule has been adopted for Gogo's counterclaims.</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With respect to such legal proceedings, we accrue a loss when it is probable and its amount can be reasonably estimated.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178"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11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following is a summary of changes in accumulated other comprehensive income (loss) by component </w:t>
      </w:r>
      <w:r>
        <w:rPr>
          <w:rFonts w:ascii="Times New Roman" w:cs="Times New Roman" w:eastAsia="Times New Roman" w:hAnsi="Times New Roman"/>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(3,548 )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(3,805 )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13,182</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530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35"/>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-1240790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-1240790</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-1240790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-915670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-898525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-915670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-898525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-915670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-898525</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 (Continued)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7"/>
        </w:trPr>
        <w:tc>
          <w:tcPr>
            <w:tcW w:w="1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(1,225 )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30,128</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income realized and reclassified to earnings</w:t>
            </w: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current period comprehensive income (loss)</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(5,235 )</w:t>
            </w: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(4,976 )</w:t>
            </w: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8"/>
        </w:trPr>
        <w:tc>
          <w:tcPr>
            <w:tcW w:w="1140" w:type="dxa"/>
            <w:vAlign w:val="bottom"/>
          </w:tcPr>
          <w:p>
            <w:pPr>
              <w:spacing w:after="0"/>
              <w:rPr>
                <w:sz w:val="24"/>
                <w:szCs w:val="2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26,118</w:t>
            </w:r>
          </w:p>
        </w:tc>
        <w:tc>
          <w:tcPr>
            <w:tcW w:w="20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25,152</w:t>
            </w:r>
          </w:p>
        </w:tc>
        <w:tc>
          <w:tcPr>
            <w:tcW w:w="80" w:type="dxa"/>
            <w:vAlign w:val="bottom"/>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0"/>
        </w:trPr>
        <w:tc>
          <w:tcPr>
            <w:tcW w:w="1140" w:type="dxa"/>
            <w:vAlign w:val="bottom"/>
          </w:tcPr>
          <w:p>
            <w:pPr>
              <w:spacing w:after="0"/>
              <w:rPr>
                <w:sz w:val="24"/>
                <w:szCs w:val="24"/>
                <w:color w:val="auto"/>
              </w:rPr>
            </w:pPr>
          </w:p>
        </w:tc>
        <w:tc>
          <w:tcPr>
            <w:tcW w:w="5300" w:type="dxa"/>
            <w:vAlign w:val="bottom"/>
            <w:tcBorders>
              <w:top w:val="single" w:sz="8" w:color="CFF0FC"/>
            </w:tcBorders>
          </w:tcPr>
          <w:p>
            <w:pPr>
              <w:ind w:left="44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-1257935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-1257935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-1257935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-932815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-915670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-932815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-915670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-932815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-915670</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7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revenue from the provision of our connectivity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key OEMs and dealers for equipment sales;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Gogo 5G, Gogo Galileo or other next generation technologies;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outside of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outbreaks of contagious diseases, and the measures implemented to combat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supply chain and logistics issues and increasing inflation;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evaluate or pursue strategic opportunities;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equipment components and services;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train and retain highly skilled employees;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economic conditions;</w:t>
      </w:r>
    </w:p>
    <w:p>
      <w:pPr>
        <w:spacing w:after="0" w:line="116" w:lineRule="exact"/>
        <w:rPr>
          <w:rFonts w:ascii="Times New Roman" w:cs="Times New Roman" w:eastAsia="Times New Roman" w:hAnsi="Times New Roman"/>
          <w:sz w:val="18"/>
          <w:szCs w:val="18"/>
          <w:color w:val="auto"/>
        </w:rPr>
      </w:pPr>
    </w:p>
    <w:p>
      <w:pPr>
        <w:ind w:left="1020" w:right="12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rights to use our licensed 3MHz of ATG spectrum in the United States and obtain rights to additional spectrum if needed;</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use of open-source software;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equipment failure or material defects or errors in our software;</w:t>
      </w:r>
    </w:p>
    <w:p>
      <w:pPr>
        <w:spacing w:after="0" w:line="116" w:lineRule="exact"/>
        <w:rPr>
          <w:rFonts w:ascii="Times New Roman" w:cs="Times New Roman" w:eastAsia="Times New Roman" w:hAnsi="Times New Roman"/>
          <w:sz w:val="18"/>
          <w:szCs w:val="18"/>
          <w:color w:val="auto"/>
        </w:rPr>
      </w:pPr>
    </w:p>
    <w:p>
      <w:pPr>
        <w:ind w:left="1020" w:right="10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service interruptions or delays, technology failures, equipment damage or system disruptions or failures, including any arising from cyber-attacks;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assertions by third parties of infringement, misappropriation or other violations;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and provide products and services;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participation in the Federal Communications Commission (“FCC”) Reimbursement Program;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foreign ownership limitations;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anti-bribery, anti-corruption and anti-money laundering laws;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possession and use of personal information;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expenses, liabilities or business disruptions resulting from litigation;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 and legal, regulatory or market responses to it;</w:t>
      </w:r>
    </w:p>
    <w:p>
      <w:pPr>
        <w:spacing w:after="0" w:line="116" w:lineRule="exact"/>
        <w:rPr>
          <w:rFonts w:ascii="Times New Roman" w:cs="Times New Roman" w:eastAsia="Times New Roman" w:hAnsi="Times New Roman"/>
          <w:sz w:val="18"/>
          <w:szCs w:val="18"/>
          <w:color w:val="auto"/>
        </w:rPr>
      </w:pPr>
    </w:p>
    <w:p>
      <w:pPr>
        <w:ind w:left="1020" w:right="160" w:hanging="503"/>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limitations and restrictions in the agreements governing our current and future indebtedness and our ability to service our indebtedness;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3" w:name="page24"/>
    <w:bookmarkEnd w:id="23"/>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 and</w:t>
      </w:r>
    </w:p>
    <w:p>
      <w:pPr>
        <w:spacing w:after="0" w:line="116" w:lineRule="exact"/>
        <w:rPr>
          <w:rFonts w:ascii="Times New Roman" w:cs="Times New Roman" w:eastAsia="Times New Roman" w:hAnsi="Times New Roman"/>
          <w:sz w:val="18"/>
          <w:szCs w:val="18"/>
          <w:color w:val="auto"/>
        </w:rPr>
      </w:pPr>
    </w:p>
    <w:p>
      <w:pPr>
        <w:ind w:left="1020" w:right="80" w:hanging="503"/>
        <w:spacing w:after="0" w:line="26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factors listed under “Risk Factors” in our Annual Report on Form 10-K for the year ended December 31, 2023, as filed with the Securities and Exchange Commission (the “SEC”) on February 28, 2024 (the “2023 10-K”), in Item 1A of our Quarterly Report on Form 10-Q for the quarter ended March 31, 2024, as filed with the SEC on May 7, 2024 (the “2024 Q1 10-Q”); and in Item 1A of this Quarterly Report on Form 10-Q.</w:t>
      </w:r>
    </w:p>
    <w:p>
      <w:pPr>
        <w:spacing w:after="0" w:line="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Any one of these factors or a combination of these factors could materially affect our financial condition or future results of operations and could influence whether any forward-looking statements contained in this Quarterly Report on Form 10-Q ultimately prove to be accurate. Our forward-looking statements are not guarantees of future performance, and you should not place undue reliance on them. All forward-looking statements speak only as of the date made and unless required by law we undertake no obligation to update or revise publicly any forward-looking statements, whether as a result of new information, future events or otherwise.</w:t>
      </w:r>
    </w:p>
    <w:p>
      <w:pPr>
        <w:spacing w:after="0" w:line="74"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Quarterly Report on Form 10-Q, refer to Gogo Inc. and its directly and indirectly owned subsidiaries as a combined entity, except where otherwise stated or where it is clear that the terms refer only to Gogo Inc. exclusive of its subsidiaries.</w:t>
      </w:r>
    </w:p>
    <w:p>
      <w:pPr>
        <w:spacing w:after="0" w:line="7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2023 10-K, in Item 1A of the 2024 Q1 10-Q and in Item 1A and “Special Note Regarding Forward-Looking Statements” in this Quarterly Report on Form 10-Q. Our actual results may differ materially from those contained in or implied by any forward-looking statements.</w:t>
      </w:r>
    </w:p>
    <w:p>
      <w:pPr>
        <w:spacing w:after="0" w:line="7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i w:val="1"/>
          <w:iCs w:val="1"/>
          <w:color w:val="auto"/>
        </w:rPr>
        <w:t>Our fiscal year ends December 31 and, unless otherwise noted, references to “years” or “fiscal” are for fiscal years ended December 31. See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Gogo is the world’s largest provider of broadband connectivity services for the business aviation market. We have served this market for more than 25 years. Our mission is to enrich the lives of passengers and the efficiency of operators with the world’s best business aviation in-flight connectivity and customer support. We have always sought to provide the best connectivity for the business aviation market regardless of technology, and we have a successful history of doing so. Until recently, we focused primarily on business aviation aircraft in North America, which comprise approximately 63% of the worldwide business aviation fleet, and we are the leading provider of in-flight connectivity in that market. Gogo started in analogue air-to-ground (“ATG”) technology in the late 1990s, then, as analogue cellular backhaul disappeared, migrated to narrowband satellite connectivity in the early 2000s, then back to ATG with our digital broadband 3G and 4G networks beginning in 2010. We are currently developing our fourth ATG network – Gogo 5G – that we expect to commercially launch in the second quarter of 2025. Simultaneous with the development of Gogo 5G, we are actively working with a subset of AVANCE customers and customers utilizing our legacy Gogo Biz ATG airborne system operating on our ground 3G and 4G networks to upgrade to an AVANCE system compatible with a new LTE network. We anticipate this subset of customers will see improved performance because of this network transition, which is expected to occur in early 2026. The cost for the transition to the new LTE network is partially being reimbursed through our participation in the FCC Reimbursement Program.</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also continue to provide narrowband satellite services to customers in North America and internationally through distribution agreements with satellite providers. In May 2022, in order to further serve our existing customers and expand our target market, we announced plans to expand our broadband offerings beyond ATG by launching the first global broadband service designed for all models of business aircraft (“Gogo Galileo”). The service will use an electronically steered antenna (“ESA”), specifically designed to address a broad range of business aviation aircraft, operating on a low earth orbit (“LEO”) satellite network and is targeted for commercial launch in the fourth quarter of 2024.</w:t>
      </w:r>
    </w:p>
    <w:p>
      <w:pPr>
        <w:spacing w:after="0" w:line="74"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Our chief operating decision maker evaluates performance and business results for our operations, and makes resource and operating decisions, on a consolidated basis. As we do not have multiple segments, we do not present segment information in this Quarterly Report on Form 10-Q.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Results of Operations</w:t>
      </w:r>
    </w:p>
    <w:p>
      <w:pPr>
        <w:spacing w:after="0" w:line="121"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We believe that our operating and business performance is driven by various factors that affect the business aviation industry,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69" w:lineRule="exact"/>
        <w:rPr>
          <w:sz w:val="20"/>
          <w:szCs w:val="20"/>
          <w:color w:val="auto"/>
        </w:rPr>
      </w:pPr>
    </w:p>
    <w:p>
      <w:pPr>
        <w:ind w:left="1020" w:right="16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implementation of, and our ability to implement on a timely basis, our technology roadmap, including upgrades to and installation of the ATG technologies we currently offer, Gogo 5G, Gogo Galileo, LTE and any other next generation or other new technology;</w:t>
      </w:r>
    </w:p>
    <w:p>
      <w:pPr>
        <w:spacing w:after="0" w:line="69" w:lineRule="exact"/>
        <w:rPr>
          <w:rFonts w:ascii="Times New Roman" w:cs="Times New Roman" w:eastAsia="Times New Roman" w:hAnsi="Times New Roman"/>
          <w:sz w:val="18"/>
          <w:szCs w:val="18"/>
          <w:color w:val="auto"/>
        </w:rPr>
      </w:pPr>
    </w:p>
    <w:p>
      <w:pPr>
        <w:ind w:left="1020" w:hanging="504"/>
        <w:spacing w:after="0" w:line="265"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issues and related costs that may arise in connection with the implementation of our technology roadmap, including technological issues and related remediation efforts and failures or delays on the part of antenna, chipset, and other equipment developers and providers or satellite network providers, some of which are single-source;</w:t>
      </w:r>
    </w:p>
    <w:p>
      <w:pPr>
        <w:spacing w:after="0" w:line="69"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spectrum and make other improvements to our network and operations as technology and user expectations change;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5" w:name="page26"/>
    <w:bookmarkEnd w:id="25"/>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aircraft in service in our markets, including consolidations or changes in fleet size by one or more of our large-fleet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environment and other trends that affect both business and leisure aviation travel;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supply chains in the aviation industry and installations of our equipment driven by, among other things, labor shortages;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our customers’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suppliers of equipment components and network services on a timely basis and on commercially reasonable terms;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utilize portions of our deferred income tax assets;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65"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interpretations affecting telecommunications services globally, including those affecting our ability to maintain our licenses for ATG spectrum in the United States, obtain sufficient rights to use additional ATG spectrum and/or other sources of broadband connectivity to deliver our services, including Gogo Galileo, expand our service offerings and manage our network; and</w:t>
      </w:r>
    </w:p>
    <w:p>
      <w:pPr>
        <w:spacing w:after="0" w:line="69"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our business or the business of our customers and suppliers globally, including changes that impact the design of our equipment and our ability to obtain required certifications for our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jc w:val="both"/>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Aircraft online (at period end)</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ATG AVANCE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Gogo Biz</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ATG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connectivity service revenue per aircraft online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Units sold</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Average equipment revenue per unit sold (in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ATG</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Narrowband satellite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-1697990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-1697990</wp:posOffset>
            </wp:positionV>
            <wp:extent cx="596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-1697990</wp:posOffset>
            </wp:positionV>
            <wp:extent cx="596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-1697990</wp:posOffset>
            </wp:positionV>
            <wp:extent cx="596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90" w:lineRule="exact"/>
        <w:rPr>
          <w:sz w:val="20"/>
          <w:szCs w:val="20"/>
          <w:color w:val="auto"/>
        </w:rPr>
      </w:pPr>
    </w:p>
    <w:p>
      <w:pPr>
        <w:ind w:left="1020" w:right="14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ATG AVANCE aircraft online. </w:t>
      </w:r>
      <w:r>
        <w:rPr>
          <w:rFonts w:ascii="Times New Roman" w:cs="Times New Roman" w:eastAsia="Times New Roman" w:hAnsi="Times New Roman"/>
          <w:sz w:val="18"/>
          <w:szCs w:val="18"/>
          <w:color w:val="auto"/>
        </w:rPr>
        <w:t>We define ATG AVANCE aircraft online as the total number of business aircraft equipped with our AVANCE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L5 or L3 system for which we provide ATG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hanging="503"/>
        <w:spacing w:after="0" w:line="267"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Gogo Biz aircraft online. </w:t>
      </w:r>
      <w:r>
        <w:rPr>
          <w:rFonts w:ascii="Times New Roman" w:cs="Times New Roman" w:eastAsia="Times New Roman" w:hAnsi="Times New Roman"/>
          <w:sz w:val="18"/>
          <w:szCs w:val="18"/>
          <w:color w:val="auto"/>
        </w:rPr>
        <w:t>We define Gogo Biz aircraft online as the total number of business aircraft not equipped with our AVANCE L5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L3 system for which we provide ATG services as of the last day of each period presented. This number excludes commercial aircraft operated by Intelsat’s airline customers receiving ATG service.</w:t>
      </w:r>
    </w:p>
    <w:p>
      <w:pPr>
        <w:spacing w:after="0" w:line="64" w:lineRule="exact"/>
        <w:rPr>
          <w:rFonts w:ascii="Times New Roman" w:cs="Times New Roman" w:eastAsia="Times New Roman" w:hAnsi="Times New Roman"/>
          <w:sz w:val="18"/>
          <w:szCs w:val="18"/>
          <w:color w:val="auto"/>
        </w:rPr>
      </w:pPr>
    </w:p>
    <w:p>
      <w:pPr>
        <w:ind w:left="1020" w:right="40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Narrowband satellite aircraft online</w:t>
      </w:r>
      <w:r>
        <w:rPr>
          <w:rFonts w:ascii="Times New Roman" w:cs="Times New Roman" w:eastAsia="Times New Roman" w:hAnsi="Times New Roman"/>
          <w:sz w:val="18"/>
          <w:szCs w:val="18"/>
          <w:color w:val="auto"/>
        </w:rPr>
        <w:t>. We define narrowband satellite aircraft online as the total number of business aircraft for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narrowband satellite services as of the last day of each period presented.</w:t>
      </w:r>
    </w:p>
    <w:p>
      <w:pPr>
        <w:spacing w:after="0" w:line="51" w:lineRule="exact"/>
        <w:rPr>
          <w:rFonts w:ascii="Times New Roman" w:cs="Times New Roman" w:eastAsia="Times New Roman" w:hAnsi="Times New Roman"/>
          <w:sz w:val="18"/>
          <w:szCs w:val="18"/>
          <w:color w:val="auto"/>
        </w:rPr>
      </w:pPr>
    </w:p>
    <w:p>
      <w:pPr>
        <w:ind w:left="1020" w:right="480" w:hanging="503"/>
        <w:spacing w:after="0" w:line="283"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monthly connectivity service revenue per ATG aircraft online (“ARPU”). </w:t>
      </w:r>
      <w:r>
        <w:rPr>
          <w:rFonts w:ascii="Times New Roman" w:cs="Times New Roman" w:eastAsia="Times New Roman" w:hAnsi="Times New Roman"/>
          <w:sz w:val="18"/>
          <w:szCs w:val="18"/>
          <w:color w:val="auto"/>
        </w:rPr>
        <w:t>We define ARPU as the aggregate ATG connectivity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revenue for the period divided by the number of months in the period, divided by the number of</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6" w:name="page27"/>
    <w:bookmarkEnd w:id="26"/>
    <w:p>
      <w:pPr>
        <w:ind w:left="1020" w:right="420"/>
        <w:spacing w:after="0" w:line="281" w:lineRule="auto"/>
        <w:rPr>
          <w:sz w:val="20"/>
          <w:szCs w:val="20"/>
          <w:color w:val="auto"/>
        </w:rPr>
      </w:pPr>
      <w:r>
        <w:rPr>
          <w:rFonts w:ascii="Times New Roman" w:cs="Times New Roman" w:eastAsia="Times New Roman" w:hAnsi="Times New Roman"/>
          <w:sz w:val="18"/>
          <w:szCs w:val="18"/>
          <w:color w:val="auto"/>
        </w:rPr>
        <w:t>ATG aircraft online during the period (expressed as an average of the month end figures for each month in such period). Revenue share earned from Intelsat is excluded from this calculation.</w:t>
      </w:r>
    </w:p>
    <w:p>
      <w:pPr>
        <w:spacing w:after="0" w:line="53" w:lineRule="exact"/>
        <w:rPr>
          <w:sz w:val="20"/>
          <w:szCs w:val="20"/>
          <w:color w:val="auto"/>
        </w:rPr>
      </w:pPr>
    </w:p>
    <w:p>
      <w:pPr>
        <w:ind w:left="1020" w:right="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monthly connectivity service revenue per narrowband satellite aircraft online</w:t>
      </w:r>
      <w:r>
        <w:rPr>
          <w:rFonts w:ascii="Times New Roman" w:cs="Times New Roman" w:eastAsia="Times New Roman" w:hAnsi="Times New Roman"/>
          <w:sz w:val="18"/>
          <w:szCs w:val="18"/>
          <w:color w:val="auto"/>
        </w:rPr>
        <w:t>. We define average monthly connectivity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per narrowband satellite aircraft online as the aggregate narrowband satellite connectivity service revenue for the period divided by the number of months in the period, divided by the number of narrowband satellite aircraft online during the period (expressed as an average of the month end figures for each month in such period).</w:t>
      </w:r>
    </w:p>
    <w:p>
      <w:pPr>
        <w:spacing w:after="0" w:line="7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Units sold</w:t>
      </w:r>
      <w:r>
        <w:rPr>
          <w:rFonts w:ascii="Times New Roman" w:cs="Times New Roman" w:eastAsia="Times New Roman" w:hAnsi="Times New Roman"/>
          <w:sz w:val="18"/>
          <w:szCs w:val="18"/>
          <w:color w:val="auto"/>
        </w:rPr>
        <w:t>. We define units sold as the number of ATG or narrowband satellite units for which we recognized revenue during the period.</w:t>
      </w:r>
    </w:p>
    <w:p>
      <w:pPr>
        <w:spacing w:after="0" w:line="116" w:lineRule="exact"/>
        <w:rPr>
          <w:rFonts w:ascii="Times New Roman" w:cs="Times New Roman" w:eastAsia="Times New Roman" w:hAnsi="Times New Roman"/>
          <w:sz w:val="18"/>
          <w:szCs w:val="18"/>
          <w:color w:val="auto"/>
        </w:rPr>
      </w:pPr>
    </w:p>
    <w:p>
      <w:pPr>
        <w:ind w:left="1020" w:right="40" w:hanging="503"/>
        <w:spacing w:after="0" w:line="28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equipment revenue per ATG unit sold. </w:t>
      </w:r>
      <w:r>
        <w:rPr>
          <w:rFonts w:ascii="Times New Roman" w:cs="Times New Roman" w:eastAsia="Times New Roman" w:hAnsi="Times New Roman"/>
          <w:sz w:val="18"/>
          <w:szCs w:val="18"/>
          <w:color w:val="auto"/>
        </w:rPr>
        <w:t>We define average equipment revenue per ATG unit sold as the aggregate equipment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all ATG units sold during the period, divided by the number of ATG units sold.</w:t>
      </w:r>
    </w:p>
    <w:p>
      <w:pPr>
        <w:spacing w:after="0" w:line="51" w:lineRule="exact"/>
        <w:rPr>
          <w:rFonts w:ascii="Times New Roman" w:cs="Times New Roman" w:eastAsia="Times New Roman" w:hAnsi="Times New Roman"/>
          <w:sz w:val="18"/>
          <w:szCs w:val="18"/>
          <w:color w:val="auto"/>
        </w:rPr>
      </w:pPr>
    </w:p>
    <w:p>
      <w:pPr>
        <w:ind w:left="1020" w:right="180" w:hanging="503"/>
        <w:spacing w:after="0" w:line="267"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Average equipment revenue per narrowband satellite unit sold</w:t>
      </w:r>
      <w:r>
        <w:rPr>
          <w:rFonts w:ascii="Times New Roman" w:cs="Times New Roman" w:eastAsia="Times New Roman" w:hAnsi="Times New Roman"/>
          <w:sz w:val="18"/>
          <w:szCs w:val="18"/>
          <w:color w:val="auto"/>
        </w:rPr>
        <w:t>. We define average equipment revenue per narrowband satellite unit sold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aggregate equipment revenue earned from all narrowband satellite units sold during the period, divided by the number of narrowband satellite units sold.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Consolidated Statements of Operations</w:t>
      </w:r>
    </w:p>
    <w:p>
      <w:pPr>
        <w:spacing w:after="0" w:line="121" w:lineRule="exact"/>
        <w:rPr>
          <w:sz w:val="20"/>
          <w:szCs w:val="20"/>
          <w:color w:val="auto"/>
        </w:rPr>
      </w:pPr>
    </w:p>
    <w:p>
      <w:pPr>
        <w:ind w:right="50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key components of Unaudited Condensed Consolidated Statements of Operations as described in “Management’s Discussion and Analysis of Financial Condition and Results of Operations” (“MD&amp;A”) in our 2023 10-K.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requires us to make estimates, assumptions and judgments that affect the reported amounts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actual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81" w:lineRule="exact"/>
        <w:rPr>
          <w:sz w:val="20"/>
          <w:szCs w:val="20"/>
          <w:color w:val="auto"/>
        </w:rPr>
      </w:pPr>
    </w:p>
    <w:p>
      <w:pPr>
        <w:jc w:val="both"/>
        <w:ind w:right="240" w:firstLine="509"/>
        <w:spacing w:after="0" w:line="265"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the valuation allowance related to our deferred income tax assets have the greatest potential impact on and are the most critical to fully understanding and evaluating our reported financial results, and that they require our most difficult, subjective or complex judgments.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described in the MD&amp;A in our 2023 10-K.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“Basis of Presentation,” to our Unaudited Condensed Consolidated Financials Statements for additional information.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2"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bl>
      <w:tblPr>
        <w:tblLayout w:type="fixed"/>
        <w:tblInd w:w="0" w:type="dxa"/>
        <w:tblCellMar>
          <w:top w:w="0" w:type="dxa"/>
          <w:left w:w="0" w:type="dxa"/>
          <w:bottom w:w="0" w:type="dxa"/>
          <w:right w:w="0" w:type="dxa"/>
        </w:tblCellMar>
      </w:tblPr>
      <w:tr>
        <w:trPr>
          <w:trHeight w:val="146"/>
        </w:trPr>
        <w:tc>
          <w:tcPr>
            <w:tcW w:w="5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6"/>
          </w:tcPr>
          <w:p>
            <w:pPr>
              <w:ind w:left="340"/>
              <w:spacing w:after="0" w:line="146"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2"/>
                <w:szCs w:val="12"/>
                <w:color w:val="auto"/>
              </w:rPr>
            </w:pPr>
          </w:p>
        </w:tc>
        <w:tc>
          <w:tcPr>
            <w:tcW w:w="2360" w:type="dxa"/>
            <w:vAlign w:val="bottom"/>
            <w:gridSpan w:val="6"/>
          </w:tcPr>
          <w:p>
            <w:pPr>
              <w:jc w:val="right"/>
              <w:ind w:right="760"/>
              <w:spacing w:after="0" w:line="146" w:lineRule="exact"/>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Service revenue</w:t>
            </w: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81,929</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 revenue</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102,059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 revenue (exclusive of amounts shown below)</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equipment revenue (exclusive of amounts shown below)</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Engineering, design and development</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17,319</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80,378</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21,681</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(2,120 )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(1,971 )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(4,168 )</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(3,887 )</w:t>
            </w: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8"/>
        </w:trPr>
        <w:tc>
          <w:tcPr>
            <w:tcW w:w="5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6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(63,827 )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(59,439 )</w:t>
            </w:r>
          </w:p>
        </w:tc>
        <w:tc>
          <w:tcPr>
            <w:tcW w:w="0" w:type="dxa"/>
            <w:vAlign w:val="bottom"/>
          </w:tcPr>
          <w:p>
            <w:pPr>
              <w:spacing w:after="0"/>
              <w:rPr>
                <w:sz w:val="1"/>
                <w:szCs w:val="1"/>
                <w:color w:val="auto"/>
              </w:rPr>
            </w:pPr>
          </w:p>
        </w:tc>
      </w:tr>
      <w:tr>
        <w:trPr>
          <w:trHeight w:val="236"/>
        </w:trPr>
        <w:tc>
          <w:tcPr>
            <w:tcW w:w="5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10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518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-3929380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-3929380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-3929380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-3929380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-2679700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-2679700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-2679700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-2353945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-2353945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-2353945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-1412240</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-1412240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-1412240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-1095375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-1095375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-1095375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9" w:lineRule="exact"/>
        <w:rPr>
          <w:sz w:val="20"/>
          <w:szCs w:val="20"/>
          <w:color w:val="auto"/>
        </w:rPr>
      </w:pPr>
    </w:p>
    <w:p>
      <w:pPr>
        <w:ind w:right="32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Revenue and percent change for the three- and six-month periods ended June 30, 2024 and 2023 were as follows </w:t>
      </w:r>
      <w:r>
        <w:rPr>
          <w:rFonts w:ascii="Times New Roman" w:cs="Times New Roman" w:eastAsia="Times New Roman" w:hAnsi="Times New Roman"/>
          <w:sz w:val="18"/>
          <w:szCs w:val="18"/>
          <w:i w:val="1"/>
          <w:iCs w:val="1"/>
          <w:color w:val="auto"/>
        </w:rPr>
        <w:t>(in thousands, except for percent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81,929</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79,062</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3.6 %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163,602</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157,561</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revenue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w:t>
            </w:r>
          </w:p>
        </w:tc>
        <w:tc>
          <w:tcPr>
            <w:tcW w:w="2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8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102,059</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103,221</w:t>
            </w:r>
          </w:p>
        </w:tc>
        <w:tc>
          <w:tcPr>
            <w:tcW w:w="240" w:type="dxa"/>
            <w:vAlign w:val="bottom"/>
          </w:tcPr>
          <w:p>
            <w:pPr>
              <w:spacing w:after="0"/>
              <w:rPr>
                <w:sz w:val="20"/>
                <w:szCs w:val="20"/>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206,381</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201,818</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right="460" w:firstLine="509"/>
        <w:spacing w:after="0" w:line="260" w:lineRule="auto"/>
        <w:rPr>
          <w:sz w:val="20"/>
          <w:szCs w:val="20"/>
          <w:color w:val="auto"/>
        </w:rPr>
      </w:pPr>
      <w:r>
        <w:rPr>
          <w:rFonts w:ascii="Times New Roman" w:cs="Times New Roman" w:eastAsia="Times New Roman" w:hAnsi="Times New Roman"/>
          <w:sz w:val="18"/>
          <w:szCs w:val="18"/>
          <w:color w:val="auto"/>
        </w:rPr>
        <w:t>Total revenue decreased to $102.1 million for the three-month period ended June 30, 2024 as compared with $103.2 million for the prior-year period, due to a decrease in equipment revenue, partially offset by an increase in service revenue. Total revenue increased to $206.4 million for the six-month period ended June 30, 2024 as compared with $201.8 million for the prior-year period due to an increase in service revenue, partially offset by a decrease in equipment revenue.</w:t>
      </w:r>
    </w:p>
    <w:p>
      <w:pPr>
        <w:spacing w:after="0" w:line="74"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Service revenue increased to $81.9 million and $163.6 million, respectively, for the three- and six-month periods ended June 30, 2024, as compared with $79.1 million and $157.6 million, respectively, for the prior-year periods, due to increases in ARPU.</w:t>
      </w:r>
    </w:p>
    <w:p>
      <w:pPr>
        <w:spacing w:after="0" w:line="55"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Equipment revenue decreased to $20.1 million and $42.8 million, respectively, for the three- and six-month periods ended June 30, 2024, as compared with $24.2 million and $44.3 million, respectively, for the prior-year periods, due to a decrease in the number of ATG units sold, with 231 units and 489 units, respectively, sold during the three- and six-month periods ended June 30, 2024 as compared with 277 units and 500 units, respectively, sold during the prior-year periods.</w:t>
      </w:r>
    </w:p>
    <w:p>
      <w:pPr>
        <w:spacing w:after="0" w:line="74"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We expect service revenue to remain relatively flat in the near term as we prepare to launch Gogo 5G and Gogo Galileo and increase in the future as additional aircraft come online after the launch of those products. We expect equipment revenue to increase in the future driven by growth in sales of ATG units including Gogo 5G, and Gogo Galileo units.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9" w:lineRule="exact"/>
        <w:rPr>
          <w:sz w:val="20"/>
          <w:szCs w:val="20"/>
          <w:color w:val="auto"/>
        </w:rPr>
      </w:pPr>
    </w:p>
    <w:p>
      <w:pPr>
        <w:ind w:right="4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Cost of revenue and percent change for the three- and six-month periods ended June 30, 2024 and 2023 were as follows </w:t>
      </w:r>
      <w:r>
        <w:rPr>
          <w:rFonts w:ascii="Times New Roman" w:cs="Times New Roman" w:eastAsia="Times New Roman" w:hAnsi="Times New Roman"/>
          <w:sz w:val="18"/>
          <w:szCs w:val="18"/>
          <w:i w:val="1"/>
          <w:iCs w:val="1"/>
          <w:color w:val="auto"/>
        </w:rPr>
        <w:t>(in thousands, except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percent change)</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154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98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34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w w:val="99"/>
              </w:rPr>
              <w:t>Ended June 30,</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12.2 % $</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36,742</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33,616</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equipment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(6.3 )% $</w:t>
            </w:r>
          </w:p>
        </w:tc>
        <w:tc>
          <w:tcPr>
            <w:tcW w:w="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32,218</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35,663</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Cost of service revenue increased 12% and 9% to $18.9 million and $36.7 million, respectively, for the three- and six-month periods ended June 30, 2024, as compared with $16.8 million and $33.6 million, respectively, for the prior-year periods due to an increase in ATG network costs.</w:t>
      </w:r>
    </w:p>
    <w:p>
      <w:pPr>
        <w:spacing w:after="0" w:line="55"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expect cost of service revenue to increase over time, due to service revenue growth and increasing network costs, including those for Gogo 5G, Gogo Galileo, and increased data center costs.</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Cost of equipment revenue decreased 6% and 10% to $16.4 million and $32.2 million, respectively, for the three- and six-month periods ended June 30, 2024, as compared with $17.5 million and $35.7 million, respectively, for the prior-year periods due to non-reimbursable costs related to the FCC Reimbursement Program in the prior year.</w:t>
      </w:r>
    </w:p>
    <w:p>
      <w:pPr>
        <w:spacing w:after="0" w:line="69" w:lineRule="exact"/>
        <w:rPr>
          <w:sz w:val="20"/>
          <w:szCs w:val="20"/>
          <w:color w:val="auto"/>
        </w:rPr>
      </w:pPr>
    </w:p>
    <w:p>
      <w:pPr>
        <w:ind w:right="480" w:firstLine="509"/>
        <w:spacing w:after="0" w:line="265" w:lineRule="auto"/>
        <w:rPr>
          <w:sz w:val="20"/>
          <w:szCs w:val="20"/>
          <w:color w:val="auto"/>
        </w:rPr>
      </w:pPr>
      <w:r>
        <w:rPr>
          <w:rFonts w:ascii="Times New Roman" w:cs="Times New Roman" w:eastAsia="Times New Roman" w:hAnsi="Times New Roman"/>
          <w:sz w:val="18"/>
          <w:szCs w:val="18"/>
          <w:color w:val="auto"/>
        </w:rPr>
        <w:t>We expect that our cost of equipment revenue will increase with growth in units sold, including Gogo 5G and Gogo Galileo units, following the launch of those products. Additionally, we expect to incur additional costs associated with the FCC Reimbursement Program which we expect to be partially offset by the reimbursements from the FCC.</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2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Design and Development Expenses:</w:t>
      </w:r>
    </w:p>
    <w:p>
      <w:pPr>
        <w:spacing w:after="0" w:line="121" w:lineRule="exact"/>
        <w:rPr>
          <w:sz w:val="20"/>
          <w:szCs w:val="20"/>
          <w:color w:val="auto"/>
        </w:rPr>
      </w:pPr>
    </w:p>
    <w:p>
      <w:pPr>
        <w:ind w:right="520" w:firstLine="509"/>
        <w:spacing w:after="0" w:line="312" w:lineRule="auto"/>
        <w:rPr>
          <w:sz w:val="20"/>
          <w:szCs w:val="20"/>
          <w:color w:val="auto"/>
        </w:rPr>
      </w:pPr>
      <w:r>
        <w:rPr>
          <w:rFonts w:ascii="Times New Roman" w:cs="Times New Roman" w:eastAsia="Times New Roman" w:hAnsi="Times New Roman"/>
          <w:sz w:val="17"/>
          <w:szCs w:val="17"/>
          <w:color w:val="auto"/>
        </w:rPr>
        <w:t>Engineering, design and development expenses increased 12% and 14% to $10.3 million and $19.5 million, respectively, for the three- and six-month periods ended June 30, 2024, as compared with $9.2 million and $17.1 million, respectively, for the prior-year periods due to personnel costs.</w:t>
      </w:r>
    </w:p>
    <w:p>
      <w:pPr>
        <w:spacing w:after="0" w:line="31" w:lineRule="exact"/>
        <w:rPr>
          <w:sz w:val="20"/>
          <w:szCs w:val="20"/>
          <w:color w:val="auto"/>
        </w:rPr>
      </w:pPr>
    </w:p>
    <w:p>
      <w:pPr>
        <w:ind w:right="740" w:firstLine="509"/>
        <w:spacing w:after="0" w:line="265" w:lineRule="auto"/>
        <w:rPr>
          <w:sz w:val="20"/>
          <w:szCs w:val="20"/>
          <w:color w:val="auto"/>
        </w:rPr>
      </w:pPr>
      <w:r>
        <w:rPr>
          <w:rFonts w:ascii="Times New Roman" w:cs="Times New Roman" w:eastAsia="Times New Roman" w:hAnsi="Times New Roman"/>
          <w:sz w:val="18"/>
          <w:szCs w:val="18"/>
          <w:color w:val="auto"/>
        </w:rPr>
        <w:t>We expect engineering, design and development expenses as a percentage of service revenue to increase in 2024, driven by Gogo Galileo development costs and Gogo 5G program spend, and decrease thereafter as these developmental projects are completed and the level of investment decreases and revenue from these product roll-outs increases.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21" w:lineRule="exact"/>
        <w:rPr>
          <w:sz w:val="20"/>
          <w:szCs w:val="20"/>
          <w:color w:val="auto"/>
        </w:rPr>
      </w:pPr>
    </w:p>
    <w:p>
      <w:pPr>
        <w:ind w:right="360" w:firstLine="509"/>
        <w:spacing w:after="0" w:line="281" w:lineRule="auto"/>
        <w:rPr>
          <w:sz w:val="20"/>
          <w:szCs w:val="20"/>
          <w:color w:val="auto"/>
        </w:rPr>
      </w:pPr>
      <w:r>
        <w:rPr>
          <w:rFonts w:ascii="Times New Roman" w:cs="Times New Roman" w:eastAsia="Times New Roman" w:hAnsi="Times New Roman"/>
          <w:sz w:val="18"/>
          <w:szCs w:val="18"/>
          <w:color w:val="auto"/>
        </w:rPr>
        <w:t>Sales and marketing expenses increased 15% and 18% to $9.0 million and $17.3 million, respectively, for the three- and six-month periods ended June 30, 2024, as compared with $7.9 million and $14.7 million, respectively, for the prior-year periods due to personnel costs.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sales and marketing expenses as a percentage of service revenue to remain relatively flat in the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increased 66% and 33% to $21.8 million and $36.5 million, respectively, for the three- and six-month periods ended June 30, 2024, as compared with $13.2 million and $27.4 million, respectively, for the prior-year periods due to increased legal expenses.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general and administrative expenses as a percentage of service revenue to decrease over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 decreased 14% to $3.9 million for the three-month period ended June 30, 2024 as compared with $4.5 million for the prior-year period due to amortization of capitalized software. Depreciation and amortization expense increased 5% to $7.7 million for the six-month period ended June 30, 2024 as compared with $7.3 million for the prior-year period due to depreciation of network equipment.</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that our depreciation and amortization expense will increase in the future as we launch our Gogo 5G network.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right="5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Other expense (income) and percent change for the three- and six-month periods ended June 30, 2024 and 2023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except for percent change)</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39"/>
        </w:trPr>
        <w:tc>
          <w:tcPr>
            <w:tcW w:w="6620" w:type="dxa"/>
            <w:vAlign w:val="bottom"/>
          </w:tcPr>
          <w:p>
            <w:pPr>
              <w:spacing w:after="0"/>
              <w:rPr>
                <w:sz w:val="12"/>
                <w:szCs w:val="12"/>
                <w:color w:val="auto"/>
              </w:rPr>
            </w:pPr>
          </w:p>
        </w:tc>
        <w:tc>
          <w:tcPr>
            <w:tcW w:w="2420" w:type="dxa"/>
            <w:vAlign w:val="bottom"/>
            <w:gridSpan w:val="4"/>
          </w:tcPr>
          <w:p>
            <w:pPr>
              <w:jc w:val="center"/>
              <w:ind w:left="458"/>
              <w:spacing w:after="0" w:line="13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(2,120 )</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(1,971 )</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(36 )</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620" w:type="dxa"/>
            <w:vAlign w:val="bottom"/>
            <w:vMerge w:val="continue"/>
          </w:tcPr>
          <w:p>
            <w:pPr>
              <w:spacing w:after="0"/>
              <w:rPr>
                <w:sz w:val="20"/>
                <w:szCs w:val="20"/>
                <w:color w:val="auto"/>
              </w:rPr>
            </w:pPr>
          </w:p>
        </w:tc>
        <w:tc>
          <w:tcPr>
            <w:tcW w:w="82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280" w:type="dxa"/>
            <w:vAlign w:val="bottom"/>
          </w:tcPr>
          <w:p>
            <w:pPr>
              <w:spacing w:after="0"/>
              <w:rPr>
                <w:sz w:val="20"/>
                <w:szCs w:val="20"/>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220" w:type="dxa"/>
            <w:vAlign w:val="bottom"/>
          </w:tcPr>
          <w:p>
            <w:pPr>
              <w:spacing w:after="0"/>
              <w:rPr>
                <w:sz w:val="20"/>
                <w:szCs w:val="20"/>
                <w:color w:val="auto"/>
              </w:rPr>
            </w:pP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158.1 %</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over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(4,168 )</w:t>
            </w: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(3,887 )</w:t>
            </w:r>
          </w:p>
        </w:tc>
        <w:tc>
          <w:tcPr>
            <w:tcW w:w="15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16,782</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5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20" w:type="dxa"/>
            <w:vAlign w:val="bottom"/>
            <w:shd w:val="clear" w:color="auto" w:fill="CFF0FC"/>
          </w:tcPr>
          <w:p>
            <w:pPr>
              <w:spacing w:after="0"/>
              <w:rPr>
                <w:sz w:val="22"/>
                <w:szCs w:val="22"/>
                <w:color w:val="auto"/>
              </w:rPr>
            </w:pPr>
          </w:p>
        </w:tc>
        <w:tc>
          <w:tcPr>
            <w:tcW w:w="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2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(5 )</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620" w:type="dxa"/>
            <w:vAlign w:val="bottom"/>
            <w:vMerge w:val="continue"/>
          </w:tcPr>
          <w:p>
            <w:pPr>
              <w:spacing w:after="0"/>
              <w:rPr>
                <w:sz w:val="20"/>
                <w:szCs w:val="20"/>
                <w:color w:val="auto"/>
              </w:rPr>
            </w:pPr>
          </w:p>
        </w:tc>
        <w:tc>
          <w:tcPr>
            <w:tcW w:w="82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280" w:type="dxa"/>
            <w:vAlign w:val="bottom"/>
          </w:tcPr>
          <w:p>
            <w:pPr>
              <w:spacing w:after="0"/>
              <w:rPr>
                <w:sz w:val="20"/>
                <w:szCs w:val="20"/>
                <w:color w:val="auto"/>
              </w:rPr>
            </w:pPr>
          </w:p>
        </w:tc>
        <w:tc>
          <w:tcPr>
            <w:tcW w:w="80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15,114</w:t>
            </w: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-2066290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-1440815</wp:posOffset>
            </wp:positionV>
            <wp:extent cx="7132320" cy="1797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97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7"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Total other expense increased to $20.7 million for the three-month period ended June 30, 2024 as compared with $8.0 million for the prior-year period, due to the unrealized holding loss on the Investment in Convertible Note, partially offset by the loss on extinguishment of debt in the prior year resulting from the $100 million prepayment of the outstanding principal amount of the Term Loan Facility on May 3, 2023. Total other expense decreased to $14.0 million for the six-month period ended June 30, 2024 as compared with $15.1 million for the prior-year period, due to the loss on extinguishment of debt in the prior year, partially offset by the unrealized holding loss on the Investment in Convertible Note.</w:t>
      </w:r>
    </w:p>
    <w:p>
      <w:pPr>
        <w:spacing w:after="0" w:line="74"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We expect our interest expense to fluctuate in the future based on changes in the variable rates associated with the Facilities, partially offset by the impact of the interest rate caps. We expect these fluctuations to be impacted by the decrease in the hedge benefit</w:t>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30" w:name="page31"/>
    <w:bookmarkEnd w:id="30"/>
    <w:p>
      <w:pPr>
        <w:ind w:right="300"/>
        <w:spacing w:after="0" w:line="281" w:lineRule="auto"/>
        <w:rPr>
          <w:sz w:val="20"/>
          <w:szCs w:val="20"/>
          <w:color w:val="auto"/>
        </w:rPr>
      </w:pPr>
      <w:r>
        <w:rPr>
          <w:rFonts w:ascii="Times New Roman" w:cs="Times New Roman" w:eastAsia="Times New Roman" w:hAnsi="Times New Roman"/>
          <w:sz w:val="18"/>
          <w:szCs w:val="18"/>
          <w:color w:val="auto"/>
        </w:rPr>
        <w:t>as our hedge notional amount decreases and the strike rate increases. See Note 8, “Long-Term Debt and Other Liabilities,” to our Unaudited Condensed Consolidated Financial Statements for additional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three- and six-month periods ended June 30, 2024 were 13.6% and 26.1%, respectively, as compared to (245.3)% and (116.9)%, respectively, for the prior-year periods. For the three- and six-month periods ended June 30, 2024, our income tax provision was $0.1 million and $11.1 million, respectively, due to pre-tax income. For the three- and six-month periods ended June 30, 2023, our income tax benefit was $63.8 million and $59.4 million, respectively, due to a partial release of the valuation allowance on our deferred income tax assets. See Note 13, “Income Tax,” to our Unaudited Condensed Consolidated Financial Statements for additional information.</w:t>
      </w:r>
    </w:p>
    <w:p>
      <w:pPr>
        <w:spacing w:after="0" w:line="74"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We expect our income tax provision to increase in the long term as we continue to generate positive pre-tax income. We expect cash tax payments to be immaterial for an extended period of time, subject to the availability of our net operating loss carryforward amounts.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our discussion below, we discuss EBITDA, Adjusted EBITDA and Free Cash Flow, as defined below, which are non-GAAP financial measures. Management uses EBITDA, Adjusted EBITDA and Free Cash Flow for business planning purposes, including managing our business against internally projected results of operations and measuring our performance and liquidity. These supplemental performance measures also provide another basis for comparing period-to-period results by excluding potential differences caused by non-operational and unusual or non-recurring items. These supplemental performance measures may vary from and may not be comparable to similarly titled measures used by other companies. EBITDA, Adjusted EBITDA and Free Cash Flow are not recognized measurements under GAAP; when analyzing our performance with EBITDA or Adjusted EBITDA or liquidity with Free Cash Flow, as applicable, investors should (i) evaluate each adjustment in our reconciliation to the corresponding GAAP measure, and the explanatory footnotes regarding those adjustments, (ii) use EBITDA or Adjusted EBITDA in addition to, and not as an alternative to, net income attributable to common stock as a measure of operating results and (iii) use Free Cash Flow in addition to, and not as an alternative to, consolidated net cash provided by operating activities when evaluating our liquidity.</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Definition and Reconciliation of Non-GAAP Measures</w:t>
      </w:r>
    </w:p>
    <w:p>
      <w:pPr>
        <w:spacing w:after="0" w:line="119"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xml:space="preserve"> represents net income attributable to common stock before interest expense, interest income, income taxes and depreciation and amortization expense.</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u w:val="single" w:color="auto"/>
          <w:color w:val="auto"/>
        </w:rPr>
        <w:t>Adjusted EBITDA</w:t>
      </w:r>
      <w:r>
        <w:rPr>
          <w:rFonts w:ascii="Times New Roman" w:cs="Times New Roman" w:eastAsia="Times New Roman" w:hAnsi="Times New Roman"/>
          <w:sz w:val="18"/>
          <w:szCs w:val="18"/>
          <w:color w:val="auto"/>
        </w:rPr>
        <w:t xml:space="preserve"> represents EBITDA adjusted for (i) stock-based compensation expense, (ii) change in fair value of Investment in Convertible Note and (iii)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exclusion of stock-based compensation expense from Adjusted EBITDA provides a clearer view of the operating performance of our business and is appropriate given that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74"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from Adjusted EBITDA the changes in fair value of Investment in Convertible Note because this activity is not related to our operating performance.</w:t>
      </w:r>
    </w:p>
    <w:p>
      <w:pPr>
        <w:spacing w:after="0" w:line="55"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8"/>
          <w:szCs w:val="18"/>
          <w:color w:val="auto"/>
        </w:rPr>
        <w:t>We believe it is useful for an understanding of our operating performance to exclude the loss on extinguishment of debt from Adjusted EBITDA because of the infrequently occurring nature of this activity.</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We also present Adjusted EBITDA as a supplemental performance measure because we believe that this measure provides investors, securities analysts and other users of our consolidated financial statements with important supplemental information with which to evaluate our performance and to enable them to assess our performance on the same basis as management.</w:t>
      </w:r>
    </w:p>
    <w:p>
      <w:pPr>
        <w:spacing w:after="0" w:line="69" w:lineRule="exact"/>
        <w:rPr>
          <w:sz w:val="20"/>
          <w:szCs w:val="20"/>
          <w:color w:val="auto"/>
        </w:rPr>
      </w:pPr>
    </w:p>
    <w:p>
      <w:pPr>
        <w:ind w:right="200" w:firstLine="562"/>
        <w:spacing w:after="0" w:line="276" w:lineRule="auto"/>
        <w:rPr>
          <w:sz w:val="20"/>
          <w:szCs w:val="20"/>
          <w:color w:val="auto"/>
        </w:rPr>
      </w:pPr>
      <w:r>
        <w:rPr>
          <w:rFonts w:ascii="Times New Roman" w:cs="Times New Roman" w:eastAsia="Times New Roman" w:hAnsi="Times New Roman"/>
          <w:sz w:val="17"/>
          <w:szCs w:val="17"/>
          <w:u w:val="single" w:color="auto"/>
          <w:color w:val="auto"/>
        </w:rPr>
        <w:t>Free Cash Flow</w:t>
      </w:r>
      <w:r>
        <w:rPr>
          <w:rFonts w:ascii="Times New Roman" w:cs="Times New Roman" w:eastAsia="Times New Roman" w:hAnsi="Times New Roman"/>
          <w:sz w:val="17"/>
          <w:szCs w:val="17"/>
          <w:color w:val="auto"/>
        </w:rPr>
        <w:t xml:space="preserve"> represents net cash provided by operating activities, plus the proceeds received from the FCC Reimbursement Program and the interest rate caps, less purchases of property and equipment and the acquisition of intangible assets. We believe that Free Cash Flow provides meaningful information regarding our liquidity.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of making capital allocation decisions.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Gogo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tbl>
      <w:tblPr>
        <w:tblLayout w:type="fixed"/>
        <w:tblInd w:w="0" w:type="dxa"/>
        <w:tblCellMar>
          <w:top w:w="0" w:type="dxa"/>
          <w:left w:w="0" w:type="dxa"/>
          <w:bottom w:w="0" w:type="dxa"/>
          <w:right w:w="0" w:type="dxa"/>
        </w:tblCellMar>
      </w:tblPr>
      <w:tr>
        <w:trPr>
          <w:trHeight w:val="146"/>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5"/>
          </w:tcPr>
          <w:p>
            <w:pPr>
              <w:jc w:val="right"/>
              <w:ind w:right="840"/>
              <w:spacing w:after="0" w:line="146"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260" w:type="dxa"/>
            <w:vAlign w:val="bottom"/>
          </w:tcPr>
          <w:p>
            <w:pPr>
              <w:spacing w:after="0"/>
              <w:rPr>
                <w:sz w:val="12"/>
                <w:szCs w:val="12"/>
                <w:color w:val="auto"/>
              </w:rPr>
            </w:pPr>
          </w:p>
        </w:tc>
        <w:tc>
          <w:tcPr>
            <w:tcW w:w="2360" w:type="dxa"/>
            <w:vAlign w:val="bottom"/>
            <w:gridSpan w:val="5"/>
          </w:tcPr>
          <w:p>
            <w:pPr>
              <w:jc w:val="right"/>
              <w:ind w:right="760"/>
              <w:spacing w:after="0" w:line="146" w:lineRule="exact"/>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89,849</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(2,120 )</w:t>
            </w:r>
          </w:p>
        </w:tc>
        <w:tc>
          <w:tcPr>
            <w:tcW w:w="3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(1,971 )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(4,168 )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(3,887 )</w:t>
            </w: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(63,827 )</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(59,439 )</w:t>
            </w: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00" w:type="dxa"/>
            <w:vAlign w:val="bottom"/>
          </w:tcPr>
          <w:p>
            <w:pPr>
              <w:spacing w:after="0"/>
              <w:rPr>
                <w:sz w:val="20"/>
                <w:szCs w:val="20"/>
                <w:color w:val="auto"/>
              </w:rPr>
            </w:pP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10,851</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36,396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62,465</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71,084</w:t>
            </w: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10,494</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convertible note investment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30,430</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44,073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73,752</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83,802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provided by operating activities (GAAP)</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4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Consolidated capital expenditures</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(6,527 )</w:t>
            </w:r>
          </w:p>
        </w:tc>
        <w:tc>
          <w:tcPr>
            <w:tcW w:w="3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(8,766 )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(10,698 )</w:t>
            </w:r>
          </w:p>
        </w:tc>
        <w:tc>
          <w:tcPr>
            <w:tcW w:w="3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(13,362 )</w:t>
            </w:r>
          </w:p>
        </w:tc>
      </w:tr>
      <w:tr>
        <w:trPr>
          <w:trHeight w:val="21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FCC Reimbursement Program for property, equipment and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interest rate caps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26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56,921</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33,268</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-1275080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-1257935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-1275080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-1257935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-1275080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-1257935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-187960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Material limitations of Non-GAAP measures</w:t>
      </w:r>
    </w:p>
    <w:p>
      <w:pPr>
        <w:spacing w:after="0" w:line="119"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Although EBITDA, Adjusted EBITDA and Free Cash Flow are measurements frequently used by investors and securities analysts in their evaluations of companies, EBITDA, Adjusted EBITDA and Free Cash Flow each have limitations as an analytical tool, and you should not consider them in isolation or as a substitute for, or more meaningful than, amounts determined in accordance with GAAP.</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include:</w:t>
      </w:r>
    </w:p>
    <w:p>
      <w:pPr>
        <w:spacing w:after="0" w:line="117"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interest income or expense;</w:t>
      </w:r>
    </w:p>
    <w:p>
      <w:pPr>
        <w:spacing w:after="0" w:line="117"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cash requirements for our income taxes;</w:t>
      </w:r>
    </w:p>
    <w:p>
      <w:pPr>
        <w:spacing w:after="0" w:line="116" w:lineRule="exact"/>
        <w:rPr>
          <w:rFonts w:ascii="Times New Roman" w:cs="Times New Roman" w:eastAsia="Times New Roman" w:hAnsi="Times New Roman"/>
          <w:sz w:val="18"/>
          <w:szCs w:val="18"/>
          <w:color w:val="auto"/>
        </w:rPr>
      </w:pPr>
    </w:p>
    <w:p>
      <w:pPr>
        <w:ind w:left="1020" w:right="26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components of employee compensation;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unrealized holding gains or losses on investments in convertible notes;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loss on extinguishment of debt;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does not represent the total increase or decrease in our cash balance for the period; and</w:t>
      </w:r>
    </w:p>
    <w:p>
      <w:pPr>
        <w:spacing w:after="0" w:line="116" w:lineRule="exact"/>
        <w:rPr>
          <w:rFonts w:ascii="Times New Roman" w:cs="Times New Roman" w:eastAsia="Times New Roman" w:hAnsi="Times New Roman"/>
          <w:sz w:val="18"/>
          <w:szCs w:val="18"/>
          <w:color w:val="auto"/>
        </w:rPr>
      </w:pPr>
    </w:p>
    <w:p>
      <w:pPr>
        <w:ind w:left="1020" w:right="820" w:hanging="503"/>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other companies in our or related industries may calculate these measures differently from the way we do, their usefulness as comparative measures may be limited.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 activity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1420" w:type="dxa"/>
        <w:tblCellMar>
          <w:top w:w="0" w:type="dxa"/>
          <w:left w:w="0" w:type="dxa"/>
          <w:bottom w:w="0" w:type="dxa"/>
          <w:right w:w="0" w:type="dxa"/>
        </w:tblCellMar>
      </w:tblPr>
      <w:tr>
        <w:trPr>
          <w:trHeight w:val="169"/>
        </w:trPr>
        <w:tc>
          <w:tcPr>
            <w:tcW w:w="58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80" w:type="dxa"/>
            <w:vAlign w:val="bottom"/>
            <w:shd w:val="clear" w:color="auto" w:fill="CFF0FC"/>
          </w:tcPr>
          <w:p>
            <w:pPr>
              <w:spacing w:after="0"/>
              <w:rPr>
                <w:sz w:val="20"/>
                <w:szCs w:val="20"/>
                <w:color w:val="auto"/>
              </w:rPr>
            </w:pP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(2,685 )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80" w:type="dxa"/>
            <w:vAlign w:val="bottom"/>
          </w:tcPr>
          <w:p>
            <w:pPr>
              <w:spacing w:after="0"/>
              <w:rPr>
                <w:sz w:val="20"/>
                <w:szCs w:val="20"/>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(29,453 )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(111,469 )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r>
      <w:tr>
        <w:trPr>
          <w:trHeight w:val="24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22,514</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(53,350 )</w:t>
            </w:r>
          </w:p>
        </w:tc>
      </w:tr>
      <w:tr>
        <w:trPr>
          <w:trHeight w:val="23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139,366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150,880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97,530</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information:</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161,880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97,530</w:t>
            </w:r>
          </w:p>
        </w:tc>
        <w:tc>
          <w:tcPr>
            <w:tcW w:w="80" w:type="dxa"/>
            <w:vAlign w:val="bottom"/>
            <w:shd w:val="clear" w:color="auto" w:fill="CFF0FC"/>
          </w:tcPr>
          <w:p>
            <w:pPr>
              <w:spacing w:after="0"/>
              <w:rPr>
                <w:sz w:val="21"/>
                <w:szCs w:val="21"/>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non-current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r>
      <w:tr>
        <w:trPr>
          <w:trHeight w:val="27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161,550</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-675640</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-675640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historically financed our growth and cash needs primarily through the issuance of common stock, debt and cash from operating activities. We continually evaluate our ongoing capital needs in light of increasing demand for our services, capacity requirements, evolving user expectations regarding the in-flight connectivity experience, evolving technologies in our industry and related strategic, operational and technological opportunities. Our capital management activities include the assessment of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ind w:right="80" w:firstLine="509"/>
        <w:spacing w:after="0" w:line="265" w:lineRule="auto"/>
        <w:rPr>
          <w:sz w:val="20"/>
          <w:szCs w:val="20"/>
          <w:color w:val="auto"/>
        </w:rPr>
      </w:pPr>
      <w:r>
        <w:rPr>
          <w:rFonts w:ascii="Times New Roman" w:cs="Times New Roman" w:eastAsia="Times New Roman" w:hAnsi="Times New Roman"/>
          <w:sz w:val="18"/>
          <w:szCs w:val="18"/>
          <w:color w:val="auto"/>
        </w:rPr>
        <w:t>Based on our current plans, we expect our cash and cash equivalents, cash flows provided by operating activities and access to capital markets will be sufficient to meet the cash requirements of our business, including capital expenditure requirements, debt maturities and share repurchases, if any, for at least the next twelve months and thereafter for the foreseeable future.</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Securities Exchange Act, as amended, in accordance with applicable securities laws and other restrictions, including Rule 10b-18 under the Securities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 We do not expect to incur debt to fund the share repurchase program. During the six-month period ended June 30, 2024, we repurchased an aggregate 2.6 million shares of our common stock for $23.2 million. As of June 30, 2024, the remaining amount available to be repurchased under the program was $22.1 million.</w:t>
      </w:r>
    </w:p>
    <w:p>
      <w:pPr>
        <w:spacing w:after="0" w:line="7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As detailed in Note 8, “Long-Term Debt and Other Liabilities,” on April 30, 2021, GIH entered into the 2021 Credit Agreement with Gogo, the lenders and issuing banks party thereto and Morgan Stanley Senior Funding, Inc., as administrative agent, which provides for the Term Loan Facility in an aggregate principal amount of $725.0 million, issued with a discount of 0.5%, and the Revolving Facility, which includes a letter of credit sub-facility.</w:t>
      </w:r>
    </w:p>
    <w:p>
      <w:pPr>
        <w:spacing w:after="0" w:line="6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On February 2, 2023, Gogo and GIH entered into an amendment to the Original 2021 Credit Agreement with Morgan Stanley Senior Funding, Inc., as administrative agent, which replaced all references in the Original 2021 Credit Agreement to LIBOR in respect of the applicable interest rates for the Facilities with an adjusted term SOFR rate, plus a credit spread adjustment recommended by the Alternative Reference Rates Committee.</w:t>
      </w:r>
    </w:p>
    <w:p>
      <w:pPr>
        <w:spacing w:after="0" w:line="6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 Term Loan Facility amortizes in nominal quarterly installments equal to 1% of the aggregate initial principal amount thereof per annum, with the remaining balance payable upon final maturity on April 30, 2028. There are no amortization payments under the Revolving Facility, and all borrowings under the Revolving Facility mature on April 30, 2026.</w:t>
      </w:r>
    </w:p>
    <w:p>
      <w:pPr>
        <w:spacing w:after="0" w:line="69"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The Term Loan Facility bears annual interest at a floating rate measured by reference to, at GIH’s option, either (i) an adjusted term SOFR rate (subject to a floor of 0.75%) plus an applicable margin of 3.75% and a credit spread adjustment recommended by the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4" w:right="359" w:bottom="1440" w:gutter="0" w:footer="0" w:header="0"/>
        </w:sectPr>
      </w:pPr>
    </w:p>
    <w:bookmarkStart w:id="33" w:name="page34"/>
    <w:bookmarkEnd w:id="33"/>
    <w:p>
      <w:pPr>
        <w:ind w:right="200"/>
        <w:spacing w:after="0" w:line="281" w:lineRule="auto"/>
        <w:rPr>
          <w:sz w:val="20"/>
          <w:szCs w:val="20"/>
          <w:color w:val="auto"/>
        </w:rPr>
      </w:pPr>
      <w:r>
        <w:rPr>
          <w:rFonts w:ascii="Times New Roman" w:cs="Times New Roman" w:eastAsia="Times New Roman" w:hAnsi="Times New Roman"/>
          <w:sz w:val="18"/>
          <w:szCs w:val="18"/>
          <w:color w:val="auto"/>
        </w:rPr>
        <w:t>Alternative Reference Rates Committee of 0.11%, 0.26% or 0.43% per annum based on 1-month, 3-month or 6-month term SOFR, respectively or (ii) an alternate base rate plus an applicable margin of 2.75%.</w:t>
      </w:r>
    </w:p>
    <w:p>
      <w:pPr>
        <w:spacing w:after="0" w:line="5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Loans outstanding under the Revolving Facility bear annual interest at a floating rate measured by reference to, at GIH’s option, either (i) an adjusted term SOFR rate (subject to a floor of 0.00%) plus an applicable margin ranging from 3.25% to 3.75% per annum depending on GIH’s senior secured first lien net leverage ratio and a credit spread adjustment recommended by the Alternative Reference Rates Committee of 0.11%, 0.26% or 0.43% per annum based on 1-month, 3-month or 6-month term SOFR, respectively or (ii) an alternate base rate plus an applicable margin ranging from 2.25% to 2.75% per annum depending on GIH’s senior secured first lien net leverage ratio. Additionally, unused commitments under the Revolving Facility are subject to a fee ranging from 0.25% to 0.50% per annum depending on GIH’s senior secured first lien net leverage ratio. As of June 30, 2024, the fee for unused commitments under the Revolving Facility was 0.25% and the applicable margin was 3.25%.</w:t>
      </w:r>
    </w:p>
    <w:p>
      <w:pPr>
        <w:spacing w:after="0" w:line="79"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The Facilities may be prepaid at GIH’s option at any time without premium or penalty (other than customary breakage costs), subject to minimum principal payment amount requirements. On May 3, 2023, the Company prepaid $100 million of the outstanding principal amount of the Term Loan Facility.</w:t>
      </w:r>
    </w:p>
    <w:p>
      <w:pPr>
        <w:spacing w:after="0" w:line="6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Subject to certain exceptions and de minimis thresholds, the Term Loan Facility is subject to mandatory prepayments in an amount equal to: (i) 100% of the net cash proceeds of certain asset sales, insurance recovery and condemnation events, subject to reduction to 50% and 0% if specified senior secured first lien net leverage ratio targets are met; (ii) 100% of the net cash proceeds of certain debt offerings; and (iii) 50% of annual excess cash flow (as defined in the 2021 Credit Agreement), subject to reduction to 25% and 0% if specified senior secured first lien net leverage ratio targets are met.</w:t>
      </w:r>
    </w:p>
    <w:p>
      <w:pPr>
        <w:spacing w:after="0" w:line="74"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Revolving Facility includes a financial covenant set at a maximum senior secured first lien net leverage ratio of 7.50:1.00, which will apply if the outstanding amount of loans and unreimbursed letter of credit drawings thereunder at the end of any fiscal quarter exceeds 35% of the aggregate of all commitments thereunder.</w:t>
      </w:r>
    </w:p>
    <w:p>
      <w:pPr>
        <w:spacing w:after="0" w:line="6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The 2021 Credit Agreement contains customary events of default, which, if any of them occurred, would permit or require the principal, premium, if any, and interest on all of the then outstanding obligations under the Facilities to be due and payable immediately and the commitments under the Revolving Facility to be terminated.</w:t>
      </w:r>
    </w:p>
    <w:p>
      <w:pPr>
        <w:spacing w:after="0" w:line="6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2021 Credit Agreement contains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the growth of our business to the extent that our cash, cash equivalents and short-term investments and cash generated through operating activities prove insufficient or we are unable to raise additional financing through the issuance of equity, permitted incurrences of debt (by us or by GIH and its subsidiaries), or the pursuit of potential strategic alternatives.</w:t>
      </w:r>
    </w:p>
    <w:p>
      <w:pPr>
        <w:spacing w:after="0" w:line="7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The proceeds of the Term Loan Facility were used, together with cash on hand, (i) to redeem in full and pay the outstanding principal amount of the 2024 Senior Secured Notes together with accrued and unpaid interest and redemption premiums and to pay fees associated with the termination of the ABL Credit Agreement (together with the redemption of the 2024 Senior Secured Notes, the “Refinancing”), and (ii) to pay the other fees and expenses incurred in connection with the Refinancing and the Facilities. The Revolving Facility is available for working capital and general corporate purposes of GIH and its subsidiaries and was undrawn as of June 30, 2024 and December 31, 2023.</w:t>
      </w:r>
    </w:p>
    <w:p>
      <w:pPr>
        <w:spacing w:after="0" w:line="74" w:lineRule="exact"/>
        <w:rPr>
          <w:sz w:val="20"/>
          <w:szCs w:val="20"/>
          <w:color w:val="auto"/>
        </w:rPr>
      </w:pPr>
    </w:p>
    <w:p>
      <w:pPr>
        <w:ind w:right="58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2021 Credit Agreement, see Note 8, “Long-Term Debt and Other Liabilities,” to our Unaudited Condensed Consolidated Financial Statements.</w:t>
      </w:r>
    </w:p>
    <w:p>
      <w:pPr>
        <w:spacing w:after="0" w:line="5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2021, we purchased interest rate caps with an aggregate notional amount of $650.0 million for $8.6 million. We receive payments in the amount calculated pursuant to the caps for any period in which the daily compounded SOFR rate plus a credit spread adjustment recommended by the Alternative Reference Rates Committees of 0.26% increases beyond the applicable strike rate. The termination date of the cap agreements is July 31, 2027. The notional amounts of the interest rate caps periodically decrease over the life of the caps with the first reduction of $125.0 million having occurred on July 31, 2023. The aggregate notional amount of the interest rate caps as of June 30, 2024 is $525.0 million. While the interest rate caps are intended to limit our interest rate exposure under our variable rate indebtedness, which includes the Facilities, if our variable rate indebtedness does not decrease in proportion to the periodic decreases in the notional amount hedged under the interest rate caps, then the portion of such indebtedness that will be effectively hedged against possible increases in interest rates will decrease. In addition, the strike prices periodically increase over the life of the caps. As a result, the extent to which the interest rate caps will limit our interest rate exposure will decrease in the future.</w:t>
      </w:r>
    </w:p>
    <w:p>
      <w:pPr>
        <w:spacing w:after="0" w:line="78"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For additional information on the interest rate caps, see Note 9, “Derivative Instruments and Hedging Activities,” to our Unaudited Condensed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Operating Activities: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presents a summary of our cash flows from operating activities for the periods set forth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spacing w:after="0" w:line="5"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Ended 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4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110,298</w:t>
            </w:r>
          </w:p>
        </w:tc>
        <w:tc>
          <w:tcPr>
            <w:tcW w:w="80" w:type="dxa"/>
            <w:vAlign w:val="bottom"/>
            <w:shd w:val="clear" w:color="auto" w:fill="CFF0FC"/>
          </w:tcPr>
          <w:p>
            <w:pPr>
              <w:spacing w:after="0"/>
              <w:rPr>
                <w:sz w:val="20"/>
                <w:szCs w:val="20"/>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Non-cash charges and credits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(37,086 )</w:t>
            </w:r>
          </w:p>
        </w:tc>
      </w:tr>
      <w:tr>
        <w:trPr>
          <w:trHeight w:val="247"/>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(9,950 )</w:t>
            </w:r>
          </w:p>
        </w:tc>
        <w:tc>
          <w:tcPr>
            <w:tcW w:w="26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(39,071 )</w:t>
            </w:r>
          </w:p>
        </w:tc>
      </w:tr>
      <w:tr>
        <w:trPr>
          <w:trHeight w:val="236"/>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54,606</w:t>
            </w:r>
          </w:p>
        </w:tc>
        <w:tc>
          <w:tcPr>
            <w:tcW w:w="2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80" w:type="dxa"/>
            <w:vAlign w:val="bottom"/>
            <w:tcBorders>
              <w:top w:val="single" w:sz="8" w:color="CFF0FC"/>
            </w:tcBorders>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18"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For the six-month period ended June 30, 2024, net cash provided by operating activities was $54.6 million as compared with $34.1 million in the prior-year period. The principal contributors to the year-over-year change in operating cash flows were:</w:t>
      </w:r>
    </w:p>
    <w:p>
      <w:pPr>
        <w:spacing w:after="0" w:line="55"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$8.7 million decrease in net income and non-cash charges and credits, as noted above under “Results of Operations.”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$29.1 million improvement in cash flows related to operating assets and liabilities resulting from:</w:t>
      </w:r>
    </w:p>
    <w:p>
      <w:pPr>
        <w:spacing w:after="0" w:line="11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increase in cash flows due to the following:</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liabilities due to the timing of payments related to personnel costs;</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accrued interest due to the change in timing of payments;</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inventories due to the timing of purchases;</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accounts payable due to the timing of payments; and</w:t>
      </w:r>
    </w:p>
    <w:p>
      <w:pPr>
        <w:spacing w:after="0" w:line="116" w:lineRule="exact"/>
        <w:rPr>
          <w:rFonts w:ascii="Times New Roman" w:cs="Times New Roman" w:eastAsia="Times New Roman" w:hAnsi="Times New Roman"/>
          <w:sz w:val="18"/>
          <w:szCs w:val="18"/>
          <w:color w:val="auto"/>
        </w:rPr>
      </w:pPr>
    </w:p>
    <w:p>
      <w:pPr>
        <w:ind w:left="2380" w:hanging="500"/>
        <w:spacing w:after="0"/>
        <w:tabs>
          <w:tab w:leader="none" w:pos="23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prepaid expenses and other current assets related to the FCC Reimbursement Program.</w:t>
      </w:r>
    </w:p>
    <w:p>
      <w:pPr>
        <w:spacing w:after="0" w:line="117" w:lineRule="exact"/>
        <w:rPr>
          <w:sz w:val="20"/>
          <w:szCs w:val="20"/>
          <w:color w:val="auto"/>
        </w:rPr>
      </w:pPr>
    </w:p>
    <w:p>
      <w:pPr>
        <w:ind w:left="1540" w:hanging="513"/>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decrease in cash flows due to changes in accounts receivable due to the timing of collections.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Cash used in investing activities was $2.7 million for the six-month period ended June 30, 2024, due to $10.7 million of capital expenditures noted below and a $5.0 million convertible note investment, partially offset by $12.9 million of proceeds from interest rate caps and $0.1 million of proceeds received from the FCC Reimbursement Program associated with the reimbursement of capital expenditures.</w:t>
      </w:r>
    </w:p>
    <w:p>
      <w:pPr>
        <w:spacing w:after="0" w:line="69" w:lineRule="exact"/>
        <w:rPr>
          <w:sz w:val="20"/>
          <w:szCs w:val="20"/>
          <w:color w:val="auto"/>
        </w:rPr>
      </w:pPr>
    </w:p>
    <w:p>
      <w:pPr>
        <w:ind w:right="160" w:firstLine="509"/>
        <w:spacing w:after="0" w:line="312" w:lineRule="auto"/>
        <w:rPr>
          <w:sz w:val="20"/>
          <w:szCs w:val="20"/>
          <w:color w:val="auto"/>
        </w:rPr>
      </w:pPr>
      <w:r>
        <w:rPr>
          <w:rFonts w:ascii="Times New Roman" w:cs="Times New Roman" w:eastAsia="Times New Roman" w:hAnsi="Times New Roman"/>
          <w:sz w:val="17"/>
          <w:szCs w:val="17"/>
          <w:color w:val="auto"/>
        </w:rPr>
        <w:t>Cash provided by investing activities was $23.9 million for the six-month period ended June 30, 2023, due to $24.8 million of net proceeds from short-term investments and $12.5 million of proceeds from interest rate caps, partially offset by $13.4 million of capital expenditures noted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Financing Activities:</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six-month period ended June 30, 2024 was $29.5 million due to share repurchases, principal payments on the Term Loan Facility and stock-based compensation activities.</w:t>
      </w:r>
    </w:p>
    <w:p>
      <w:pPr>
        <w:spacing w:after="0" w:line="55"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Cash used in financing activities for the six-month period ended June 30, 2023 was $111.5 million, due to principal payments on the Term Loan Facility and stock-based compensation activities.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Our operations require capital expenditures associated with our ATG network, data centers and regulatory licenses. We capitalize software development costs related to network technology solutions. We also capitalize costs related to the build out of our office locations.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Capital expenditures for the six-month periods ended June 30, 2024 and 2023 were $10.7 million and $13.4 million, respectively.</w:t>
      </w:r>
    </w:p>
    <w:p>
      <w:pPr>
        <w:spacing w:after="0" w:line="117"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We expect that our capital expenditures will increase in the near term due to Gogo 5G and the build out of the LTE network related to the FCC Reimbursement Program. This increase may be partially offset by reimbursements from the FCC. We expect that our capital expenditures will decrease starting in 2026 as these programs are completed.</w:t>
      </w:r>
    </w:p>
    <w:p>
      <w:pPr>
        <w:spacing w:after="0" w:line="17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6"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19" w:lineRule="exact"/>
        <w:rPr>
          <w:sz w:val="20"/>
          <w:szCs w:val="20"/>
          <w:color w:val="auto"/>
        </w:rPr>
      </w:pPr>
    </w:p>
    <w:p>
      <w:pPr>
        <w:ind w:right="40" w:firstLine="509"/>
        <w:spacing w:after="0" w:line="289" w:lineRule="auto"/>
        <w:rPr>
          <w:sz w:val="20"/>
          <w:szCs w:val="20"/>
          <w:color w:val="auto"/>
        </w:rPr>
      </w:pPr>
      <w:r>
        <w:rPr>
          <w:rFonts w:ascii="Times New Roman" w:cs="Times New Roman" w:eastAsia="Times New Roman" w:hAnsi="Times New Roman"/>
          <w:sz w:val="17"/>
          <w:szCs w:val="17"/>
          <w:i w:val="1"/>
          <w:iCs w:val="1"/>
          <w:color w:val="auto"/>
        </w:rPr>
        <w:t xml:space="preserve">Contractual Commitments: </w:t>
      </w:r>
      <w:r>
        <w:rPr>
          <w:rFonts w:ascii="Times New Roman" w:cs="Times New Roman" w:eastAsia="Times New Roman" w:hAnsi="Times New Roman"/>
          <w:sz w:val="17"/>
          <w:szCs w:val="17"/>
          <w:color w:val="auto"/>
        </w:rPr>
        <w:t>We have agreements with various vendors under which we have remaining commitments to purchase hardware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and development services. Such commitments will become payable as we receive the hardware components or as development services are provided. See Note 15, “Commitments and Contingencies,” to our Unaudited Condensed Consolidated Financial Statements for additional information.</w:t>
      </w:r>
    </w:p>
    <w:p>
      <w:pPr>
        <w:spacing w:after="0" w:line="49"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Leases and Cell Site Contracts: </w:t>
      </w:r>
      <w:r>
        <w:rPr>
          <w:rFonts w:ascii="Times New Roman" w:cs="Times New Roman" w:eastAsia="Times New Roman" w:hAnsi="Times New Roman"/>
          <w:sz w:val="18"/>
          <w:szCs w:val="18"/>
          <w:color w:val="auto"/>
        </w:rPr>
        <w:t>We have lease agreements relating to certain facilities and equipment, which are considered operating leases.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14, “Leases,” to our Unaudited Condensed Consolidated Financial Statements for additional information.</w:t>
      </w:r>
    </w:p>
    <w:p>
      <w:pPr>
        <w:spacing w:after="0" w:line="16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196" w:right="5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exposure to market risk is currently confined to our cash and cash equivalents, short-term investments and debt. We have not used derivative financial instruments for speculation or trading purposes. The primary objectives of our investment activities are to preserve our capital for the purpose of funding operations while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both June 30, 2024 and December 31, 2023 primarily included amounts in bank deposit accounts, U.S. Treasury securities and money market funds with U.S. Government and U.S. Treasury securities. The primary objective of our investment policy is to preserve capital and maintain liquidity while limiting concentration and counterparty risk.</w:t>
      </w:r>
    </w:p>
    <w:p>
      <w:pPr>
        <w:spacing w:after="0" w:line="79" w:lineRule="exact"/>
        <w:rPr>
          <w:sz w:val="20"/>
          <w:szCs w:val="20"/>
          <w:color w:val="auto"/>
        </w:rPr>
      </w:pPr>
    </w:p>
    <w:p>
      <w:pPr>
        <w:jc w:val="both"/>
        <w:ind w:right="520" w:firstLine="509"/>
        <w:spacing w:after="0" w:line="265" w:lineRule="auto"/>
        <w:rPr>
          <w:sz w:val="20"/>
          <w:szCs w:val="20"/>
          <w:color w:val="auto"/>
        </w:rPr>
      </w:pPr>
      <w:r>
        <w:rPr>
          <w:rFonts w:ascii="Times New Roman" w:cs="Times New Roman" w:eastAsia="Times New Roman" w:hAnsi="Times New Roman"/>
          <w:sz w:val="18"/>
          <w:szCs w:val="18"/>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6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exposed to interest rate risk on our variable rate indebtedness, which includes borrowings under the Term Loan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Revolving Facility (if any). We assess our market risks based on changes in interest rates utilizing a sensitivity analysis that measures the potential impact on earnings and cash flows based on a hypothetical one percentage point change in interest rates. As of June 30, 2024, we had interest rate cap agreements to hedge a portion of our exposure to interest rate movements of our variable rate debt and to manage our interest expense. Currently, we receive payments in the amounts calculated pursuant to the caps for any period in which the daily compounded SOFR rate plus a credit spread adjustment recommended by the Alternative Reference Rates Committee of 0.26% increases beyond the applicable strike rate. The termination date of the cap agreements is July 31, 2027. Over the life of the interest rate caps, the notional amounts of the caps periodically decrease, while the applicable strike prices increase.</w:t>
      </w:r>
    </w:p>
    <w:p>
      <w:pPr>
        <w:spacing w:after="0" w:line="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notional amount of outstanding debt associated with interest rate cap agreements as of June 30, 2024 was $525.0 million. Based on our June 30, 2024 outstanding variable rate debt balance, a hypothetical one percentage point change in the applicable interest rate would impact our annual interest expense by approximately $2.4 million for the next twelve-month period, which includes the impact of our interest rate caps at a strike rate of 0.75% and the $175 million reduction in the notional amount and an increase of the strike rate to 1.25% that will occur on July 31, 2024. Excluding the impact of our interest rate caps, a hypothetical one percentage point change in the applicable interest rate would impact our annual interest expense by approximately $6.0 million for the next twelve-month period.</w:t>
      </w:r>
    </w:p>
    <w:p>
      <w:pPr>
        <w:spacing w:after="0" w:line="78"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Our earnings are affected by changes in interest rates due to the impact those changes have on interest income generated from our cash, cash equivalents and short-term investments. We believe we have minimal interest rate risk as a 10% decrease in the average interest rate on our portfolio would have reduced interest income for the three- and six-month periods ended June 30, 2024 and 2023 by immaterial amounts.</w:t>
      </w:r>
    </w:p>
    <w:p>
      <w:pPr>
        <w:spacing w:after="0" w:line="67" w:lineRule="exact"/>
        <w:rPr>
          <w:sz w:val="20"/>
          <w:szCs w:val="20"/>
          <w:color w:val="auto"/>
        </w:rPr>
      </w:pPr>
    </w:p>
    <w:p>
      <w:pPr>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We do not believe that inflation has had a material effect on our results of operations. However, there can be no assurance that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be affected by inflation in the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w:t>
      </w:r>
    </w:p>
    <w:p>
      <w:pPr>
        <w:spacing w:after="0" w:line="117"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June 30, 2024. Based upon this evaluation, our Chief Executive Officer and the Chief Financial Officer have concluded that our disclosure controls and procedures were effective as of June 30, 2024.</w:t>
      </w:r>
    </w:p>
    <w:p>
      <w:pPr>
        <w:spacing w:after="0" w:line="74" w:lineRule="exact"/>
        <w:rPr>
          <w:sz w:val="20"/>
          <w:szCs w:val="20"/>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We are subject to lawsuits arising out of the conduct of our business. See Note 15, “Commitments and Contingencies,” to our Unaudited Condensed Consolidated Financial Statements for a discussion of litigation matters.</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cannot predict with certainty the outcome of any litigation or the potential for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18"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34"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“Item 1A. Risk Factors” of our 2023 10-K includes a discussion of our risk factors. The information presented below updates, and should be read in conjunction with, the risk factors and information disclosed in our 2023 10-K. Except as set forth below, there have been no material changes to the risk factors previously disclosed in our 2023 10-K.</w:t>
      </w:r>
    </w:p>
    <w:p>
      <w:pPr>
        <w:spacing w:after="0" w:line="65" w:lineRule="exact"/>
        <w:rPr>
          <w:sz w:val="20"/>
          <w:szCs w:val="20"/>
          <w:color w:val="auto"/>
        </w:rPr>
      </w:pPr>
    </w:p>
    <w:p>
      <w:pPr>
        <w:ind w:right="40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delayed in deploying Gogo 5G, and may be unsuccessful or further delayed in developing and deploying this or other next generation technologies.</w:t>
      </w:r>
    </w:p>
    <w:p>
      <w:pPr>
        <w:spacing w:after="0" w:line="5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a next generation ATG network using 5G technology, unlicensed spectrum, and licensed spectrum. Gogo 5G will be capable of working with different spectrum and supporting different next generation technologies. As previously disclosed, we are delayed in our commercial, nationwide launch of Gogo 5G due to a design error in a non-5G component of our chip, which was designed by a third-party subcontractor of our 5G solution provider. We currently expect the launch of Gogo 5G to occur in the second quarter of 2025, and are working with our vendors to finalize the schedule.</w:t>
      </w:r>
    </w:p>
    <w:p>
      <w:pPr>
        <w:spacing w:after="0" w:line="74"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There can be no assurance that, during the current delay of our 5G launch, our customers will not seek alternative technologies of competitors. The launch of 5G may, depending on the impact of delays, launch closely in time or shortly after the launch of Gogo Galileo service, which could impede our marketing and sales efforts with respect to either offering, due to possible customer confusion among the offerings or lack of sufficient customer focus on either one during launch. Additionally, while we expect to launch Gogo 5G in the second quarter of 2025, we cannot assure you that the 5G launch or our launch of other next generation technologies will in fact occur in sufficient time to meet growing user expectations regarding the in-flight connectivity experience and to effectively compete in the business aviation market. The ongoing delay and any future delays could also decrease customer confidence, including from current or prospective customers, in our offerings, and negatively impact our financial position.</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Gogo 5G or any other next generation technology fails to perform as expected, our ability to meet users’ expectations regarding our systems' performance and to effectively compete in our market may be impaired and our business, financial condition and results of operations may be materially adversely affected. Factors heightening the risk of future delays in our 5G network or other next generation technologies, or a failure of such technologies to perform once commercialized, include: (i) our failure to design and develop a technology that provides the features and performance we require; (ii) integrating the solution with our existing ATG network; (iii) the availability of adequate spectrum; (iv) the failure of spectrum to perform as expected; (v) the failure of equipment and software to perform as expected; (vi) problems arising in the manufacturing process; (vii) our ability to negotiate contracts with suppliers on acceptable commercial and other terms; (viii) our reliance on single-source suppliers and their ability to continue as a going concern with adequate access to capital for the development and manufacturing of the core elements of the network and on other suppliers to provide certain components and services; and (ix) delays in obtaining or failures to obtain the required regulatory approvals for installation and operation of such equipment and the provision of service to passengers.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1140" w:right="81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1140" w:right="6320" w:hanging="758"/>
        <w:spacing w:after="0" w:line="375" w:lineRule="auto"/>
        <w:tabs>
          <w:tab w:leader="none" w:pos="76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Not applicable.</w:t>
      </w:r>
    </w:p>
    <w:p>
      <w:pPr>
        <w:ind w:left="760" w:hanging="378"/>
        <w:spacing w:after="0"/>
        <w:tabs>
          <w:tab w:leader="none" w:pos="760"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jc w:val="both"/>
        <w:ind w:left="760" w:firstLine="374"/>
        <w:spacing w:after="0" w:line="255" w:lineRule="auto"/>
        <w:rPr>
          <w:sz w:val="20"/>
          <w:szCs w:val="20"/>
          <w:color w:val="auto"/>
        </w:rPr>
      </w:pPr>
      <w:r>
        <w:rPr>
          <w:rFonts w:ascii="Times New Roman" w:cs="Times New Roman" w:eastAsia="Times New Roman" w:hAnsi="Times New Roman"/>
          <w:sz w:val="18"/>
          <w:szCs w:val="18"/>
          <w:color w:val="auto"/>
        </w:rPr>
        <w:t>On September 5, 2023, we announced a share repurchase program that grants the Company authority to repurchase up to $50 million of shares of the Company’s common stock. Repurchases may be made at management's discretion from time to time on the open market, through privately negotiated transactions, or by other means, including through the use of trading plans intended to qualify under Rule 10b5-1 under the Exchange Act, in accordance with applicable securities laws and other restrictions, including Rule 10b-18 under the Exchange Act. The repurchase program has no time limit and may be suspended for periods or discontinued at any time and does not obligate us to purchase any shares of our common stock. The timing and total amount of stock repurchases will depend upon business, economic and market conditions, corporate and regulatory requirements, prevailing stock prices, and other considerations.</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The following table summarizes our purchases of common stock during the three-month period ended June 30, 2024.</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3"/>
                <w:szCs w:val="13"/>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2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220" w:type="dxa"/>
            <w:vAlign w:val="bottom"/>
          </w:tcPr>
          <w:p>
            <w:pPr>
              <w:spacing w:after="0"/>
              <w:rPr>
                <w:sz w:val="16"/>
                <w:szCs w:val="16"/>
                <w:color w:val="auto"/>
              </w:rPr>
            </w:pPr>
          </w:p>
        </w:tc>
        <w:tc>
          <w:tcPr>
            <w:tcW w:w="15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220" w:type="dxa"/>
            <w:vAlign w:val="bottom"/>
          </w:tcPr>
          <w:p>
            <w:pPr>
              <w:spacing w:after="0"/>
              <w:rPr>
                <w:sz w:val="12"/>
                <w:szCs w:val="12"/>
                <w:color w:val="auto"/>
              </w:rPr>
            </w:pPr>
          </w:p>
        </w:tc>
        <w:tc>
          <w:tcPr>
            <w:tcW w:w="15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21"/>
        </w:trPr>
        <w:tc>
          <w:tcPr>
            <w:tcW w:w="3320" w:type="dxa"/>
            <w:vAlign w:val="bottom"/>
            <w:vMerge w:val="restart"/>
          </w:tcPr>
          <w:p>
            <w:pPr>
              <w:ind w:left="14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jc w:val="center"/>
              <w:ind w:right="221"/>
              <w:spacing w:after="0"/>
              <w:rPr>
                <w:sz w:val="20"/>
                <w:szCs w:val="20"/>
                <w:color w:val="auto"/>
              </w:rPr>
            </w:pPr>
            <w:r>
              <w:rPr>
                <w:rFonts w:ascii="Times New Roman" w:cs="Times New Roman" w:eastAsia="Times New Roman" w:hAnsi="Times New Roman"/>
                <w:sz w:val="10"/>
                <w:szCs w:val="10"/>
                <w:b w:val="1"/>
                <w:bCs w:val="1"/>
                <w:color w:val="auto"/>
              </w:rPr>
              <w:t>(1)</w:t>
            </w:r>
          </w:p>
        </w:tc>
        <w:tc>
          <w:tcPr>
            <w:tcW w:w="180" w:type="dxa"/>
            <w:vAlign w:val="bottom"/>
          </w:tcPr>
          <w:p>
            <w:pPr>
              <w:spacing w:after="0"/>
              <w:rPr>
                <w:sz w:val="10"/>
                <w:szCs w:val="10"/>
                <w:color w:val="auto"/>
              </w:rPr>
            </w:pPr>
          </w:p>
        </w:tc>
        <w:tc>
          <w:tcPr>
            <w:tcW w:w="1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27"/>
        </w:trPr>
        <w:tc>
          <w:tcPr>
            <w:tcW w:w="332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1,095,000</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1-31, 2024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390,243</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390,243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1-30, 2024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76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Average price paid per share includes transaction costs associated with the repurchases.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adopted or terminated a “Rule 10b5-1 trading arrangement” or “non-Rule 10b5-1 trading arrangement” as such terms are defined in Item 408 of Regulation S-K.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9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998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4"/>
                <w:szCs w:val="24"/>
                <w:color w:val="auto"/>
              </w:rPr>
            </w:pPr>
          </w:p>
        </w:tc>
        <w:tc>
          <w:tcPr>
            <w:tcW w:w="98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2024 Employee Stock Purchase Plan (incorporated by reference to Exhibit 10.1 to Form 8-K filed on June 6, 2024 (File No. 001-35975))</w:t>
              </w:r>
            </w:hyperlink>
          </w:p>
        </w:tc>
        <w:tc>
          <w:tcPr>
            <w:tcW w:w="20" w:type="dxa"/>
            <w:vAlign w:val="bottom"/>
            <w:tcBorders>
              <w:bottom w:val="single" w:sz="8" w:color="0000EE"/>
            </w:tcBorders>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98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2024 Omnibus Equity Incentive Plan (incorporated by reference to Exhibit 10.2 to Form 8-K filed on June 6, 2024 (File No. 001-35975))</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63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Director Deferred Share Unit Agreement for Gogo Inc. Omnibus Incentive Plan</w:t>
            </w:r>
          </w:p>
        </w:tc>
        <w:tc>
          <w:tcPr>
            <w:tcW w:w="36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120" w:type="dxa"/>
            <w:vAlign w:val="bottom"/>
          </w:tcPr>
          <w:p>
            <w:pPr>
              <w:spacing w:after="0"/>
              <w:rPr>
                <w:sz w:val="24"/>
                <w:szCs w:val="24"/>
                <w:color w:val="auto"/>
              </w:rPr>
            </w:pPr>
          </w:p>
        </w:tc>
        <w:tc>
          <w:tcPr>
            <w:tcW w:w="4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Waiver and Omnibus Amendment to Airspan/Gogo Agreements</w:t>
            </w:r>
          </w:p>
        </w:tc>
        <w:tc>
          <w:tcPr>
            <w:tcW w:w="20" w:type="dxa"/>
            <w:vAlign w:val="bottom"/>
            <w:tcBorders>
              <w:bottom w:val="single" w:sz="8" w:color="0000EE"/>
            </w:tcBorders>
          </w:tcPr>
          <w:p>
            <w:pPr>
              <w:spacing w:after="0"/>
              <w:rPr>
                <w:sz w:val="24"/>
                <w:szCs w:val="24"/>
                <w:color w:val="auto"/>
              </w:rPr>
            </w:pPr>
          </w:p>
        </w:tc>
        <w:tc>
          <w:tcPr>
            <w:tcW w:w="5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 13a-14(a) and 15d-14(a), as adopted pursuant to Section 302 of</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 13a-14(a) and 15d-14(a), as adopted pursuant to Section 302 of</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20" w:type="dxa"/>
            <w:vAlign w:val="bottom"/>
            <w:tcBorders>
              <w:bottom w:val="single" w:sz="8" w:color="0000EE"/>
            </w:tcBorders>
          </w:tcPr>
          <w:p>
            <w:pPr>
              <w:spacing w:after="0"/>
              <w:rPr>
                <w:sz w:val="17"/>
                <w:szCs w:val="17"/>
                <w:color w:val="auto"/>
              </w:rPr>
            </w:pPr>
          </w:p>
        </w:tc>
        <w:tc>
          <w:tcPr>
            <w:tcW w:w="76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9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8840" w:type="dxa"/>
            <w:vAlign w:val="bottom"/>
            <w:gridSpan w:val="6"/>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w:t>
            </w:r>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91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9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60" w:hanging="821"/>
        <w:spacing w:after="0"/>
        <w:tabs>
          <w:tab w:leader="none" w:pos="12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84" w:lineRule="exact"/>
        <w:rPr>
          <w:rFonts w:ascii="Times New Roman" w:cs="Times New Roman" w:eastAsia="Times New Roman" w:hAnsi="Times New Roman"/>
          <w:sz w:val="18"/>
          <w:szCs w:val="18"/>
          <w:color w:val="auto"/>
        </w:rPr>
      </w:pPr>
    </w:p>
    <w:p>
      <w:pPr>
        <w:ind w:left="140" w:hanging="132"/>
        <w:spacing w:after="0"/>
        <w:tabs>
          <w:tab w:leader="none" w:pos="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117" w:lineRule="exact"/>
        <w:rPr>
          <w:sz w:val="20"/>
          <w:szCs w:val="20"/>
          <w:color w:val="auto"/>
        </w:rPr>
      </w:pPr>
    </w:p>
    <w:p>
      <w:pPr>
        <w:ind w:right="80" w:firstLine="8"/>
        <w:spacing w:after="0" w:line="265" w:lineRule="auto"/>
        <w:tabs>
          <w:tab w:leader="none" w:pos="1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 of Regulation S-K. If requested by the Securities and Exchange Commission or its staff, the Company will promptly provide on a supplemental basis an unredacted copy of the exhibit and its materiality and privacy or confidentiality analyses.</w:t>
      </w:r>
    </w:p>
    <w:p>
      <w:pPr>
        <w:spacing w:after="0" w:line="69" w:lineRule="exact"/>
        <w:rPr>
          <w:sz w:val="20"/>
          <w:szCs w:val="20"/>
          <w:color w:val="auto"/>
        </w:rPr>
      </w:pPr>
    </w:p>
    <w:p>
      <w:pPr>
        <w:ind w:right="460" w:firstLine="8"/>
        <w:spacing w:after="0" w:line="265"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Gogo Inc.</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DEFERRED SHARE UNIT AGREEMENT</w:t>
      </w:r>
    </w:p>
    <w:p>
      <w:pPr>
        <w:spacing w:after="0" w:line="229" w:lineRule="exact"/>
        <w:rPr>
          <w:sz w:val="20"/>
          <w:szCs w:val="20"/>
          <w:color w:val="auto"/>
        </w:rPr>
      </w:pPr>
    </w:p>
    <w:p>
      <w:pPr>
        <w:ind w:firstLine="749"/>
        <w:spacing w:after="0" w:line="281" w:lineRule="auto"/>
        <w:rPr>
          <w:sz w:val="20"/>
          <w:szCs w:val="20"/>
          <w:color w:val="auto"/>
        </w:rPr>
      </w:pPr>
      <w:r>
        <w:rPr>
          <w:rFonts w:ascii="Times New Roman" w:cs="Times New Roman" w:eastAsia="Times New Roman" w:hAnsi="Times New Roman"/>
          <w:sz w:val="18"/>
          <w:szCs w:val="18"/>
          <w:color w:val="auto"/>
        </w:rPr>
        <w:t>DIRECTOR DEFERRED SHARE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the Grant Date set forth in the Notice of Grant (defined below), by and between Gogo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director whose name appears in the Notice of Grant (the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firstLine="757"/>
        <w:spacing w:after="0" w:line="256"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Grant of Deferred Share Units</w:t>
      </w:r>
      <w:r>
        <w:rPr>
          <w:rFonts w:ascii="Times New Roman" w:cs="Times New Roman" w:eastAsia="Times New Roman" w:hAnsi="Times New Roman"/>
          <w:sz w:val="18"/>
          <w:szCs w:val="18"/>
          <w:color w:val="auto"/>
        </w:rPr>
        <w:t>. The Company hereby evidences and confirms its grant to the Director, effective as of the Grant Date, of the number of deferred stock units (the “</w:t>
      </w:r>
      <w:r>
        <w:rPr>
          <w:rFonts w:ascii="Times New Roman" w:cs="Times New Roman" w:eastAsia="Times New Roman" w:hAnsi="Times New Roman"/>
          <w:sz w:val="18"/>
          <w:szCs w:val="18"/>
          <w:u w:val="single" w:color="auto"/>
          <w:color w:val="auto"/>
        </w:rPr>
        <w:t>Deferred Share Units</w:t>
      </w:r>
      <w:r>
        <w:rPr>
          <w:rFonts w:ascii="Times New Roman" w:cs="Times New Roman" w:eastAsia="Times New Roman" w:hAnsi="Times New Roman"/>
          <w:sz w:val="18"/>
          <w:szCs w:val="18"/>
          <w:color w:val="auto"/>
        </w:rPr>
        <w:t>”) specified in the Gogo Inc. 2024 Omnibus Equity Incentive Plan Deferred Share Unit Grant Notice delivered by the Company to the Director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This Agreement is subordinate to, and the terms and conditions of the Deferred Share Units granted hereunder are subject to, the terms and conditions of the Gogo Inc. 2024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31" w:lineRule="exact"/>
        <w:rPr>
          <w:rFonts w:ascii="Times New Roman" w:cs="Times New Roman" w:eastAsia="Times New Roman" w:hAnsi="Times New Roman"/>
          <w:sz w:val="18"/>
          <w:szCs w:val="18"/>
          <w:u w:val="single" w:color="auto"/>
          <w:color w:val="auto"/>
        </w:rPr>
      </w:pPr>
    </w:p>
    <w:p>
      <w:pPr>
        <w:jc w:val="both"/>
        <w:ind w:firstLine="757"/>
        <w:spacing w:after="0" w:line="258"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Vesting of Deferred Share Units</w:t>
      </w:r>
      <w:r>
        <w:rPr>
          <w:rFonts w:ascii="Times New Roman" w:cs="Times New Roman" w:eastAsia="Times New Roman" w:hAnsi="Times New Roman"/>
          <w:sz w:val="18"/>
          <w:szCs w:val="18"/>
          <w:color w:val="auto"/>
        </w:rPr>
        <w:t>. All Deferred Share Units shall vest on the one (1) year anniversary of the Grant Date, subject to the Director’s continuous provision of Service to the Company through such vesting date; provided, however, that upon a Director’s Retirement, all theretofore unvested Deferred Share Units shall immediately become vested. For purposes of the foregoing, the term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shall mean the Director’s voluntary or involuntary Termination of Service, other than by reason of death, Disability or removal for Cause, occurring on or after the date on which either (A) the Director reaches the age of 65 or (B) the Director’s age plus years of Service on the Company’s Board equal seventy-five (75).</w:t>
      </w:r>
    </w:p>
    <w:p>
      <w:pPr>
        <w:spacing w:after="0" w:line="127" w:lineRule="exact"/>
        <w:rPr>
          <w:rFonts w:ascii="Times New Roman" w:cs="Times New Roman" w:eastAsia="Times New Roman" w:hAnsi="Times New Roman"/>
          <w:sz w:val="18"/>
          <w:szCs w:val="18"/>
          <w:u w:val="single" w:color="auto"/>
          <w:color w:val="auto"/>
        </w:rPr>
      </w:pPr>
    </w:p>
    <w:p>
      <w:pPr>
        <w:jc w:val="both"/>
        <w:ind w:firstLine="757"/>
        <w:spacing w:after="0" w:line="253"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Settlement of Deferred Share Units</w:t>
      </w:r>
      <w:r>
        <w:rPr>
          <w:rFonts w:ascii="Times New Roman" w:cs="Times New Roman" w:eastAsia="Times New Roman" w:hAnsi="Times New Roman"/>
          <w:sz w:val="18"/>
          <w:szCs w:val="18"/>
          <w:color w:val="auto"/>
        </w:rPr>
        <w:t>. Subject to Section 7(d), the Company shall deliver to the Director one share of Stock, in settlement of each outstanding Deferred Share Unit that is vested as of the Director’s Termination of Service, within 90 days after such Termination of Service or, if payment is required to be delayed past such date pursuant to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because the Director is deemed to be a “specified employee” within the meaning of Section 409A(a)(2)(B)(1) of the Code and the regulations thereunder, on the first business day following the six- month anniversary of the Director’s Termination of Service, or as soon thereafter as practicable (but no later than December 31 of such year), in each case by either (A) issuing one or more stock certificates evidencing the Stock to the Director, or (B) registering the issuance of the Stock in the name of the Director through a book entry credit in the records of the Company’s transfer agent. No fractional shares of stock shall be issued in respect of Deferred Share Units. Fractional Deferred Share Units shall be settled through a cash payment equal to the Fair Market Value of the Stock on the settlement date. Upon a Change in Control Deferred Share Units shall have the treatment set forth in the Plan. Any Deferred Share Units that are not vested as of the Director’s Termination of Service shall be forfeited immediately upon such Termination of Service.</w:t>
      </w:r>
    </w:p>
    <w:p>
      <w:pPr>
        <w:spacing w:after="0" w:line="137" w:lineRule="exact"/>
        <w:rPr>
          <w:rFonts w:ascii="Times New Roman" w:cs="Times New Roman" w:eastAsia="Times New Roman" w:hAnsi="Times New Roman"/>
          <w:sz w:val="18"/>
          <w:szCs w:val="18"/>
          <w:u w:val="single" w:color="auto"/>
          <w:color w:val="auto"/>
        </w:rPr>
      </w:pPr>
    </w:p>
    <w:p>
      <w:pPr>
        <w:jc w:val="both"/>
        <w:ind w:firstLine="757"/>
        <w:spacing w:after="0" w:line="258" w:lineRule="auto"/>
        <w:tabs>
          <w:tab w:leader="none" w:pos="1018"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 Notwithstanding any other provision of this Agreement, the Director may not sell the shares of Stock acquired upon vesting of the Deferred Share Units unless such shares are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if such shares are not then so registered, such sale would be exempt from the registration requirements of the Securities Act. The sale of such shares must also comply with other applicable laws and regulations governing the shares and the Director may not sell the shares of Stock if the Company determines that such sale would not be in material compliance with such laws and regulations.</w:t>
      </w:r>
    </w:p>
    <w:p>
      <w:pPr>
        <w:spacing w:after="0" w:line="127"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Director’s Rights with Respect to the Deferred Share Units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757"/>
        <w:spacing w:after="0" w:line="256" w:lineRule="auto"/>
        <w:tabs>
          <w:tab w:leader="none" w:pos="1018" w:val="left"/>
        </w:tabs>
        <w:numPr>
          <w:ilvl w:val="0"/>
          <w:numId w:val="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Restrictions on Transferability</w:t>
      </w:r>
      <w:r>
        <w:rPr>
          <w:rFonts w:ascii="Times New Roman" w:cs="Times New Roman" w:eastAsia="Times New Roman" w:hAnsi="Times New Roman"/>
          <w:sz w:val="18"/>
          <w:szCs w:val="18"/>
          <w:color w:val="auto"/>
        </w:rPr>
        <w:t>. The Deferred Share Units granted hereby are not assignable or transferable, in whole or in part, and may not, directly or indirectly, be offered, transferred, sold, pledged, hedged, assigned, alienated, hypothecated or otherwise disposed of or encumbered (including without limitation by gift, operation of law or otherwise) other than by will or by the laws of descent and distribution to the estate of the Director upon the Director’s death; provided that the deceased Director’s beneficiary or representative of the Director’s estate shall acknowledge and agree in writing, in a form reasonably acceptable to the Company, to be bound by the provisions of this Agreement and the Plan as if such beneficiary or the estate were the Director.</w:t>
      </w:r>
    </w:p>
    <w:p>
      <w:pPr>
        <w:spacing w:after="0" w:line="131" w:lineRule="exact"/>
        <w:rPr>
          <w:rFonts w:ascii="Times New Roman" w:cs="Times New Roman" w:eastAsia="Times New Roman" w:hAnsi="Times New Roman"/>
          <w:sz w:val="18"/>
          <w:szCs w:val="18"/>
          <w:u w:val="single" w:color="auto"/>
          <w:color w:val="auto"/>
        </w:rPr>
      </w:pPr>
    </w:p>
    <w:p>
      <w:pPr>
        <w:jc w:val="both"/>
        <w:ind w:firstLine="757"/>
        <w:spacing w:after="0" w:line="265" w:lineRule="auto"/>
        <w:tabs>
          <w:tab w:leader="none" w:pos="1018" w:val="left"/>
        </w:tabs>
        <w:numPr>
          <w:ilvl w:val="0"/>
          <w:numId w:val="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The Director shall not have any rights as a stockholder including any voting, dividend or other rights or privileges as a stockholder of the Company with respect to any Stock corresponding to the Deferred Share Units granted hereby unless and until shares of Stock are issued to the Director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2" w:name="page43"/>
    <w:bookmarkEnd w:id="42"/>
    <w:p>
      <w:pPr>
        <w:jc w:val="both"/>
        <w:ind w:firstLine="757"/>
        <w:spacing w:after="0" w:line="258" w:lineRule="auto"/>
        <w:tabs>
          <w:tab w:leader="none" w:pos="1018" w:val="left"/>
        </w:tabs>
        <w:numPr>
          <w:ilvl w:val="0"/>
          <w:numId w:val="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Director shall be credited with Dividend Equivalents in the form of additional Deferred Share Units when cash dividends are paid on the Stock. Such Dividend Equivalents shall be computed by dividing: (i) the amount obtained by multiplying the amount of the dividend declared and paid for each share of Stock by the number of Deferred Share Units held by the Director on the record date, by (i) the Fair Market Value of the Stock on the dividend payment date for such dividend, with fractions computed to four decimal places. Such additional Deferred Share Units shall be vested and settled in the same manner as the Deferred Share Units to which they relate.</w:t>
      </w:r>
    </w:p>
    <w:p>
      <w:pPr>
        <w:spacing w:after="0" w:line="128" w:lineRule="exact"/>
        <w:rPr>
          <w:sz w:val="20"/>
          <w:szCs w:val="20"/>
          <w:color w:val="auto"/>
        </w:rPr>
      </w:pPr>
    </w:p>
    <w:p>
      <w:pPr>
        <w:jc w:val="both"/>
        <w:ind w:firstLine="757"/>
        <w:spacing w:after="0" w:line="260" w:lineRule="auto"/>
        <w:tabs>
          <w:tab w:leader="none" w:pos="1018" w:val="left"/>
        </w:tabs>
        <w:numPr>
          <w:ilvl w:val="0"/>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Adjustment, in Capitalization</w:t>
      </w:r>
      <w:r>
        <w:rPr>
          <w:rFonts w:ascii="Times New Roman" w:cs="Times New Roman" w:eastAsia="Times New Roman" w:hAnsi="Times New Roman"/>
          <w:sz w:val="18"/>
          <w:szCs w:val="18"/>
          <w:color w:val="auto"/>
        </w:rPr>
        <w:t>. The number, class or other terms of any outstanding Deferred Share Units shall be adjusted by the Board to reflect any extraordinary dividend, stock dividend, stock split or share combination or any recapitalization, business combination, merger, consolidation, spin-off, exchange of shares, liquidation or dissolution of the Company or other similar transaction affecting the Stock in such manner as it determines in its sole discretion.</w:t>
      </w:r>
    </w:p>
    <w:p>
      <w:pPr>
        <w:spacing w:after="0" w:line="127" w:lineRule="exact"/>
        <w:rPr>
          <w:rFonts w:ascii="Times New Roman" w:cs="Times New Roman" w:eastAsia="Times New Roman" w:hAnsi="Times New Roman"/>
          <w:sz w:val="18"/>
          <w:szCs w:val="18"/>
          <w:u w:val="single" w:color="auto"/>
          <w:color w:val="auto"/>
        </w:rPr>
      </w:pPr>
    </w:p>
    <w:p>
      <w:pPr>
        <w:ind w:left="1020" w:hanging="263"/>
        <w:spacing w:after="0"/>
        <w:tabs>
          <w:tab w:leader="none" w:pos="1020" w:val="left"/>
        </w:tabs>
        <w:numPr>
          <w:ilvl w:val="0"/>
          <w:numId w:val="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757"/>
        <w:spacing w:after="0" w:line="260"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Binding Effect; Benefits</w:t>
      </w:r>
      <w:r>
        <w:rPr>
          <w:rFonts w:ascii="Times New Roman" w:cs="Times New Roman" w:eastAsia="Times New Roman" w:hAnsi="Times New Roman"/>
          <w:sz w:val="18"/>
          <w:szCs w:val="18"/>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27" w:lineRule="exact"/>
        <w:rPr>
          <w:rFonts w:ascii="Times New Roman" w:cs="Times New Roman" w:eastAsia="Times New Roman" w:hAnsi="Times New Roman"/>
          <w:sz w:val="18"/>
          <w:szCs w:val="18"/>
          <w:u w:val="single" w:color="auto"/>
          <w:color w:val="auto"/>
        </w:rPr>
      </w:pPr>
    </w:p>
    <w:p>
      <w:pPr>
        <w:ind w:firstLine="757"/>
        <w:spacing w:after="0" w:line="281"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the Plan or this Agreement shall interfere with or limit in any way any right to terminate the Director’s service at any time, or confer upon the Director any right to continue as a director.</w:t>
      </w:r>
    </w:p>
    <w:p>
      <w:pPr>
        <w:spacing w:after="0" w:line="108" w:lineRule="exact"/>
        <w:rPr>
          <w:rFonts w:ascii="Times New Roman" w:cs="Times New Roman" w:eastAsia="Times New Roman" w:hAnsi="Times New Roman"/>
          <w:sz w:val="18"/>
          <w:szCs w:val="18"/>
          <w:u w:val="single" w:color="auto"/>
          <w:color w:val="auto"/>
        </w:rPr>
      </w:pPr>
    </w:p>
    <w:p>
      <w:pPr>
        <w:jc w:val="both"/>
        <w:ind w:firstLine="757"/>
        <w:spacing w:after="0" w:line="265"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shall have full power and discretion to construe and interpret the Plan (and any rules and regulations issued thereunder) and this Award. Any determination or interpretation by the Committee under or pursuant to the Plan or this Award shall be final and binding and conclusive on all persons affected hereby.</w:t>
      </w:r>
    </w:p>
    <w:p>
      <w:pPr>
        <w:spacing w:after="0" w:line="123" w:lineRule="exact"/>
        <w:rPr>
          <w:rFonts w:ascii="Times New Roman" w:cs="Times New Roman" w:eastAsia="Times New Roman" w:hAnsi="Times New Roman"/>
          <w:sz w:val="18"/>
          <w:szCs w:val="18"/>
          <w:u w:val="single" w:color="auto"/>
          <w:color w:val="auto"/>
        </w:rPr>
      </w:pPr>
    </w:p>
    <w:p>
      <w:pPr>
        <w:jc w:val="both"/>
        <w:ind w:firstLine="757"/>
        <w:spacing w:after="0" w:line="254"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and its Subsidiaries shall have the right to deduct from all amounts paid to the Director in cash (whether under the Plan or otherwise) any amount of taxes required by law to be withheld in respect of settlement of the Deferred Share Units under the Plan as may be necessary in the opinion of the Company to satisfy tax withholding required under the laws of any country, state, province, city or other jurisdiction, including but not limited to income taxes, capital gains taxes, transfer taxes, and social security contributions that are required by law to be withheld. The Company may require the recipient of the shares of Stock to remit to the Company an amount in cash sufficient to satisfy the amount of taxes required to be withheld as a condition to the issuance of such shares. The Committee may, in its discretion, require the Director, or permit the Director to elect, subject to such conditions as the Committee shall impose, to meet such obligations by having the Company withhold or sell the least number of whole shares of Stock having a Fair Market Value sufficient to satisfy all or part of the amount required to be withheld.</w:t>
      </w:r>
    </w:p>
    <w:p>
      <w:pPr>
        <w:spacing w:after="0" w:line="135" w:lineRule="exact"/>
        <w:rPr>
          <w:rFonts w:ascii="Times New Roman" w:cs="Times New Roman" w:eastAsia="Times New Roman" w:hAnsi="Times New Roman"/>
          <w:sz w:val="18"/>
          <w:szCs w:val="18"/>
          <w:u w:val="single" w:color="auto"/>
          <w:color w:val="auto"/>
        </w:rPr>
      </w:pPr>
    </w:p>
    <w:p>
      <w:pPr>
        <w:ind w:right="20" w:firstLine="757"/>
        <w:spacing w:after="0" w:line="281"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 of the State of Delaware regardless of the application of rules of conflict of law that would apply the laws of any other jurisdiction.</w:t>
      </w:r>
    </w:p>
    <w:p>
      <w:pPr>
        <w:spacing w:after="0" w:line="108" w:lineRule="exact"/>
        <w:rPr>
          <w:rFonts w:ascii="Times New Roman" w:cs="Times New Roman" w:eastAsia="Times New Roman" w:hAnsi="Times New Roman"/>
          <w:sz w:val="18"/>
          <w:szCs w:val="18"/>
          <w:u w:val="single" w:color="auto"/>
          <w:color w:val="auto"/>
        </w:rPr>
      </w:pPr>
    </w:p>
    <w:p>
      <w:pPr>
        <w:jc w:val="both"/>
        <w:ind w:firstLine="757"/>
        <w:spacing w:after="0" w:line="260"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Limitation on Rights; No Right to Future Grants; Extraordinary Item of Compensation</w:t>
      </w:r>
      <w:r>
        <w:rPr>
          <w:rFonts w:ascii="Times New Roman" w:cs="Times New Roman" w:eastAsia="Times New Roman" w:hAnsi="Times New Roman"/>
          <w:sz w:val="18"/>
          <w:szCs w:val="18"/>
          <w:color w:val="auto"/>
        </w:rPr>
        <w:t>. By entering into this Agreement and accepting the Deferred Share Units evidenced hereby, the Director acknowledges: (a) that the Plan is discretionary in nature and may be suspended or terminated by the Company at any time; (b) that the Award does not create any contractual or other right to receive future grants of Awards; and (c) that the future value of the Stock is unknown and cannot be predicted with certainty.</w:t>
      </w:r>
    </w:p>
    <w:p>
      <w:pPr>
        <w:spacing w:after="0" w:line="127" w:lineRule="exact"/>
        <w:rPr>
          <w:rFonts w:ascii="Times New Roman" w:cs="Times New Roman" w:eastAsia="Times New Roman" w:hAnsi="Times New Roman"/>
          <w:sz w:val="18"/>
          <w:szCs w:val="18"/>
          <w:u w:val="single" w:color="auto"/>
          <w:color w:val="auto"/>
        </w:rPr>
      </w:pPr>
    </w:p>
    <w:p>
      <w:pPr>
        <w:jc w:val="both"/>
        <w:ind w:firstLine="757"/>
        <w:spacing w:after="0" w:line="258"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Employee Data Privacy</w:t>
      </w:r>
      <w:r>
        <w:rPr>
          <w:rFonts w:ascii="Times New Roman" w:cs="Times New Roman" w:eastAsia="Times New Roman" w:hAnsi="Times New Roman"/>
          <w:sz w:val="18"/>
          <w:szCs w:val="18"/>
          <w:color w:val="auto"/>
        </w:rPr>
        <w:t>. By entering into this Agreement and accepting the Deferred Share Units evidenced hereby, the Director: (a) authorizes the Company, any agent of the Company administering the Plan or providing Plan recordkeeping services, to disclose to the Company or any of its affiliates any information and data the Company requests in order to facilitate the grant of the Award and the administration of the Plan; (b) waives any data privacy rights the Director may have with respect to such information; and (c) authorizes the Company and its agents to store and transmit such information in electronic form.</w:t>
      </w:r>
    </w:p>
    <w:p>
      <w:pPr>
        <w:spacing w:after="0" w:line="127" w:lineRule="exact"/>
        <w:rPr>
          <w:rFonts w:ascii="Times New Roman" w:cs="Times New Roman" w:eastAsia="Times New Roman" w:hAnsi="Times New Roman"/>
          <w:sz w:val="18"/>
          <w:szCs w:val="18"/>
          <w:u w:val="single" w:color="auto"/>
          <w:color w:val="auto"/>
        </w:rPr>
      </w:pPr>
    </w:p>
    <w:p>
      <w:pPr>
        <w:ind w:firstLine="757"/>
        <w:spacing w:after="0" w:line="281" w:lineRule="auto"/>
        <w:tabs>
          <w:tab w:leader="none" w:pos="1018"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Consent to Electronic Delivery</w:t>
      </w:r>
      <w:r>
        <w:rPr>
          <w:rFonts w:ascii="Times New Roman" w:cs="Times New Roman" w:eastAsia="Times New Roman" w:hAnsi="Times New Roman"/>
          <w:sz w:val="18"/>
          <w:szCs w:val="18"/>
          <w:color w:val="auto"/>
        </w:rPr>
        <w:t>. By entering into this Agreement and accepting the Deferred Share Units evidenced hereby, Director hereby consents to the delivery of information (including, without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3" w:name="page44"/>
    <w:bookmarkEnd w:id="43"/>
    <w:p>
      <w:pPr>
        <w:spacing w:after="0" w:line="281" w:lineRule="auto"/>
        <w:rPr>
          <w:sz w:val="20"/>
          <w:szCs w:val="20"/>
          <w:color w:val="auto"/>
        </w:rPr>
      </w:pPr>
      <w:r>
        <w:rPr>
          <w:rFonts w:ascii="Times New Roman" w:cs="Times New Roman" w:eastAsia="Times New Roman" w:hAnsi="Times New Roman"/>
          <w:sz w:val="18"/>
          <w:szCs w:val="18"/>
          <w:color w:val="auto"/>
        </w:rPr>
        <w:t>limitation, information required to be delivered to the Director pursuant to applicable securities laws) regarding the Company and the Subsidiaries, the Plan, this Agreement and the Deferred Share Units via Company web site or other electronic delivery.</w:t>
      </w:r>
    </w:p>
    <w:p>
      <w:pPr>
        <w:spacing w:after="0" w:line="109" w:lineRule="exact"/>
        <w:rPr>
          <w:sz w:val="20"/>
          <w:szCs w:val="20"/>
          <w:color w:val="auto"/>
        </w:rPr>
      </w:pPr>
    </w:p>
    <w:p>
      <w:pPr>
        <w:ind w:right="20" w:firstLine="757"/>
        <w:spacing w:after="0" w:line="281" w:lineRule="auto"/>
        <w:tabs>
          <w:tab w:leader="none" w:pos="1018" w:val="left"/>
        </w:tabs>
        <w:numPr>
          <w:ilvl w:val="0"/>
          <w:numId w:val="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section and other headings contained in this Agreement are for reference purposes only and shall not affect the meaning or interpretation of this Agreement.</w:t>
      </w:r>
    </w:p>
    <w:p>
      <w:pPr>
        <w:spacing w:after="0" w:line="108" w:lineRule="exact"/>
        <w:rPr>
          <w:rFonts w:ascii="Times New Roman" w:cs="Times New Roman" w:eastAsia="Times New Roman" w:hAnsi="Times New Roman"/>
          <w:sz w:val="18"/>
          <w:szCs w:val="18"/>
          <w:u w:val="single" w:color="auto"/>
          <w:color w:val="auto"/>
        </w:rPr>
      </w:pPr>
    </w:p>
    <w:p>
      <w:pPr>
        <w:ind w:firstLine="757"/>
        <w:spacing w:after="0" w:line="281" w:lineRule="auto"/>
        <w:tabs>
          <w:tab w:leader="none" w:pos="1018" w:val="left"/>
        </w:tabs>
        <w:numPr>
          <w:ilvl w:val="0"/>
          <w:numId w:val="4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Certain information identified by “[***]” has been excluded from this exhibit because it is both not material and is the type that</w:t>
      </w:r>
    </w:p>
    <w:p>
      <w:pPr>
        <w:ind w:left="3840"/>
        <w:spacing w:after="0"/>
        <w:rPr>
          <w:sz w:val="20"/>
          <w:szCs w:val="20"/>
          <w:color w:val="auto"/>
        </w:rPr>
      </w:pPr>
      <w:r>
        <w:rPr>
          <w:rFonts w:ascii="Times New Roman" w:cs="Times New Roman" w:eastAsia="Times New Roman" w:hAnsi="Times New Roman"/>
          <w:sz w:val="20"/>
          <w:szCs w:val="20"/>
          <w:b w:val="1"/>
          <w:bCs w:val="1"/>
          <w:color w:val="auto"/>
        </w:rPr>
        <w:t>Gogo Inc. treats as private or confidential.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WAIVER AND OMNIBUS AMENDMENT TO AIRSPAN/GOGO AGREEMENTS</w:t>
      </w:r>
    </w:p>
    <w:p>
      <w:pPr>
        <w:spacing w:after="0" w:line="11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WAIVER AND OMNIBUS AMENDMENT TO MASTER SERVICES AGREEMENT, SUPPLY AND PRODUCT SUPPORT AGREEMENT AND RELATED DOCUMENTS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effective as of June 27, 2024, is entered into by and between Gogo Business Aviation LLC, a Delaware limited liability company, and its Affiliates (collectively, “</w:t>
      </w:r>
      <w:r>
        <w:rPr>
          <w:rFonts w:ascii="Times New Roman" w:cs="Times New Roman" w:eastAsia="Times New Roman" w:hAnsi="Times New Roman"/>
          <w:sz w:val="20"/>
          <w:szCs w:val="20"/>
          <w:b w:val="1"/>
          <w:bCs w:val="1"/>
          <w:color w:val="auto"/>
        </w:rPr>
        <w:t>Gogo</w:t>
      </w:r>
      <w:r>
        <w:rPr>
          <w:rFonts w:ascii="Times New Roman" w:cs="Times New Roman" w:eastAsia="Times New Roman" w:hAnsi="Times New Roman"/>
          <w:sz w:val="20"/>
          <w:szCs w:val="20"/>
          <w:color w:val="auto"/>
        </w:rPr>
        <w:t>”) and Airspan Networks Inc., a Delaware limited liability company (“</w:t>
      </w:r>
      <w:r>
        <w:rPr>
          <w:rFonts w:ascii="Times New Roman" w:cs="Times New Roman" w:eastAsia="Times New Roman" w:hAnsi="Times New Roman"/>
          <w:sz w:val="20"/>
          <w:szCs w:val="20"/>
          <w:b w:val="1"/>
          <w:bCs w:val="1"/>
          <w:color w:val="auto"/>
        </w:rPr>
        <w:t>Airspan</w:t>
      </w:r>
      <w:r>
        <w:rPr>
          <w:rFonts w:ascii="Times New Roman" w:cs="Times New Roman" w:eastAsia="Times New Roman" w:hAnsi="Times New Roman"/>
          <w:sz w:val="20"/>
          <w:szCs w:val="20"/>
          <w:color w:val="auto"/>
        </w:rPr>
        <w:t>” and together with Gogo,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Capitalized terms not otherwise defined in this Amendment have the meaning ascribed to them in the Agreement (as defined below).</w:t>
      </w:r>
    </w:p>
    <w:p>
      <w:pPr>
        <w:spacing w:after="0" w:line="7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Gogo and Airspan are parties to that certain Master Services Agreement dated as of November 25, 2019 (as the same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amended, restated, amended and restated, supplemented or modified prior to the date hereof, the “</w:t>
      </w:r>
      <w:r>
        <w:rPr>
          <w:rFonts w:ascii="Times New Roman" w:cs="Times New Roman" w:eastAsia="Times New Roman" w:hAnsi="Times New Roman"/>
          <w:sz w:val="20"/>
          <w:szCs w:val="20"/>
          <w:b w:val="1"/>
          <w:bCs w:val="1"/>
          <w:color w:val="auto"/>
        </w:rPr>
        <w:t>MSA</w:t>
      </w:r>
      <w:r>
        <w:rPr>
          <w:rFonts w:ascii="Times New Roman" w:cs="Times New Roman" w:eastAsia="Times New Roman" w:hAnsi="Times New Roman"/>
          <w:sz w:val="20"/>
          <w:szCs w:val="20"/>
          <w:color w:val="auto"/>
        </w:rPr>
        <w:t>”) and that certain Statement of Work #2 under the MSA (as the same may be amended, restated, amended and restated, supplemented or modified prior to the date hereof, the “</w:t>
      </w:r>
      <w:r>
        <w:rPr>
          <w:rFonts w:ascii="Times New Roman" w:cs="Times New Roman" w:eastAsia="Times New Roman" w:hAnsi="Times New Roman"/>
          <w:sz w:val="20"/>
          <w:szCs w:val="20"/>
          <w:b w:val="1"/>
          <w:bCs w:val="1"/>
          <w:color w:val="auto"/>
        </w:rPr>
        <w:t>SOW</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Gogo and Airspan are also parties to that certain Supply and Product Support Agreement dated as of November 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2019 (as the same may be amended, restated, amended and restated, supplemented or modified prior to the date hereof, the “</w:t>
      </w:r>
      <w:r>
        <w:rPr>
          <w:rFonts w:ascii="Times New Roman" w:cs="Times New Roman" w:eastAsia="Times New Roman" w:hAnsi="Times New Roman"/>
          <w:sz w:val="20"/>
          <w:szCs w:val="20"/>
          <w:b w:val="1"/>
          <w:bCs w:val="1"/>
          <w:color w:val="auto"/>
        </w:rPr>
        <w:t>Supply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 together with the MSA, the SOW, and all other documents, agreements, and instruments between Airspan and/or any of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affiliates, on the one hand, and Gogo and/or any of its affiliates, on the other hand, the “</w:t>
      </w:r>
      <w:r>
        <w:rPr>
          <w:rFonts w:ascii="Times New Roman" w:cs="Times New Roman" w:eastAsia="Times New Roman" w:hAnsi="Times New Roman"/>
          <w:sz w:val="20"/>
          <w:szCs w:val="20"/>
          <w:b w:val="1"/>
          <w:bCs w:val="1"/>
          <w:color w:val="auto"/>
        </w:rPr>
        <w:t>Airspan/Gogo Agreements</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are entering into this Amendment, in part, to resolve certain disputes under the Airspan Gogo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in connection with the </w:t>
      </w:r>
      <w:r>
        <w:rPr>
          <w:rFonts w:ascii="Times New Roman" w:cs="Times New Roman" w:eastAsia="Times New Roman" w:hAnsi="Times New Roman"/>
          <w:sz w:val="20"/>
          <w:szCs w:val="20"/>
          <w:i w:val="1"/>
          <w:iCs w:val="1"/>
          <w:color w:val="auto"/>
        </w:rPr>
        <w:t>Amended Joint Prepackaged Chapter 11 Plan of Reorganization of Airspan Networks Holdings Inc. and its Debtor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Affiliates</w:t>
      </w:r>
      <w:r>
        <w:rPr>
          <w:rFonts w:ascii="Times New Roman" w:cs="Times New Roman" w:eastAsia="Times New Roman" w:hAnsi="Times New Roman"/>
          <w:sz w:val="20"/>
          <w:szCs w:val="20"/>
          <w:color w:val="auto"/>
        </w:rPr>
        <w:t>, filed with the U.S. Bankruptcy Court for the District of Delaware, Case No. 24-10621 (TMH)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w:t>
      </w:r>
    </w:p>
    <w:p>
      <w:pPr>
        <w:spacing w:after="0" w:line="6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Gogo and Airspan intend to, subject to the terms and conditions herein, amend the Airspan/Gogo Agreements,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Gogo has agreed to provide a conditional waiver of any purported default or event of default existing under the Airspan/Gogo Agreements as of the date of this Amendment, subject to the terms and conditions set forth in Section 4 hereof; and</w:t>
      </w:r>
    </w:p>
    <w:p>
      <w:pPr>
        <w:spacing w:after="0" w:line="6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set forth above and other good and valuable consideration, the receipt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sufficiency of which are hereby acknowledged, the Parties agree as follows:</w:t>
      </w:r>
    </w:p>
    <w:p>
      <w:pPr>
        <w:spacing w:after="0" w:line="45"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 to MSA</w:t>
      </w:r>
      <w:r>
        <w:rPr>
          <w:rFonts w:ascii="Times New Roman" w:cs="Times New Roman" w:eastAsia="Times New Roman" w:hAnsi="Times New Roman"/>
          <w:sz w:val="20"/>
          <w:szCs w:val="20"/>
          <w:color w:val="auto"/>
        </w:rPr>
        <w:t>. The MSA is hereby amended as follows:</w:t>
      </w:r>
    </w:p>
    <w:p>
      <w:pPr>
        <w:spacing w:after="0" w:line="111" w:lineRule="exact"/>
        <w:rPr>
          <w:rFonts w:ascii="Times New Roman" w:cs="Times New Roman" w:eastAsia="Times New Roman" w:hAnsi="Times New Roman"/>
          <w:sz w:val="20"/>
          <w:szCs w:val="20"/>
          <w:color w:val="auto"/>
        </w:rPr>
      </w:pPr>
    </w:p>
    <w:p>
      <w:pPr>
        <w:ind w:left="1500" w:hanging="369"/>
        <w:spacing w:after="0" w:line="268" w:lineRule="auto"/>
        <w:tabs>
          <w:tab w:leader="none" w:pos="1500" w:val="left"/>
        </w:tabs>
        <w:numPr>
          <w:ilvl w:val="1"/>
          <w:numId w:val="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Article 1 of the MSA is hereby amended by inserting new Sections 1.2A, 1.2B and 1.3A in appropriate numeric order to read in its entirety as follows:</w:t>
      </w:r>
    </w:p>
    <w:p>
      <w:pPr>
        <w:spacing w:after="0" w:line="174" w:lineRule="exact"/>
        <w:rPr>
          <w:sz w:val="20"/>
          <w:szCs w:val="20"/>
          <w:color w:val="auto"/>
        </w:rPr>
      </w:pPr>
    </w:p>
    <w:p>
      <w:pPr>
        <w:ind w:left="1880"/>
        <w:spacing w:after="0"/>
        <w:tabs>
          <w:tab w:leader="none" w:pos="2500" w:val="left"/>
        </w:tabs>
        <w:rPr>
          <w:sz w:val="20"/>
          <w:szCs w:val="20"/>
          <w:color w:val="auto"/>
        </w:rPr>
      </w:pPr>
      <w:r>
        <w:rPr>
          <w:rFonts w:ascii="Times New Roman" w:cs="Times New Roman" w:eastAsia="Times New Roman" w:hAnsi="Times New Roman"/>
          <w:sz w:val="20"/>
          <w:szCs w:val="20"/>
          <w:color w:val="auto"/>
        </w:rPr>
        <w:t>1.2A</w:t>
        <w:tab/>
        <w:t>“Airspan Line of Credit Agreement” means that certain Revolving Line of Credit Agreement dated as of</w:t>
      </w:r>
    </w:p>
    <w:p>
      <w:pPr>
        <w:spacing w:after="0" w:line="21"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______, 2024, by and among Airspan Parent, as borrower, Fortress Credit Corp., as administrative agent,</w:t>
      </w:r>
    </w:p>
    <w:p>
      <w:pPr>
        <w:ind w:left="2620" w:right="20"/>
        <w:spacing w:after="0" w:line="245" w:lineRule="auto"/>
        <w:rPr>
          <w:sz w:val="20"/>
          <w:szCs w:val="20"/>
          <w:color w:val="auto"/>
        </w:rPr>
      </w:pPr>
      <w:r>
        <w:rPr>
          <w:rFonts w:ascii="Times New Roman" w:cs="Times New Roman" w:eastAsia="Times New Roman" w:hAnsi="Times New Roman"/>
          <w:sz w:val="20"/>
          <w:szCs w:val="20"/>
          <w:color w:val="auto"/>
        </w:rPr>
        <w:t>Gogo Business Aviation LLC, as a lender, Fortress Credit Corp. and/or its affiliates, as lender(s) (as amended, restated, amended and restated, supplemented or modified from time to time).</w:t>
      </w:r>
    </w:p>
    <w:p>
      <w:pPr>
        <w:spacing w:after="0" w:line="196" w:lineRule="exact"/>
        <w:rPr>
          <w:sz w:val="20"/>
          <w:szCs w:val="20"/>
          <w:color w:val="auto"/>
        </w:rPr>
      </w:pPr>
    </w:p>
    <w:p>
      <w:pPr>
        <w:jc w:val="both"/>
        <w:ind w:left="2540" w:right="20" w:hanging="748"/>
        <w:spacing w:after="0" w:line="268" w:lineRule="auto"/>
        <w:tabs>
          <w:tab w:leader="none" w:pos="2520" w:val="left"/>
        </w:tabs>
        <w:rPr>
          <w:sz w:val="20"/>
          <w:szCs w:val="20"/>
          <w:color w:val="auto"/>
        </w:rPr>
      </w:pPr>
      <w:r>
        <w:rPr>
          <w:rFonts w:ascii="Times New Roman" w:cs="Times New Roman" w:eastAsia="Times New Roman" w:hAnsi="Times New Roman"/>
          <w:sz w:val="20"/>
          <w:szCs w:val="20"/>
          <w:color w:val="auto"/>
        </w:rPr>
        <w:t>1.2B</w:t>
        <w:tab/>
        <w:t>“Airspan Parent” means Airspan Networks Holdings LLC (formerly known as Airspan Networks Holdings Inc.), a Delaware limited liability company.</w:t>
      </w:r>
    </w:p>
    <w:p>
      <w:pPr>
        <w:spacing w:after="0" w:line="188" w:lineRule="exact"/>
        <w:rPr>
          <w:sz w:val="20"/>
          <w:szCs w:val="20"/>
          <w:color w:val="auto"/>
        </w:rPr>
      </w:pPr>
    </w:p>
    <w:p>
      <w:pPr>
        <w:jc w:val="both"/>
        <w:ind w:left="2520" w:hanging="748"/>
        <w:spacing w:after="0" w:line="253" w:lineRule="auto"/>
        <w:tabs>
          <w:tab w:leader="none" w:pos="2500" w:val="left"/>
        </w:tabs>
        <w:rPr>
          <w:sz w:val="20"/>
          <w:szCs w:val="20"/>
          <w:color w:val="auto"/>
        </w:rPr>
      </w:pPr>
      <w:r>
        <w:rPr>
          <w:rFonts w:ascii="Times New Roman" w:cs="Times New Roman" w:eastAsia="Times New Roman" w:hAnsi="Times New Roman"/>
          <w:sz w:val="20"/>
          <w:szCs w:val="20"/>
          <w:color w:val="auto"/>
        </w:rPr>
        <w:t>1.3A</w:t>
        <w:tab/>
        <w:t>“ATG Evolution” means the commercial Air-to-Ground (ATG) network solution to serve North America utilizing unlicensed (2.4 GHz) spectrum for a 5G solution, and Gogo’s licensed (850 MHz) spectrum for a 4G LTE solution developed under the SOW.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45" w:name="page46"/>
    <w:bookmarkEnd w:id="45"/>
    <w:p>
      <w:pPr>
        <w:jc w:val="center"/>
        <w:ind w:right="200"/>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213" w:lineRule="exact"/>
        <w:rPr>
          <w:sz w:val="20"/>
          <w:szCs w:val="20"/>
          <w:color w:val="auto"/>
        </w:rPr>
      </w:pPr>
    </w:p>
    <w:p>
      <w:pPr>
        <w:ind w:left="1340" w:hanging="369"/>
        <w:spacing w:after="0" w:line="250" w:lineRule="auto"/>
        <w:tabs>
          <w:tab w:leader="none" w:pos="1340"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Personnel</w:t>
      </w:r>
      <w:r>
        <w:rPr>
          <w:rFonts w:ascii="Times New Roman" w:cs="Times New Roman" w:eastAsia="Times New Roman" w:hAnsi="Times New Roman"/>
          <w:sz w:val="20"/>
          <w:szCs w:val="20"/>
          <w:color w:val="auto"/>
        </w:rPr>
        <w:t>. Section 2.2 of the MSA is hereby amended by inserting a new clause (d) in appropriate alphabetical order therein, to read in its entirety as follows:</w:t>
      </w:r>
    </w:p>
    <w:p>
      <w:pPr>
        <w:spacing w:after="0" w:line="1" w:lineRule="exact"/>
        <w:rPr>
          <w:rFonts w:ascii="Times New Roman" w:cs="Times New Roman" w:eastAsia="Times New Roman" w:hAnsi="Times New Roman"/>
          <w:sz w:val="20"/>
          <w:szCs w:val="20"/>
          <w:u w:val="single" w:color="auto"/>
          <w:color w:val="auto"/>
        </w:rPr>
      </w:pPr>
    </w:p>
    <w:p>
      <w:pPr>
        <w:ind w:left="2460" w:right="60" w:hanging="740"/>
        <w:spacing w:after="0" w:line="245" w:lineRule="auto"/>
        <w:tabs>
          <w:tab w:leader="none" w:pos="2106"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Airspan will provide Gogo with bi-monthly reports identifying the Airspan personnel who are delivering, manufacturing, and performing work in connection with the ATG Evolution projects.</w:t>
      </w:r>
    </w:p>
    <w:p>
      <w:pPr>
        <w:spacing w:after="0" w:line="196" w:lineRule="exact"/>
        <w:rPr>
          <w:rFonts w:ascii="Times New Roman" w:cs="Times New Roman" w:eastAsia="Times New Roman" w:hAnsi="Times New Roman"/>
          <w:sz w:val="20"/>
          <w:szCs w:val="20"/>
          <w:color w:val="auto"/>
        </w:rPr>
      </w:pPr>
    </w:p>
    <w:p>
      <w:pPr>
        <w:ind w:left="1340" w:hanging="369"/>
        <w:spacing w:after="0"/>
        <w:tabs>
          <w:tab w:leader="none" w:pos="1340"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Financial Information</w:t>
      </w:r>
      <w:r>
        <w:rPr>
          <w:rFonts w:ascii="Times New Roman" w:cs="Times New Roman" w:eastAsia="Times New Roman" w:hAnsi="Times New Roman"/>
          <w:sz w:val="20"/>
          <w:szCs w:val="20"/>
          <w:color w:val="auto"/>
        </w:rPr>
        <w:t>. Section 12.4 of the MSA is hereby amended and restated in its entirety to read as follows:</w:t>
      </w:r>
    </w:p>
    <w:p>
      <w:pPr>
        <w:spacing w:after="0" w:line="228" w:lineRule="exact"/>
        <w:rPr>
          <w:sz w:val="20"/>
          <w:szCs w:val="20"/>
          <w:color w:val="auto"/>
        </w:rPr>
      </w:pPr>
    </w:p>
    <w:p>
      <w:pPr>
        <w:ind w:left="1720"/>
        <w:spacing w:after="0"/>
        <w:tabs>
          <w:tab w:leader="none" w:pos="2440" w:val="left"/>
        </w:tabs>
        <w:rPr>
          <w:sz w:val="20"/>
          <w:szCs w:val="20"/>
          <w:color w:val="auto"/>
        </w:rPr>
      </w:pPr>
      <w:r>
        <w:rPr>
          <w:rFonts w:ascii="Times New Roman" w:cs="Times New Roman" w:eastAsia="Times New Roman" w:hAnsi="Times New Roman"/>
          <w:sz w:val="20"/>
          <w:szCs w:val="20"/>
          <w:u w:val="single" w:color="auto"/>
          <w:color w:val="auto"/>
        </w:rPr>
        <w:t>12.4</w:t>
      </w:r>
      <w:r>
        <w:rPr>
          <w:sz w:val="20"/>
          <w:szCs w:val="20"/>
          <w:color w:val="auto"/>
        </w:rPr>
        <w:tab/>
      </w:r>
      <w:r>
        <w:rPr>
          <w:rFonts w:ascii="Times New Roman" w:cs="Times New Roman" w:eastAsia="Times New Roman" w:hAnsi="Times New Roman"/>
          <w:sz w:val="19"/>
          <w:szCs w:val="19"/>
          <w:u w:val="single" w:color="auto"/>
          <w:color w:val="auto"/>
        </w:rPr>
        <w:t>Reporting; Embedded Gogo Employees</w:t>
      </w:r>
      <w:r>
        <w:rPr>
          <w:rFonts w:ascii="Times New Roman" w:cs="Times New Roman" w:eastAsia="Times New Roman" w:hAnsi="Times New Roman"/>
          <w:sz w:val="19"/>
          <w:szCs w:val="19"/>
          <w:color w:val="auto"/>
        </w:rPr>
        <w:t>.</w:t>
      </w:r>
    </w:p>
    <w:p>
      <w:pPr>
        <w:spacing w:after="0" w:line="228" w:lineRule="exact"/>
        <w:rPr>
          <w:sz w:val="20"/>
          <w:szCs w:val="20"/>
          <w:color w:val="auto"/>
        </w:rPr>
      </w:pPr>
    </w:p>
    <w:p>
      <w:pPr>
        <w:jc w:val="both"/>
        <w:ind w:left="3220" w:hanging="751"/>
        <w:spacing w:after="0" w:line="244" w:lineRule="auto"/>
        <w:tabs>
          <w:tab w:leader="none" w:pos="32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Airspan will provide Gogo (a) to the extent prepared, monthly unaudited financials of the Airspan Parent, (b) quarterly unaudited financial statements of the Airspan Parent, (c) commencing with the fiscal year of Airspan ending December 31, 2024, annual audited financial statements of the Airspan Parent, and (d) beginning with the fiscal year of the Airspan Parent commencing January 1, 2025, an annual budget and updates to such budget (to the extent updates are prepared), in each case at the same time as such financial statements and budget are provided to the Airspan Parent’s equity holders.</w:t>
      </w:r>
    </w:p>
    <w:p>
      <w:pPr>
        <w:spacing w:after="0" w:line="197" w:lineRule="exact"/>
        <w:rPr>
          <w:rFonts w:ascii="Times New Roman" w:cs="Times New Roman" w:eastAsia="Times New Roman" w:hAnsi="Times New Roman"/>
          <w:sz w:val="20"/>
          <w:szCs w:val="20"/>
          <w:color w:val="auto"/>
        </w:rPr>
      </w:pPr>
    </w:p>
    <w:p>
      <w:pPr>
        <w:jc w:val="both"/>
        <w:ind w:left="3220" w:hanging="751"/>
        <w:spacing w:after="0" w:line="246" w:lineRule="auto"/>
        <w:tabs>
          <w:tab w:leader="none" w:pos="32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delivery of the first batch of 5G radio modules to Airspan under the MSA has not been satisfied by July 1, 2025, and Gogo is no longer a lender under the Airspan Line of Credit Agreement, then Airspan will provide reasonable access to Gogo of determinations of the Airspan Parent’s board of directors (or equivalent) regarding operational matters (redacted for privileged information and conflict of interest matters) until such delivery is made.</w:t>
      </w:r>
    </w:p>
    <w:p>
      <w:pPr>
        <w:spacing w:after="0" w:line="196" w:lineRule="exact"/>
        <w:rPr>
          <w:rFonts w:ascii="Times New Roman" w:cs="Times New Roman" w:eastAsia="Times New Roman" w:hAnsi="Times New Roman"/>
          <w:sz w:val="20"/>
          <w:szCs w:val="20"/>
          <w:color w:val="auto"/>
        </w:rPr>
      </w:pPr>
    </w:p>
    <w:p>
      <w:pPr>
        <w:jc w:val="both"/>
        <w:ind w:left="3220" w:hanging="751"/>
        <w:spacing w:after="0" w:line="241" w:lineRule="auto"/>
        <w:tabs>
          <w:tab w:leader="none" w:pos="322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Gogo may embed up to three (3) persons in the ATG Evolution programs (which embedded persons shall be selected and/or replaced at Gogo’s discretion, so long as such persons are reasonably acceptable to Airspan). Such placement of personnel shall be subject to background checks as reasonably requested by Airspan; provided, however, that such background checks shall be no more onerous than the background checks conducted by Airspan for its employees; provided further that if requested by Airspan, Gogo shall enter into confidentiality undertakings related to such access as requested by Airspan and shall confirm that such personnel are covered by such confidentiality undertakings. Subject to the foregoing, personnel embedded pursuant to this Section 12.4(c) shall have access to Airspan’s program management office, development, and production operations supporting the ATG Evolution programs;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embedded personnel rights set forth in this Section 12.4(c) shall terminate following any termination or litigation under the MSA or other commercial agreements between Airspan and/or its Affiliates, on the one hand, and Gogo and/or its Affiliates, on the other hand (other than the Airspan Line of Credit Agreement).</w:t>
      </w:r>
    </w:p>
    <w:p>
      <w:pPr>
        <w:spacing w:after="0" w:line="201" w:lineRule="exact"/>
        <w:rPr>
          <w:rFonts w:ascii="Times New Roman" w:cs="Times New Roman" w:eastAsia="Times New Roman" w:hAnsi="Times New Roman"/>
          <w:sz w:val="20"/>
          <w:szCs w:val="20"/>
          <w:color w:val="auto"/>
        </w:rPr>
      </w:pPr>
    </w:p>
    <w:p>
      <w:pPr>
        <w:ind w:left="600" w:hanging="378"/>
        <w:spacing w:after="0"/>
        <w:tabs>
          <w:tab w:leader="none" w:pos="6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 to Schedule and Dates</w:t>
      </w:r>
      <w:r>
        <w:rPr>
          <w:rFonts w:ascii="Times New Roman" w:cs="Times New Roman" w:eastAsia="Times New Roman" w:hAnsi="Times New Roman"/>
          <w:sz w:val="20"/>
          <w:szCs w:val="20"/>
          <w:color w:val="auto"/>
        </w:rPr>
        <w:t>. The Parties agree to the following:</w:t>
      </w:r>
    </w:p>
    <w:p>
      <w:pPr>
        <w:spacing w:after="0" w:line="200" w:lineRule="exact"/>
        <w:rPr>
          <w:sz w:val="20"/>
          <w:szCs w:val="20"/>
          <w:color w:val="auto"/>
        </w:rPr>
      </w:pPr>
    </w:p>
    <w:p>
      <w:pPr>
        <w:spacing w:after="0" w:line="27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55" w:right="339" w:bottom="1440" w:gutter="0" w:footer="0" w:header="0"/>
        </w:sectPr>
      </w:pPr>
    </w:p>
    <w:bookmarkStart w:id="46" w:name="page47"/>
    <w:bookmarkEnd w:id="46"/>
    <w:p>
      <w:pPr>
        <w:jc w:val="center"/>
        <w:ind w:right="200"/>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213" w:lineRule="exact"/>
        <w:rPr>
          <w:sz w:val="20"/>
          <w:szCs w:val="20"/>
          <w:color w:val="auto"/>
        </w:rPr>
      </w:pPr>
    </w:p>
    <w:p>
      <w:pPr>
        <w:jc w:val="both"/>
        <w:ind w:left="1340" w:hanging="369"/>
        <w:spacing w:after="0" w:line="254" w:lineRule="auto"/>
        <w:tabs>
          <w:tab w:leader="none" w:pos="1340" w:val="left"/>
        </w:tabs>
        <w:numPr>
          <w:ilvl w:val="1"/>
          <w:numId w:val="4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The Parties hereby agree (1) that each of </w:t>
      </w:r>
      <w:r>
        <w:rPr>
          <w:rFonts w:ascii="Times New Roman" w:cs="Times New Roman" w:eastAsia="Times New Roman" w:hAnsi="Times New Roman"/>
          <w:sz w:val="19"/>
          <w:szCs w:val="19"/>
          <w:u w:val="single" w:color="auto"/>
          <w:color w:val="auto"/>
        </w:rPr>
        <w:t>Exhibit A, Part 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Exhibit A, Part 1.B</w:t>
      </w:r>
      <w:r>
        <w:rPr>
          <w:rFonts w:ascii="Times New Roman" w:cs="Times New Roman" w:eastAsia="Times New Roman" w:hAnsi="Times New Roman"/>
          <w:sz w:val="19"/>
          <w:szCs w:val="19"/>
          <w:color w:val="auto"/>
        </w:rPr>
        <w:t xml:space="preserve"> hereto sets forth certain agreed milestones relating to the ATG Evolution, (2) the SOW is amended to include such milestones, and (3) (x) </w:t>
      </w:r>
      <w:r>
        <w:rPr>
          <w:rFonts w:ascii="Times New Roman" w:cs="Times New Roman" w:eastAsia="Times New Roman" w:hAnsi="Times New Roman"/>
          <w:sz w:val="19"/>
          <w:szCs w:val="19"/>
          <w:u w:val="single" w:color="auto"/>
          <w:color w:val="auto"/>
        </w:rPr>
        <w:t>Exhibit A, Part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1.A</w:t>
      </w:r>
      <w:r>
        <w:rPr>
          <w:rFonts w:ascii="Times New Roman" w:cs="Times New Roman" w:eastAsia="Times New Roman" w:hAnsi="Times New Roman"/>
          <w:sz w:val="19"/>
          <w:szCs w:val="19"/>
          <w:color w:val="auto"/>
        </w:rPr>
        <w:t xml:space="preserve"> sets forth firm dates for the completion of certain of such milestones and (y) </w:t>
      </w:r>
      <w:r>
        <w:rPr>
          <w:rFonts w:ascii="Times New Roman" w:cs="Times New Roman" w:eastAsia="Times New Roman" w:hAnsi="Times New Roman"/>
          <w:sz w:val="19"/>
          <w:szCs w:val="19"/>
          <w:u w:val="single" w:color="auto"/>
          <w:color w:val="auto"/>
        </w:rPr>
        <w:t>Exhibit A, Part 1.B</w:t>
      </w:r>
      <w:r>
        <w:rPr>
          <w:rFonts w:ascii="Times New Roman" w:cs="Times New Roman" w:eastAsia="Times New Roman" w:hAnsi="Times New Roman"/>
          <w:sz w:val="19"/>
          <w:szCs w:val="19"/>
          <w:color w:val="auto"/>
        </w:rPr>
        <w:t xml:space="preserve"> sets forth target dates for the completion of certain of such milestones. For the avoidance of doubt, the Parties agree that the dates listed under the header “Target Date” in the tables set forth in </w:t>
      </w:r>
      <w:r>
        <w:rPr>
          <w:rFonts w:ascii="Times New Roman" w:cs="Times New Roman" w:eastAsia="Times New Roman" w:hAnsi="Times New Roman"/>
          <w:sz w:val="19"/>
          <w:szCs w:val="19"/>
          <w:u w:val="single" w:color="auto"/>
          <w:color w:val="auto"/>
        </w:rPr>
        <w:t>Exhibit A, Part 1.B</w:t>
      </w:r>
      <w:r>
        <w:rPr>
          <w:rFonts w:ascii="Times New Roman" w:cs="Times New Roman" w:eastAsia="Times New Roman" w:hAnsi="Times New Roman"/>
          <w:sz w:val="19"/>
          <w:szCs w:val="19"/>
          <w:color w:val="auto"/>
        </w:rPr>
        <w:t xml:space="preserve"> hereto are not “firm or fixed performance dates,” but rather are “estimate or target” dates as described in Section 2.6 of the MSA. The Parties further agree that, upon the failure to satisfy a milestone set forth in Exhibit A, Part 1.A., Airspan shall have a period of thirty (30) days after written notice of such breach is received from Gogo to cure such breach (the “Part 1.A Cure Period”); provided, however, that (x) the use by Airspan of all or part of the Part 1.A Cure Period in respect to any noticed breach of the type described in this sentence shall reduce, day for day, the Part 1.A Cure Period available in respect to any such subsequent noticed breach and</w:t>
      </w:r>
    </w:p>
    <w:p>
      <w:pPr>
        <w:spacing w:after="0" w:line="2" w:lineRule="exact"/>
        <w:rPr>
          <w:rFonts w:ascii="Times New Roman" w:cs="Times New Roman" w:eastAsia="Times New Roman" w:hAnsi="Times New Roman"/>
          <w:sz w:val="19"/>
          <w:szCs w:val="19"/>
          <w:u w:val="single" w:color="auto"/>
          <w:color w:val="auto"/>
        </w:rPr>
      </w:pPr>
    </w:p>
    <w:p>
      <w:pPr>
        <w:ind w:left="1340" w:firstLine="5"/>
        <w:spacing w:after="0" w:line="245" w:lineRule="auto"/>
        <w:tabs>
          <w:tab w:leader="none" w:pos="1639"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aggregate period of time available to Airspan in respect of any or all Part 1.A Cure Periods shall not exceed thirty (30) days unless otherwise agreed by the Parties.</w:t>
      </w:r>
    </w:p>
    <w:p>
      <w:pPr>
        <w:spacing w:after="0" w:line="74" w:lineRule="exact"/>
        <w:rPr>
          <w:rFonts w:ascii="Times New Roman" w:cs="Times New Roman" w:eastAsia="Times New Roman" w:hAnsi="Times New Roman"/>
          <w:sz w:val="20"/>
          <w:szCs w:val="20"/>
          <w:color w:val="auto"/>
        </w:rPr>
      </w:pPr>
    </w:p>
    <w:p>
      <w:pPr>
        <w:ind w:left="1340" w:hanging="369"/>
        <w:spacing w:after="0" w:line="268" w:lineRule="auto"/>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SOW is amended by amending “Table 10 – Milestone Payment Schedule” as set forth therein to modify the “scheduled completion” for Milestone 8 (MI8), and Milestone 9 (MI9) as set forth on </w:t>
      </w:r>
      <w:r>
        <w:rPr>
          <w:rFonts w:ascii="Times New Roman" w:cs="Times New Roman" w:eastAsia="Times New Roman" w:hAnsi="Times New Roman"/>
          <w:sz w:val="20"/>
          <w:szCs w:val="20"/>
          <w:u w:val="single" w:color="auto"/>
          <w:color w:val="auto"/>
        </w:rPr>
        <w:t>Exhibit A, Part 2</w:t>
      </w:r>
      <w:r>
        <w:rPr>
          <w:rFonts w:ascii="Times New Roman" w:cs="Times New Roman" w:eastAsia="Times New Roman" w:hAnsi="Times New Roman"/>
          <w:sz w:val="20"/>
          <w:szCs w:val="20"/>
          <w:color w:val="auto"/>
        </w:rPr>
        <w:t xml:space="preserve"> hereto.</w:t>
      </w:r>
    </w:p>
    <w:p>
      <w:pPr>
        <w:spacing w:after="0" w:line="52" w:lineRule="exact"/>
        <w:rPr>
          <w:rFonts w:ascii="Times New Roman" w:cs="Times New Roman" w:eastAsia="Times New Roman" w:hAnsi="Times New Roman"/>
          <w:sz w:val="20"/>
          <w:szCs w:val="20"/>
          <w:u w:val="single" w:color="auto"/>
          <w:color w:val="auto"/>
        </w:rPr>
      </w:pPr>
    </w:p>
    <w:p>
      <w:pPr>
        <w:ind w:left="1340" w:hanging="369"/>
        <w:spacing w:after="0"/>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Supply Agreement and its applicable PO 129470 is amended as set forth in </w:t>
      </w:r>
      <w:r>
        <w:rPr>
          <w:rFonts w:ascii="Times New Roman" w:cs="Times New Roman" w:eastAsia="Times New Roman" w:hAnsi="Times New Roman"/>
          <w:sz w:val="20"/>
          <w:szCs w:val="20"/>
          <w:u w:val="single" w:color="auto"/>
          <w:color w:val="auto"/>
        </w:rPr>
        <w:t>Exhibit A, Part 3</w:t>
      </w:r>
      <w:r>
        <w:rPr>
          <w:rFonts w:ascii="Times New Roman" w:cs="Times New Roman" w:eastAsia="Times New Roman" w:hAnsi="Times New Roman"/>
          <w:sz w:val="20"/>
          <w:szCs w:val="20"/>
          <w:color w:val="auto"/>
        </w:rPr>
        <w:t>.</w:t>
      </w:r>
    </w:p>
    <w:p>
      <w:pPr>
        <w:spacing w:after="0" w:line="107" w:lineRule="exact"/>
        <w:rPr>
          <w:rFonts w:ascii="Times New Roman" w:cs="Times New Roman" w:eastAsia="Times New Roman" w:hAnsi="Times New Roman"/>
          <w:sz w:val="20"/>
          <w:szCs w:val="20"/>
          <w:u w:val="single" w:color="auto"/>
          <w:color w:val="auto"/>
        </w:rPr>
      </w:pPr>
    </w:p>
    <w:p>
      <w:pPr>
        <w:jc w:val="both"/>
        <w:ind w:left="1340" w:hanging="369"/>
        <w:spacing w:after="0" w:line="253" w:lineRule="auto"/>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Parties hereby agree that, in the event that a milestone 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occurs on or before the related Incentive Date (if any) set forth on such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Gogo will pay to Airspan the correlating Incentive Payment Amount identified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within 30 days after occurrence of such milestone.</w:t>
      </w:r>
    </w:p>
    <w:p>
      <w:pPr>
        <w:spacing w:after="0" w:line="68" w:lineRule="exact"/>
        <w:rPr>
          <w:rFonts w:ascii="Times New Roman" w:cs="Times New Roman" w:eastAsia="Times New Roman" w:hAnsi="Times New Roman"/>
          <w:sz w:val="20"/>
          <w:szCs w:val="20"/>
          <w:u w:val="single" w:color="auto"/>
          <w:color w:val="auto"/>
        </w:rPr>
      </w:pPr>
    </w:p>
    <w:p>
      <w:pPr>
        <w:jc w:val="both"/>
        <w:ind w:left="1340" w:hanging="369"/>
        <w:spacing w:after="0" w:line="253" w:lineRule="auto"/>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Parties hereby agree to extend the delivery dates under Purchase Order Nos. 130143 and 132477 and the balance of the delivery dates under Purchase Order 129470 not amended by </w:t>
      </w:r>
      <w:r>
        <w:rPr>
          <w:rFonts w:ascii="Times New Roman" w:cs="Times New Roman" w:eastAsia="Times New Roman" w:hAnsi="Times New Roman"/>
          <w:sz w:val="20"/>
          <w:szCs w:val="20"/>
          <w:u w:val="single" w:color="auto"/>
          <w:color w:val="auto"/>
        </w:rPr>
        <w:t>Exhibit A, Part 3</w:t>
      </w:r>
      <w:r>
        <w:rPr>
          <w:rFonts w:ascii="Times New Roman" w:cs="Times New Roman" w:eastAsia="Times New Roman" w:hAnsi="Times New Roman"/>
          <w:sz w:val="20"/>
          <w:szCs w:val="20"/>
          <w:color w:val="auto"/>
        </w:rPr>
        <w:t xml:space="preserve"> from the dates set forth therein to new mutually agreeable dates to be determined by the Parties at a later time.</w:t>
      </w:r>
    </w:p>
    <w:p>
      <w:pPr>
        <w:spacing w:after="0" w:line="68" w:lineRule="exact"/>
        <w:rPr>
          <w:rFonts w:ascii="Times New Roman" w:cs="Times New Roman" w:eastAsia="Times New Roman" w:hAnsi="Times New Roman"/>
          <w:sz w:val="20"/>
          <w:szCs w:val="20"/>
          <w:u w:val="single" w:color="auto"/>
          <w:color w:val="auto"/>
        </w:rPr>
      </w:pPr>
    </w:p>
    <w:p>
      <w:pPr>
        <w:ind w:left="1340" w:hanging="369"/>
        <w:spacing w:after="0" w:line="268" w:lineRule="auto"/>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Parties hereby agree to the terms regarding cooperation between Airspan and Gogo in connection with certain milestones, in each case as further set forth in Footnote 1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52" w:lineRule="exact"/>
        <w:rPr>
          <w:rFonts w:ascii="Times New Roman" w:cs="Times New Roman" w:eastAsia="Times New Roman" w:hAnsi="Times New Roman"/>
          <w:sz w:val="20"/>
          <w:szCs w:val="20"/>
          <w:u w:val="single" w:color="auto"/>
          <w:color w:val="auto"/>
        </w:rPr>
      </w:pPr>
    </w:p>
    <w:p>
      <w:pPr>
        <w:jc w:val="both"/>
        <w:ind w:left="1340" w:hanging="369"/>
        <w:spacing w:after="0" w:line="244" w:lineRule="auto"/>
        <w:tabs>
          <w:tab w:leader="none" w:pos="1340" w:val="left"/>
        </w:tabs>
        <w:numPr>
          <w:ilvl w:val="1"/>
          <w:numId w:val="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Parties hereby agree that, subject to the Waiver, all Parties’ rights under the Airspan/Gogo Agreements are reserved, and nothing in this Section 2 or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except as provided in Section 2(a), 2(b), 2(c), 2(d) and 2(e) hereof, shall be interpreted to modify, increase, or limit the obligations, rights, or remedies of the Parties with respect to Airspan’s satisfaction of any milestones under the SOW (the “</w:t>
      </w:r>
      <w:r>
        <w:rPr>
          <w:rFonts w:ascii="Times New Roman" w:cs="Times New Roman" w:eastAsia="Times New Roman" w:hAnsi="Times New Roman"/>
          <w:sz w:val="20"/>
          <w:szCs w:val="20"/>
          <w:b w:val="1"/>
          <w:bCs w:val="1"/>
          <w:color w:val="auto"/>
        </w:rPr>
        <w:t>Milestones</w:t>
      </w:r>
      <w:r>
        <w:rPr>
          <w:rFonts w:ascii="Times New Roman" w:cs="Times New Roman" w:eastAsia="Times New Roman" w:hAnsi="Times New Roman"/>
          <w:sz w:val="20"/>
          <w:szCs w:val="20"/>
          <w:color w:val="auto"/>
        </w:rPr>
        <w:t>”), schedules, or dates under the Airspan/Gogo Agreements, or create any new remedies, rights or obligations in connection with the satisfaction of Milestones, schedules, or dates under the Airspan/Gogo Agreements beyond the terms of the existing Airspan/Gogo Agreements as in effect on the date hereof.</w:t>
      </w:r>
    </w:p>
    <w:p>
      <w:pPr>
        <w:spacing w:after="0" w:line="200" w:lineRule="exact"/>
        <w:rPr>
          <w:rFonts w:ascii="Times New Roman" w:cs="Times New Roman" w:eastAsia="Times New Roman" w:hAnsi="Times New Roman"/>
          <w:sz w:val="20"/>
          <w:szCs w:val="20"/>
          <w:u w:val="single" w:color="auto"/>
          <w:color w:val="auto"/>
        </w:rPr>
      </w:pPr>
    </w:p>
    <w:p>
      <w:pPr>
        <w:spacing w:after="0" w:line="222" w:lineRule="exact"/>
        <w:rPr>
          <w:rFonts w:ascii="Times New Roman" w:cs="Times New Roman" w:eastAsia="Times New Roman" w:hAnsi="Times New Roman"/>
          <w:sz w:val="20"/>
          <w:szCs w:val="20"/>
          <w:u w:val="single" w:color="auto"/>
          <w:color w:val="auto"/>
        </w:rPr>
      </w:pPr>
    </w:p>
    <w:p>
      <w:pPr>
        <w:ind w:left="600" w:hanging="378"/>
        <w:spacing w:after="0"/>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Amendments to Supply Agreement.</w:t>
      </w:r>
    </w:p>
    <w:p>
      <w:pPr>
        <w:spacing w:after="0" w:line="232" w:lineRule="exact"/>
        <w:rPr>
          <w:rFonts w:ascii="Times New Roman" w:cs="Times New Roman" w:eastAsia="Times New Roman" w:hAnsi="Times New Roman"/>
          <w:sz w:val="20"/>
          <w:szCs w:val="20"/>
          <w:color w:val="auto"/>
        </w:rPr>
      </w:pPr>
    </w:p>
    <w:p>
      <w:pPr>
        <w:ind w:left="1340" w:hanging="369"/>
        <w:spacing w:after="0"/>
        <w:tabs>
          <w:tab w:leader="none" w:pos="1340" w:val="left"/>
        </w:tabs>
        <w:numPr>
          <w:ilvl w:val="1"/>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Records; Audit</w:t>
      </w:r>
      <w:r>
        <w:rPr>
          <w:rFonts w:ascii="Times New Roman" w:cs="Times New Roman" w:eastAsia="Times New Roman" w:hAnsi="Times New Roman"/>
          <w:sz w:val="20"/>
          <w:szCs w:val="20"/>
          <w:color w:val="auto"/>
        </w:rPr>
        <w:t>. Section 4.3(b) of the Supply Agreement is hereby amended and restated in its entirety to read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55" w:right="339" w:bottom="1440" w:gutter="0" w:footer="0" w:header="0"/>
        </w:sectPr>
      </w:pPr>
    </w:p>
    <w:bookmarkStart w:id="47" w:name="page48"/>
    <w:bookmarkEnd w:id="47"/>
    <w:p>
      <w:pPr>
        <w:jc w:val="center"/>
        <w:ind w:right="200"/>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119" w:lineRule="exact"/>
        <w:rPr>
          <w:sz w:val="20"/>
          <w:szCs w:val="20"/>
          <w:color w:val="auto"/>
        </w:rPr>
      </w:pPr>
    </w:p>
    <w:p>
      <w:pPr>
        <w:jc w:val="right"/>
        <w:ind w:left="2460" w:hanging="740"/>
        <w:spacing w:after="0" w:line="246" w:lineRule="auto"/>
        <w:tabs>
          <w:tab w:leader="none" w:pos="2169"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Supplier shall provide Gogo (a) to the extent prepared, monthly unaudited financial statements of the Airspan Parent, (b) quarterly unaudited financial statements of the Airspan Parent, (c) commencing with the fiscal year of Airspan ending December 31, 2024, annual audited financial statements of the Airspan Parent, and</w:t>
      </w:r>
    </w:p>
    <w:p>
      <w:pPr>
        <w:spacing w:after="0" w:line="2" w:lineRule="exact"/>
        <w:rPr>
          <w:rFonts w:ascii="Times New Roman" w:cs="Times New Roman" w:eastAsia="Times New Roman" w:hAnsi="Times New Roman"/>
          <w:sz w:val="20"/>
          <w:szCs w:val="20"/>
          <w:color w:val="auto"/>
        </w:rPr>
      </w:pPr>
    </w:p>
    <w:p>
      <w:pPr>
        <w:jc w:val="both"/>
        <w:ind w:left="2460"/>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 commencing with the fiscal year of the Airspan Parent commencing January 1, 2025, an annual budget and updates to such budget (to the extent updates are prepared), in each case at the same time as such financial statements and budget arc provided to the Airspan Parent’s equity holders.</w:t>
      </w:r>
    </w:p>
    <w:p>
      <w:pPr>
        <w:spacing w:after="0" w:line="199" w:lineRule="exact"/>
        <w:rPr>
          <w:rFonts w:ascii="Times New Roman" w:cs="Times New Roman" w:eastAsia="Times New Roman" w:hAnsi="Times New Roman"/>
          <w:sz w:val="20"/>
          <w:szCs w:val="20"/>
          <w:color w:val="auto"/>
        </w:rPr>
      </w:pPr>
    </w:p>
    <w:p>
      <w:pPr>
        <w:ind w:left="1340" w:right="20" w:hanging="369"/>
        <w:spacing w:after="0" w:line="268" w:lineRule="auto"/>
        <w:tabs>
          <w:tab w:leader="none" w:pos="1340" w:val="left"/>
        </w:tabs>
        <w:numPr>
          <w:ilvl w:val="0"/>
          <w:numId w:val="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Exhibit D to the Supply Agreement is hereby amended by inserting a new definition in appropriate alphabetical order therein, to read in its entirety as follows:</w:t>
      </w:r>
    </w:p>
    <w:p>
      <w:pPr>
        <w:spacing w:after="0" w:line="170" w:lineRule="exact"/>
        <w:rPr>
          <w:sz w:val="20"/>
          <w:szCs w:val="20"/>
          <w:color w:val="auto"/>
        </w:rPr>
      </w:pPr>
    </w:p>
    <w:p>
      <w:pPr>
        <w:ind w:left="1720" w:right="20"/>
        <w:spacing w:after="0" w:line="272" w:lineRule="auto"/>
        <w:rPr>
          <w:sz w:val="20"/>
          <w:szCs w:val="20"/>
          <w:color w:val="auto"/>
        </w:rPr>
      </w:pPr>
      <w:r>
        <w:rPr>
          <w:rFonts w:ascii="Times New Roman" w:cs="Times New Roman" w:eastAsia="Times New Roman" w:hAnsi="Times New Roman"/>
          <w:sz w:val="20"/>
          <w:szCs w:val="20"/>
          <w:b w:val="1"/>
          <w:bCs w:val="1"/>
          <w:color w:val="auto"/>
        </w:rPr>
        <w:t>Airspan Parent</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b w:val="1"/>
          <w:bCs w:val="1"/>
          <w:color w:val="auto"/>
        </w:rPr>
        <w:t>Airspan Parent</w:t>
      </w:r>
      <w:r>
        <w:rPr>
          <w:rFonts w:ascii="Times New Roman" w:cs="Times New Roman" w:eastAsia="Times New Roman" w:hAnsi="Times New Roman"/>
          <w:sz w:val="20"/>
          <w:szCs w:val="20"/>
          <w:color w:val="auto"/>
        </w:rPr>
        <w:t>” means Airspan Networks Holdings LLC (formerly known as Airspan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Networks Holdings Inc.), a Delaware limited liability company.</w:t>
      </w:r>
    </w:p>
    <w:p>
      <w:pPr>
        <w:spacing w:after="0" w:line="166" w:lineRule="exact"/>
        <w:rPr>
          <w:sz w:val="20"/>
          <w:szCs w:val="20"/>
          <w:color w:val="auto"/>
        </w:rPr>
      </w:pPr>
    </w:p>
    <w:p>
      <w:pPr>
        <w:jc w:val="both"/>
        <w:ind w:left="600" w:hanging="378"/>
        <w:spacing w:after="0" w:line="243" w:lineRule="auto"/>
        <w:tabs>
          <w:tab w:leader="none" w:pos="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Limited Waiver</w:t>
      </w:r>
      <w:r>
        <w:rPr>
          <w:rFonts w:ascii="Times New Roman" w:cs="Times New Roman" w:eastAsia="Times New Roman" w:hAnsi="Times New Roman"/>
          <w:sz w:val="20"/>
          <w:szCs w:val="20"/>
          <w:color w:val="auto"/>
        </w:rPr>
        <w:t>. With effect from the date hereof until the Waiver Termination Date (if any), Gogo agrees to waive each default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event of default that has occurred or is purported to have occurred as of the date hereof under the Airspan/Gogo Agreements, whether such defaults are known or unknown, contingent or matured (the “</w:t>
      </w:r>
      <w:r>
        <w:rPr>
          <w:rFonts w:ascii="Times New Roman" w:cs="Times New Roman" w:eastAsia="Times New Roman" w:hAnsi="Times New Roman"/>
          <w:sz w:val="20"/>
          <w:szCs w:val="20"/>
          <w:b w:val="1"/>
          <w:bCs w:val="1"/>
          <w:color w:val="auto"/>
        </w:rPr>
        <w:t>Waiver</w:t>
      </w:r>
      <w:r>
        <w:rPr>
          <w:rFonts w:ascii="Times New Roman" w:cs="Times New Roman" w:eastAsia="Times New Roman" w:hAnsi="Times New Roman"/>
          <w:sz w:val="20"/>
          <w:szCs w:val="20"/>
          <w:color w:val="auto"/>
        </w:rPr>
        <w:t>”). Notwithstanding anything to the contrary in this Amendment, nothing in this Amendment shall be construed as agreement by Airspan or admission to, or acknowledgment of, the accuracy or validity of any purported default or event of default under the Airspan/Gogo Agreements. In the event that (a) a court order is entered and becomes final and non-appealable (the latter being applicable only if Airspan is actively opposing rejection of the MSA) permitting Airspan to reject the MSA pursuant to 11 U.S.C. § 365, or (b) at any time after July 1, 2025 and prior to the delivery of a functioning 5G radio module to Gogo, Gogo validly terminates the MSA in accordance with Section 7.2(a) of the MSA as a result of a future material breach by Airspan under the Airspan/Gogo Agreements that occurs after the date hereof, then the Waiver shall terminate on the date of entry of such final and non-appealable (the latter being applicable only if Airspan is actively opposing rejection of the MSA) order approving rejection of the MSA or on the date of such termination, as applicable (in either case, the “</w:t>
      </w:r>
      <w:r>
        <w:rPr>
          <w:rFonts w:ascii="Times New Roman" w:cs="Times New Roman" w:eastAsia="Times New Roman" w:hAnsi="Times New Roman"/>
          <w:sz w:val="20"/>
          <w:szCs w:val="20"/>
          <w:b w:val="1"/>
          <w:bCs w:val="1"/>
          <w:color w:val="auto"/>
        </w:rPr>
        <w:t>Waiver Termination Date</w:t>
      </w:r>
      <w:r>
        <w:rPr>
          <w:rFonts w:ascii="Times New Roman" w:cs="Times New Roman" w:eastAsia="Times New Roman" w:hAnsi="Times New Roman"/>
          <w:sz w:val="20"/>
          <w:szCs w:val="20"/>
          <w:color w:val="auto"/>
        </w:rPr>
        <w:t>”). Notwithstanding anything to the contrary herein, (i) the Waiver hereunder shall have no effect on the ability of Gogo to make or pursue any claims it may have against GCT Semiconductors, Inc. (“</w:t>
      </w:r>
      <w:r>
        <w:rPr>
          <w:rFonts w:ascii="Times New Roman" w:cs="Times New Roman" w:eastAsia="Times New Roman" w:hAnsi="Times New Roman"/>
          <w:sz w:val="20"/>
          <w:szCs w:val="20"/>
          <w:b w:val="1"/>
          <w:bCs w:val="1"/>
          <w:color w:val="auto"/>
        </w:rPr>
        <w:t>GCT</w:t>
      </w:r>
      <w:r>
        <w:rPr>
          <w:rFonts w:ascii="Times New Roman" w:cs="Times New Roman" w:eastAsia="Times New Roman" w:hAnsi="Times New Roman"/>
          <w:sz w:val="20"/>
          <w:szCs w:val="20"/>
          <w:color w:val="auto"/>
        </w:rPr>
        <w:t>”), and (ii) so long as the Waiver Termination Date has not already occurred, the Waiver shall become permanent and not subject to termination upon the delivery to Gogo of a functioning 5G radio module.</w:t>
      </w:r>
    </w:p>
    <w:p>
      <w:pPr>
        <w:spacing w:after="0" w:line="201" w:lineRule="exact"/>
        <w:rPr>
          <w:rFonts w:ascii="Times New Roman" w:cs="Times New Roman" w:eastAsia="Times New Roman" w:hAnsi="Times New Roman"/>
          <w:sz w:val="20"/>
          <w:szCs w:val="20"/>
          <w:color w:val="auto"/>
        </w:rPr>
      </w:pPr>
    </w:p>
    <w:p>
      <w:pPr>
        <w:jc w:val="both"/>
        <w:ind w:left="600" w:hanging="378"/>
        <w:spacing w:after="0" w:line="244" w:lineRule="auto"/>
        <w:tabs>
          <w:tab w:leader="none" w:pos="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Legal Fees and Expenses</w:t>
      </w:r>
      <w:r>
        <w:rPr>
          <w:rFonts w:ascii="Times New Roman" w:cs="Times New Roman" w:eastAsia="Times New Roman" w:hAnsi="Times New Roman"/>
          <w:sz w:val="20"/>
          <w:szCs w:val="20"/>
          <w:color w:val="auto"/>
        </w:rPr>
        <w:t>. The Parties have agreed that Airspan will pay up to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Gogo’s legal fees and expenses accrued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White &amp; Case LLP, as counsel to Gogo. The Parties agree that under no circumstances shall Airspan be responsible for any other fees or expenses of Gogo, its affiliates, advisors, directors, officers, employees, agents, or legal counsel in connection with this Amendment, Airspan’s jointly administered chapter 11 cases that are pending as of the date of this Amendment before the United States Bankruptcy Court for the District of Delaware, with the lead case docketed as Case No. 24-10621, or the negotiation and execution of the Airspan Line of Credit (other than as expressly required under the terms of the Airspan Line of Credit Agreement (as defined in the MSA, as amended by this Agreement)) in excess of such amount.</w:t>
      </w:r>
    </w:p>
    <w:p>
      <w:pPr>
        <w:spacing w:after="0" w:line="197" w:lineRule="exact"/>
        <w:rPr>
          <w:rFonts w:ascii="Times New Roman" w:cs="Times New Roman" w:eastAsia="Times New Roman" w:hAnsi="Times New Roman"/>
          <w:sz w:val="20"/>
          <w:szCs w:val="20"/>
          <w:color w:val="auto"/>
        </w:rPr>
      </w:pPr>
    </w:p>
    <w:p>
      <w:pPr>
        <w:ind w:left="600" w:hanging="378"/>
        <w:spacing w:after="0" w:line="272" w:lineRule="auto"/>
        <w:tabs>
          <w:tab w:leader="none" w:pos="60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Effectiveness</w:t>
      </w:r>
      <w:r>
        <w:rPr>
          <w:rFonts w:ascii="Times New Roman" w:cs="Times New Roman" w:eastAsia="Times New Roman" w:hAnsi="Times New Roman"/>
          <w:sz w:val="20"/>
          <w:szCs w:val="20"/>
          <w:color w:val="auto"/>
        </w:rPr>
        <w:t>. This Amendment and the amendments and Waiver set forth herein shall become effective immediately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the Effective Date (as defined in the Plan).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55" w:right="339" w:bottom="1440" w:gutter="0" w:footer="0" w:header="0"/>
        </w:sectPr>
      </w:pPr>
    </w:p>
    <w:bookmarkStart w:id="48" w:name="page49"/>
    <w:bookmarkEnd w:id="48"/>
    <w:p>
      <w:pPr>
        <w:jc w:val="center"/>
        <w:ind w:right="200"/>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102" w:lineRule="exact"/>
        <w:rPr>
          <w:sz w:val="20"/>
          <w:szCs w:val="20"/>
          <w:color w:val="auto"/>
        </w:rPr>
      </w:pPr>
    </w:p>
    <w:p>
      <w:pPr>
        <w:ind w:left="600" w:hanging="378"/>
        <w:spacing w:after="0" w:line="272"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Other Amendments</w:t>
      </w:r>
      <w:r>
        <w:rPr>
          <w:rFonts w:ascii="Times New Roman" w:cs="Times New Roman" w:eastAsia="Times New Roman" w:hAnsi="Times New Roman"/>
          <w:sz w:val="20"/>
          <w:szCs w:val="20"/>
          <w:color w:val="auto"/>
        </w:rPr>
        <w:t>. Except as expressly amended hereby, the Airspan/Gogo Agreements shall remain unmodified and in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force and effect.</w:t>
      </w:r>
    </w:p>
    <w:p>
      <w:pPr>
        <w:spacing w:after="0" w:line="166" w:lineRule="exact"/>
        <w:rPr>
          <w:rFonts w:ascii="Times New Roman" w:cs="Times New Roman" w:eastAsia="Times New Roman" w:hAnsi="Times New Roman"/>
          <w:sz w:val="20"/>
          <w:szCs w:val="20"/>
          <w:color w:val="auto"/>
        </w:rPr>
      </w:pPr>
    </w:p>
    <w:p>
      <w:pPr>
        <w:jc w:val="both"/>
        <w:ind w:left="600" w:hanging="378"/>
        <w:spacing w:after="0" w:line="247"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Effect of Amendment on other Documents</w:t>
      </w:r>
      <w:r>
        <w:rPr>
          <w:rFonts w:ascii="Times New Roman" w:cs="Times New Roman" w:eastAsia="Times New Roman" w:hAnsi="Times New Roman"/>
          <w:sz w:val="20"/>
          <w:szCs w:val="20"/>
          <w:color w:val="auto"/>
        </w:rPr>
        <w:t>. On and after the date hereof, each reference in the Airspan/Gogo Agreements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“Master Services Agreement”, the “Statement of Work”, the “Supply Agreement”, the other documents related thereto, “hereunder”, “hereof”, “thereunder”, “thereof” or words of like import referring to any Airspan/Gogo Agreement shall mean and be a reference to such Airspan/Gogo Agreement, as amended or amended, restated, modified, supplemented, or waived by this Agreement.</w:t>
      </w:r>
    </w:p>
    <w:p>
      <w:pPr>
        <w:spacing w:after="0" w:line="191" w:lineRule="exact"/>
        <w:rPr>
          <w:rFonts w:ascii="Times New Roman" w:cs="Times New Roman" w:eastAsia="Times New Roman" w:hAnsi="Times New Roman"/>
          <w:sz w:val="20"/>
          <w:szCs w:val="20"/>
          <w:color w:val="auto"/>
        </w:rPr>
      </w:pPr>
    </w:p>
    <w:p>
      <w:pPr>
        <w:ind w:left="600" w:hanging="378"/>
        <w:spacing w:after="0" w:line="272"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Order of Precedence</w:t>
      </w:r>
      <w:r>
        <w:rPr>
          <w:rFonts w:ascii="Times New Roman" w:cs="Times New Roman" w:eastAsia="Times New Roman" w:hAnsi="Times New Roman"/>
          <w:sz w:val="20"/>
          <w:szCs w:val="20"/>
          <w:color w:val="auto"/>
        </w:rPr>
        <w:t>. In the event of a conflict between the terms of the Airspan/Gogo Agreements and the terms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the terms of this Amendment shall prevail.</w:t>
      </w:r>
    </w:p>
    <w:p>
      <w:pPr>
        <w:spacing w:after="0" w:line="166" w:lineRule="exact"/>
        <w:rPr>
          <w:rFonts w:ascii="Times New Roman" w:cs="Times New Roman" w:eastAsia="Times New Roman" w:hAnsi="Times New Roman"/>
          <w:sz w:val="20"/>
          <w:szCs w:val="20"/>
          <w:color w:val="auto"/>
        </w:rPr>
      </w:pPr>
    </w:p>
    <w:p>
      <w:pPr>
        <w:jc w:val="both"/>
        <w:ind w:left="600" w:hanging="378"/>
        <w:spacing w:after="0" w:line="250"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Amendment contains the entire understanding of the Parties with respect to the subject matter hereof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supersedes all prior agreements and commitments with respect thereto. There are no other oral understandings, terms or conditions, and neither Party has relied upon any express or implied representation not contained in this Amendment with respect to the subject matter hereof.</w:t>
      </w:r>
    </w:p>
    <w:p>
      <w:pPr>
        <w:spacing w:after="0" w:line="174" w:lineRule="exact"/>
        <w:rPr>
          <w:rFonts w:ascii="Times New Roman" w:cs="Times New Roman" w:eastAsia="Times New Roman" w:hAnsi="Times New Roman"/>
          <w:sz w:val="20"/>
          <w:szCs w:val="20"/>
          <w:color w:val="auto"/>
        </w:rPr>
      </w:pPr>
    </w:p>
    <w:p>
      <w:pPr>
        <w:jc w:val="both"/>
        <w:ind w:left="600" w:hanging="378"/>
        <w:spacing w:after="0" w:line="244"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Governing Law; Venue; WAIVER OF JURY TRIAL</w:t>
      </w:r>
      <w:r>
        <w:rPr>
          <w:rFonts w:ascii="Times New Roman" w:cs="Times New Roman" w:eastAsia="Times New Roman" w:hAnsi="Times New Roman"/>
          <w:sz w:val="20"/>
          <w:szCs w:val="20"/>
          <w:color w:val="auto"/>
        </w:rPr>
        <w:t>. All questions concerning the construction, validity, enforcement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interpretation of this Amendment shall be governed by and construed in accordance with the laws of the State of New York without regard to principles of conflicts of law. The United Nations convention on contracts for the international sale of goods shall not apply to this Amendment. Venue for any legal action arising out of or relating to this Amendment shall be exclusively the state or federal courts located in the borough of Manhattan, New York City, New York. Gogo and Airspan hereby consent to the jurisdiction of such courts. THE PARTIES WAIVE JURY TRIAL WITH RESPECT TO ANY DISPUTE ARISING OUT OF OR RELATED TO THIS AMENDMENT.</w:t>
      </w:r>
    </w:p>
    <w:p>
      <w:pPr>
        <w:spacing w:after="0" w:line="183" w:lineRule="exact"/>
        <w:rPr>
          <w:rFonts w:ascii="Times New Roman" w:cs="Times New Roman" w:eastAsia="Times New Roman" w:hAnsi="Times New Roman"/>
          <w:sz w:val="20"/>
          <w:szCs w:val="20"/>
          <w:color w:val="auto"/>
        </w:rPr>
      </w:pPr>
    </w:p>
    <w:p>
      <w:pPr>
        <w:ind w:left="600" w:hanging="378"/>
        <w:spacing w:after="0"/>
        <w:tabs>
          <w:tab w:leader="none" w:pos="6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Successors and Assigns</w:t>
      </w:r>
      <w:r>
        <w:rPr>
          <w:rFonts w:ascii="Times New Roman" w:cs="Times New Roman" w:eastAsia="Times New Roman" w:hAnsi="Times New Roman"/>
          <w:sz w:val="19"/>
          <w:szCs w:val="19"/>
          <w:color w:val="auto"/>
        </w:rPr>
        <w:t>. This Amendment shall be binding upon the Parties and their respective successors and permitted assigns.</w:t>
      </w:r>
    </w:p>
    <w:p>
      <w:pPr>
        <w:spacing w:after="0" w:line="226" w:lineRule="exact"/>
        <w:rPr>
          <w:rFonts w:ascii="Times New Roman" w:cs="Times New Roman" w:eastAsia="Times New Roman" w:hAnsi="Times New Roman"/>
          <w:sz w:val="19"/>
          <w:szCs w:val="19"/>
          <w:color w:val="auto"/>
        </w:rPr>
      </w:pPr>
    </w:p>
    <w:p>
      <w:pPr>
        <w:ind w:left="600" w:hanging="378"/>
        <w:spacing w:after="0" w:line="272"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Construction</w:t>
      </w:r>
      <w:r>
        <w:rPr>
          <w:rFonts w:ascii="Times New Roman" w:cs="Times New Roman" w:eastAsia="Times New Roman" w:hAnsi="Times New Roman"/>
          <w:sz w:val="20"/>
          <w:szCs w:val="20"/>
          <w:color w:val="auto"/>
        </w:rPr>
        <w:t>. Each Party acknowledges that this Agreement was drafted jointly by the Parties, and it shall be construed neither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against nor in favor of either Party.</w:t>
      </w:r>
    </w:p>
    <w:p>
      <w:pPr>
        <w:spacing w:after="0" w:line="152" w:lineRule="exact"/>
        <w:rPr>
          <w:rFonts w:ascii="Times New Roman" w:cs="Times New Roman" w:eastAsia="Times New Roman" w:hAnsi="Times New Roman"/>
          <w:sz w:val="20"/>
          <w:szCs w:val="20"/>
          <w:color w:val="auto"/>
        </w:rPr>
      </w:pPr>
    </w:p>
    <w:p>
      <w:pPr>
        <w:ind w:left="600" w:hanging="378"/>
        <w:spacing w:after="0" w:line="272"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one or more counterparts, each of which shall be deemed an original, but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which together shall constitute one and the same instrument.</w:t>
      </w:r>
    </w:p>
    <w:p>
      <w:pPr>
        <w:spacing w:after="0" w:line="152" w:lineRule="exact"/>
        <w:rPr>
          <w:rFonts w:ascii="Times New Roman" w:cs="Times New Roman" w:eastAsia="Times New Roman" w:hAnsi="Times New Roman"/>
          <w:sz w:val="20"/>
          <w:szCs w:val="20"/>
          <w:color w:val="auto"/>
        </w:rPr>
      </w:pPr>
    </w:p>
    <w:p>
      <w:pPr>
        <w:ind w:left="600" w:hanging="378"/>
        <w:spacing w:after="0" w:line="272" w:lineRule="auto"/>
        <w:tabs>
          <w:tab w:leader="none" w:pos="60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one or more of the provisions contained in this Agreement shall for any reason be held to be invalid, illegal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unenforceable in any respect, the remaining provisions of this Amendment shall be enforceable to the maximum extent possible.</w:t>
      </w:r>
    </w:p>
    <w:p>
      <w:pPr>
        <w:spacing w:after="0" w:line="15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755" w:right="339" w:bottom="1440" w:gutter="0" w:footer="0" w:header="0"/>
        </w:sectPr>
      </w:pPr>
    </w:p>
    <w:bookmarkStart w:id="49" w:name="page50"/>
    <w:bookmarkEnd w:id="49"/>
    <w:p>
      <w:pPr>
        <w:jc w:val="center"/>
        <w:ind w:right="40"/>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106"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by their respective duly authorized representatives shown below.</w:t>
      </w:r>
    </w:p>
    <w:p>
      <w:pPr>
        <w:sectPr>
          <w:pgSz w:w="11900" w:h="16838" w:orient="portrait"/>
          <w:cols w:equalWidth="0" w:num="1">
            <w:col w:w="11240"/>
          </w:cols>
          <w:pgMar w:left="320" w:top="755" w:right="339" w:bottom="1440" w:gutter="0" w:footer="0" w:header="0"/>
        </w:sectPr>
      </w:pP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Gogo Business Aviation LLC</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 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7503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3750310" cy="8255"/>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Crystal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7503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3750310" cy="8255"/>
                    </a:xfrm>
                    <a:prstGeom prst="rect">
                      <a:avLst/>
                    </a:prstGeom>
                    <a:noFill/>
                  </pic:spPr>
                </pic:pic>
              </a:graphicData>
            </a:graphic>
          </wp:anchor>
        </w:drawing>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w:t>
      </w: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EVP, General Counsel, Chief Administrative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375031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3750310" cy="8255"/>
                    </a:xfrm>
                    <a:prstGeom prst="rect">
                      <a:avLst/>
                    </a:prstGeom>
                    <a:noFill/>
                  </pic:spPr>
                </pic:pic>
              </a:graphicData>
            </a:graphic>
          </wp:anchor>
        </w:drawing>
      </w:r>
    </w:p>
    <w:p>
      <w:pPr>
        <w:spacing w:after="0" w:line="2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Airspan Networks Inc.</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Glenn Laxdal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22860</wp:posOffset>
            </wp:positionV>
            <wp:extent cx="297116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Glenn Laxdal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22860</wp:posOffset>
            </wp:positionV>
            <wp:extent cx="29711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258" w:lineRule="exact"/>
        <w:rPr>
          <w:sz w:val="20"/>
          <w:szCs w:val="20"/>
          <w:color w:val="auto"/>
        </w:rPr>
      </w:pPr>
    </w:p>
    <w:p>
      <w:pPr>
        <w:ind w:right="1560"/>
        <w:spacing w:after="0" w:line="310" w:lineRule="auto"/>
        <w:rPr>
          <w:sz w:val="20"/>
          <w:szCs w:val="20"/>
          <w:color w:val="auto"/>
        </w:rPr>
      </w:pPr>
      <w:r>
        <w:rPr>
          <w:rFonts w:ascii="Times New Roman" w:cs="Times New Roman" w:eastAsia="Times New Roman" w:hAnsi="Times New Roman"/>
          <w:sz w:val="20"/>
          <w:szCs w:val="20"/>
          <w:color w:val="auto"/>
        </w:rPr>
        <w:t>President and Chief Executive Officer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-208280</wp:posOffset>
            </wp:positionV>
            <wp:extent cx="29711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80"/>
          </w:cols>
          <w:pgMar w:left="320" w:top="7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bookmarkStart w:id="50" w:name="page51"/>
    <w:bookmarkEnd w:id="50"/>
    <w:p>
      <w:pPr>
        <w:jc w:val="center"/>
        <w:spacing w:after="0" w:line="261" w:lineRule="auto"/>
        <w:rPr>
          <w:sz w:val="20"/>
          <w:szCs w:val="20"/>
          <w:color w:val="auto"/>
        </w:rPr>
      </w:pPr>
      <w:r>
        <w:rPr>
          <w:rFonts w:ascii="Times New Roman" w:cs="Times New Roman" w:eastAsia="Times New Roman" w:hAnsi="Times New Roman"/>
          <w:sz w:val="22"/>
          <w:szCs w:val="22"/>
          <w:b w:val="1"/>
          <w:bCs w:val="1"/>
          <w:color w:val="auto"/>
        </w:rPr>
        <w:t>Certain information identified by “[***]” has been excluded from this exhibit because it is both not material and is the type that Gogo Inc. treats as private or confidential.</w:t>
      </w:r>
    </w:p>
    <w:p>
      <w:pPr>
        <w:spacing w:after="0" w:line="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6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u w:val="single" w:color="auto"/>
          <w:color w:val="auto"/>
        </w:rPr>
        <w:t>Milestones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478790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80" w:top="755" w:right="5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Oakleigh Thorne, certify that:</w:t>
      </w:r>
    </w:p>
    <w:p>
      <w:pPr>
        <w:spacing w:after="0" w:line="80" w:lineRule="exact"/>
        <w:rPr>
          <w:sz w:val="20"/>
          <w:szCs w:val="20"/>
          <w:color w:val="auto"/>
        </w:rPr>
      </w:pPr>
    </w:p>
    <w:p>
      <w:pPr>
        <w:ind w:left="360" w:hanging="352"/>
        <w:spacing w:after="0"/>
        <w:tabs>
          <w:tab w:leader="none" w:pos="3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Jessica G. Betjemann, certify that:</w:t>
      </w:r>
    </w:p>
    <w:p>
      <w:pPr>
        <w:spacing w:after="0" w:line="80" w:lineRule="exact"/>
        <w:rPr>
          <w:sz w:val="20"/>
          <w:szCs w:val="20"/>
          <w:color w:val="auto"/>
        </w:rPr>
      </w:pPr>
    </w:p>
    <w:p>
      <w:pPr>
        <w:ind w:left="360" w:hanging="352"/>
        <w:spacing w:after="0"/>
        <w:tabs>
          <w:tab w:leader="none" w:pos="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Gogo Inc.;</w:t>
      </w:r>
    </w:p>
    <w:p>
      <w:pPr>
        <w:spacing w:after="0" w:line="62" w:lineRule="exact"/>
        <w:rPr>
          <w:rFonts w:ascii="Times New Roman" w:cs="Times New Roman" w:eastAsia="Times New Roman" w:hAnsi="Times New Roman"/>
          <w:sz w:val="18"/>
          <w:szCs w:val="18"/>
          <w:color w:val="auto"/>
        </w:rPr>
      </w:pPr>
    </w:p>
    <w:p>
      <w:pPr>
        <w:ind w:left="520" w:right="300" w:hanging="512"/>
        <w:spacing w:after="0" w:line="265" w:lineRule="auto"/>
        <w:tabs>
          <w:tab w:leader="none" w:pos="3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Times New Roman" w:cs="Times New Roman" w:eastAsia="Times New Roman" w:hAnsi="Times New Roman"/>
          <w:sz w:val="18"/>
          <w:szCs w:val="18"/>
          <w:color w:val="auto"/>
        </w:rPr>
      </w:pPr>
    </w:p>
    <w:p>
      <w:pPr>
        <w:ind w:left="520" w:right="380" w:hanging="512"/>
        <w:spacing w:after="0" w:line="281" w:lineRule="auto"/>
        <w:tabs>
          <w:tab w:leader="none" w:pos="3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20" w:right="260" w:hanging="512"/>
        <w:spacing w:after="0" w:line="265" w:lineRule="auto"/>
        <w:tabs>
          <w:tab w:leader="none" w:pos="3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Times New Roman" w:cs="Times New Roman" w:eastAsia="Times New Roman" w:hAnsi="Times New Roman"/>
          <w:sz w:val="18"/>
          <w:szCs w:val="18"/>
          <w:color w:val="auto"/>
        </w:rPr>
      </w:pPr>
    </w:p>
    <w:p>
      <w:pPr>
        <w:ind w:left="1020" w:right="100" w:hanging="479"/>
        <w:spacing w:after="0" w:line="265" w:lineRule="auto"/>
        <w:tabs>
          <w:tab w:leader="none" w:pos="8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 w:lineRule="exact"/>
        <w:rPr>
          <w:rFonts w:ascii="Times New Roman" w:cs="Times New Roman" w:eastAsia="Times New Roman" w:hAnsi="Times New Roman"/>
          <w:sz w:val="18"/>
          <w:szCs w:val="18"/>
          <w:color w:val="auto"/>
        </w:rPr>
      </w:pPr>
    </w:p>
    <w:p>
      <w:pPr>
        <w:ind w:left="1020" w:right="340" w:hanging="479"/>
        <w:spacing w:after="0" w:line="265" w:lineRule="auto"/>
        <w:tabs>
          <w:tab w:leader="none" w:pos="8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Times New Roman" w:cs="Times New Roman" w:eastAsia="Times New Roman" w:hAnsi="Times New Roman"/>
          <w:sz w:val="18"/>
          <w:szCs w:val="18"/>
          <w:color w:val="auto"/>
        </w:rPr>
      </w:pPr>
    </w:p>
    <w:p>
      <w:pPr>
        <w:ind w:left="1020" w:right="500" w:hanging="479"/>
        <w:spacing w:after="0" w:line="297" w:lineRule="auto"/>
        <w:tabs>
          <w:tab w:leader="none" w:pos="894"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020" w:right="140" w:hanging="479"/>
        <w:spacing w:after="0" w:line="265" w:lineRule="auto"/>
        <w:tabs>
          <w:tab w:leader="none" w:pos="8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 w:lineRule="exact"/>
        <w:rPr>
          <w:rFonts w:ascii="Times New Roman" w:cs="Times New Roman" w:eastAsia="Times New Roman" w:hAnsi="Times New Roman"/>
          <w:sz w:val="18"/>
          <w:szCs w:val="18"/>
          <w:color w:val="auto"/>
        </w:rPr>
      </w:pPr>
    </w:p>
    <w:p>
      <w:pPr>
        <w:ind w:left="520" w:right="300" w:hanging="512"/>
        <w:spacing w:after="0" w:line="281" w:lineRule="auto"/>
        <w:tabs>
          <w:tab w:leader="none" w:pos="37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020" w:right="40" w:hanging="479"/>
        <w:spacing w:after="0" w:line="281" w:lineRule="auto"/>
        <w:tabs>
          <w:tab w:leader="none" w:pos="8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479"/>
        <w:spacing w:after="0" w:line="281" w:lineRule="auto"/>
        <w:tabs>
          <w:tab w:leader="none" w:pos="8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August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I, Oakleigh Thorne, Chief Executive Officer and Chair of the Board of Gogo Inc.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760" w:right="160" w:hanging="378"/>
        <w:spacing w:after="0" w:line="28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7,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91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Oakleigh Thorne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G. Betjemann, Executive Vice President and Chief Financial Officer of Gogo Inc.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6" w:lineRule="exact"/>
        <w:rPr>
          <w:sz w:val="20"/>
          <w:szCs w:val="20"/>
          <w:color w:val="auto"/>
        </w:rPr>
      </w:pPr>
    </w:p>
    <w:p>
      <w:pPr>
        <w:ind w:left="760" w:right="16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20" w:right="120" w:firstLine="362"/>
        <w:spacing w:after="0" w:line="539" w:lineRule="auto"/>
        <w:tabs>
          <w:tab w:leader="none" w:pos="7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7, 2024</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1."/>
      <w:numFmt w:val="decimal"/>
      <w:start w:val="7"/>
    </w:lvl>
  </w:abstractNum>
  <w:abstractNum w:abstractNumId="9">
    <w:nsid w:val="4516DDE9"/>
    <w:multiLevelType w:val="hybridMultilevel"/>
    <w:lvl w:ilvl="0">
      <w:lvlJc w:val="left"/>
      <w:lvlText w:val="%1."/>
      <w:numFmt w:val="decimal"/>
      <w:start w:val="8"/>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9"/>
    </w:lvl>
  </w:abstractNum>
  <w:abstractNum w:abstractNumId="12">
    <w:nsid w:val="419AC241"/>
    <w:multiLevelType w:val="hybridMultilevel"/>
    <w:lvl w:ilvl="0">
      <w:lvlJc w:val="left"/>
      <w:lvlText w:val="%1."/>
      <w:numFmt w:val="decimal"/>
      <w:start w:val="10"/>
    </w:lvl>
  </w:abstractNum>
  <w:abstractNum w:abstractNumId="13">
    <w:nsid w:val="5577F8E1"/>
    <w:multiLevelType w:val="hybridMultilevel"/>
    <w:lvl w:ilvl="0">
      <w:lvlJc w:val="left"/>
      <w:lvlText w:val="%1."/>
      <w:numFmt w:val="decimal"/>
      <w:start w:val="11"/>
    </w:lvl>
    <w:lvl w:ilvl="1">
      <w:lvlJc w:val="left"/>
      <w:lvlText w:val="•"/>
      <w:numFmt w:val="bullet"/>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1."/>
      <w:numFmt w:val="decimal"/>
      <w:start w:val="12"/>
    </w:lvl>
  </w:abstractNum>
  <w:abstractNum w:abstractNumId="16">
    <w:nsid w:val="3804823E"/>
    <w:multiLevelType w:val="hybridMultilevel"/>
    <w:lvl w:ilvl="0">
      <w:lvlJc w:val="left"/>
      <w:lvlText w:val="%1."/>
      <w:numFmt w:val="decimal"/>
      <w:start w:val="13"/>
    </w:lvl>
  </w:abstractNum>
  <w:abstractNum w:abstractNumId="17">
    <w:nsid w:val="77465F01"/>
    <w:multiLevelType w:val="hybridMultilevel"/>
    <w:lvl w:ilvl="0">
      <w:lvlJc w:val="left"/>
      <w:lvlText w:val="%1."/>
      <w:numFmt w:val="decimal"/>
      <w:start w:val="14"/>
    </w:lvl>
  </w:abstractNum>
  <w:abstractNum w:abstractNumId="18">
    <w:nsid w:val="7724C67E"/>
    <w:multiLevelType w:val="hybridMultilevel"/>
    <w:lvl w:ilvl="0">
      <w:lvlJc w:val="left"/>
      <w:lvlText w:val="%1."/>
      <w:numFmt w:val="decimal"/>
      <w:start w:val="15"/>
    </w:lvl>
  </w:abstractNum>
  <w:abstractNum w:abstractNumId="19">
    <w:nsid w:val="5C482A97"/>
    <w:multiLevelType w:val="hybridMultilevel"/>
    <w:lvl w:ilvl="0">
      <w:lvlJc w:val="left"/>
      <w:lvlText w:val="%1."/>
      <w:numFmt w:val="decimal"/>
      <w:start w:val="16"/>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lvl w:ilvl="1">
      <w:lvlJc w:val="left"/>
      <w:lvlText w:val="▪"/>
      <w:numFmt w:val="bullet"/>
      <w:start w:val="1"/>
    </w:lvl>
  </w:abstractNum>
  <w:abstractNum w:abstractNumId="29">
    <w:nsid w:val="2A487CB0"/>
    <w:multiLevelType w:val="hybridMultilevel"/>
    <w:lvl w:ilvl="0">
      <w:lvlJc w:val="left"/>
      <w:lvlText w:val="o"/>
      <w:numFmt w:val="bullet"/>
      <w:start w:val="1"/>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2"/>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
      <w:numFmt w:val="bullet"/>
      <w:start w:val="1"/>
    </w:lvl>
    <w:lvl w:ilvl="1">
      <w:lvlJc w:val="left"/>
      <w:lvlText w:val="%2"/>
      <w:numFmt w:val="decimal"/>
      <w:start w:val="104"/>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lowerLetter"/>
      <w:start w:val="3"/>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lowerLetter"/>
      <w:start w:val="9"/>
    </w:lvl>
  </w:abstractNum>
  <w:abstractNum w:abstractNumId="42">
    <w:nsid w:val="579478FE"/>
    <w:multiLevelType w:val="hybridMultilevel"/>
    <w:lvl w:ilvl="0">
      <w:lvlJc w:val="left"/>
      <w:lvlText w:val="%1."/>
      <w:numFmt w:val="decimal"/>
      <w:start w:val="1"/>
    </w:lvl>
    <w:lvl w:ilvl="1">
      <w:lvlJc w:val="left"/>
      <w:lvlText w:val="%2."/>
      <w:numFmt w:val="lowerLetter"/>
      <w:start w:val="1"/>
    </w:lvl>
  </w:abstractNum>
  <w:abstractNum w:abstractNumId="43">
    <w:nsid w:val="749ABB43"/>
    <w:multiLevelType w:val="hybridMultilevel"/>
    <w:lvl w:ilvl="0">
      <w:lvlJc w:val="left"/>
      <w:lvlText w:val="%1."/>
      <w:numFmt w:val="lowerLetter"/>
      <w:start w:val="2"/>
    </w:lvl>
    <w:lvl w:ilvl="1">
      <w:lvlJc w:val="left"/>
      <w:lvlText w:val="(%2)"/>
      <w:numFmt w:val="lowerLetter"/>
      <w:start w:val="4"/>
    </w:lvl>
  </w:abstractNum>
  <w:abstractNum w:abstractNumId="44">
    <w:nsid w:val="3DC240FB"/>
    <w:multiLevelType w:val="hybridMultilevel"/>
    <w:lvl w:ilvl="0">
      <w:lvlJc w:val="left"/>
      <w:lvlText w:val="%1"/>
      <w:numFmt w:val="decimal"/>
      <w:start w:val="1"/>
    </w:lvl>
    <w:lvl w:ilvl="1">
      <w:lvlJc w:val="left"/>
      <w:lvlText w:val="(%2)"/>
      <w:numFmt w:val="lowerLetter"/>
      <w:start w:val="1"/>
    </w:lvl>
  </w:abstractNum>
  <w:abstractNum w:abstractNumId="45">
    <w:nsid w:val="1BA026FA"/>
    <w:multiLevelType w:val="hybridMultilevel"/>
    <w:lvl w:ilvl="0">
      <w:lvlJc w:val="left"/>
      <w:lvlText w:val="%1."/>
      <w:numFmt w:val="decimal"/>
      <w:start w:val="2"/>
    </w:lvl>
    <w:lvl w:ilvl="1">
      <w:lvlJc w:val="left"/>
      <w:lvlText w:val="%2"/>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5"/>
    </w:lvl>
  </w:abstractNum>
  <w:abstractNum w:abstractNumId="47">
    <w:nsid w:val="75C6C33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8">
    <w:nsid w:val="12E685FB"/>
    <w:multiLevelType w:val="hybridMultilevel"/>
    <w:lvl w:ilvl="0">
      <w:lvlJc w:val="left"/>
      <w:lvlText w:val="%1"/>
      <w:numFmt w:val="lowerLetter"/>
      <w:start w:val="1"/>
    </w:lvl>
    <w:lvl w:ilvl="1">
      <w:lvlJc w:val="left"/>
      <w:lvlText w:val="(%2)"/>
      <w:numFmt w:val="lowerLetter"/>
      <w:start w:val="2"/>
    </w:lvl>
  </w:abstractNum>
  <w:abstractNum w:abstractNumId="49">
    <w:nsid w:val="70C6A529"/>
    <w:multiLevelType w:val="hybridMultilevel"/>
    <w:lvl w:ilvl="0">
      <w:lvlJc w:val="left"/>
      <w:lvlText w:val="%1."/>
      <w:numFmt w:val="lowerLetter"/>
      <w:start w:val="2"/>
    </w:lvl>
    <w:lvl w:ilvl="1">
      <w:lvlJc w:val="left"/>
      <w:lvlText w:val="%2"/>
      <w:numFmt w:val="lowerLetter"/>
      <w:start w:val="1"/>
    </w:lvl>
  </w:abstractNum>
  <w:abstractNum w:abstractNumId="50">
    <w:nsid w:val="520EEDD1"/>
    <w:multiLevelType w:val="hybridMultilevel"/>
    <w:lvl w:ilvl="0">
      <w:lvlJc w:val="left"/>
      <w:lvlText w:val="%1."/>
      <w:numFmt w:val="decimal"/>
      <w:start w:val="4"/>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28" Type="http://schemas.openxmlformats.org/officeDocument/2006/relationships/hyperlink" Target="https://www.sec.gov/Archives/edgar/data/1537054/000095017024069859/gogo-ex10_1.htm" TargetMode="External"/><Relationship Id="rId329" Type="http://schemas.openxmlformats.org/officeDocument/2006/relationships/hyperlink" Target="https://www.sec.gov/Archives/edgar/data/1537054/000095017024069859/gogo-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2024-08-07T15:23:30Z</dcterms:created>
  <dcterms:modified xsi:type="dcterms:W3CDTF">2024-08-07T15:23:30Z</dcterms:modified>
</cp:coreProperties>
</file>