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ogo-20260717.htm"/>
      <w:bookmarkStart w:id="1" w:name="ksgogo2026071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6661" w:type="dxa"/>
        <w:jc w:val="left"/>
        <w:tblInd w:w="0" w:type="dxa"/>
        <w:tblLayout w:type="fixed"/>
        <w:tblCellMar>
          <w:top w:w="28" w:type="dxa"/>
          <w:left w:w="28" w:type="dxa"/>
          <w:bottom w:w="28" w:type="dxa"/>
          <w:right w:w="28" w:type="dxa"/>
        </w:tblCellMar>
      </w:tblPr>
      <w:tblGrid>
        <w:gridCol w:w="6661"/>
      </w:tblGrid>
      <w:tr>
        <w:trPr/>
        <w:tc>
          <w:tcPr>
            <w:tcW w:w="6661" w:type="dxa"/>
            <w:tcBorders/>
            <w:vAlign w:val="center"/>
          </w:tcPr>
          <w:p>
            <w:pPr>
              <w:pStyle w:val="TableContents"/>
              <w:bidi w:val="0"/>
              <w:spacing w:before="0" w:after="283"/>
              <w:jc w:val="left"/>
              <w:rPr>
                <w:sz w:val="4"/>
                <w:szCs w:val="4"/>
              </w:rPr>
            </w:pPr>
            <w:r>
              <w:rPr>
                <w:sz w:val="4"/>
                <w:szCs w:val="4"/>
              </w:rPr>
            </w:r>
          </w:p>
        </w:tc>
      </w:tr>
      <w:tr>
        <w:trPr/>
        <w:tc>
          <w:tcPr>
            <w:tcW w:w="6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Date of Report (Date of earliest event reported): July 17, 2026</w:t>
            </w:r>
            <w:r>
              <w:rPr>
                <w:rFonts w:ascii="Times New Roman" w:hAnsi="Times New Roman"/>
                <w:color w:val="000000"/>
                <w:sz w:val="20"/>
              </w:rPr>
              <w:t> </w:t>
            </w:r>
            <w:r>
              <w:rPr>
                <w:rFonts w:ascii="Times New Roman" w:hAnsi="Times New Roman"/>
                <w:b/>
                <w:color w:val="000000"/>
                <w:sz w:val="20"/>
              </w:rPr>
              <w:t>(July 15, 2026)</w:t>
            </w:r>
          </w:p>
        </w:tc>
      </w:tr>
    </w:tbl>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GOGO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5866" w:type="dxa"/>
        <w:jc w:val="left"/>
        <w:tblInd w:w="0" w:type="dxa"/>
        <w:tblLayout w:type="fixed"/>
        <w:tblCellMar>
          <w:top w:w="28" w:type="dxa"/>
          <w:left w:w="28" w:type="dxa"/>
          <w:bottom w:w="28" w:type="dxa"/>
          <w:right w:w="28" w:type="dxa"/>
        </w:tblCellMar>
      </w:tblPr>
      <w:tblGrid>
        <w:gridCol w:w="970"/>
        <w:gridCol w:w="852"/>
        <w:gridCol w:w="862"/>
        <w:gridCol w:w="1846"/>
        <w:gridCol w:w="1336"/>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001-35975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27-1650905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105 Edgeview Dr., Suite 300</w:t>
            </w:r>
          </w:p>
        </w:tc>
        <w:tc>
          <w:tcPr>
            <w:tcW w:w="318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Broomfield, Colorado</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80021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303</w:t>
            </w:r>
            <w:r>
              <w:rPr>
                <w:rFonts w:ascii="Times New Roman" w:hAnsi="Times New Roman"/>
                <w:color w:val="000000"/>
                <w:sz w:val="20"/>
              </w:rPr>
              <w:t xml:space="preserve"> </w:t>
            </w:r>
            <w:r>
              <w:rPr>
                <w:rFonts w:ascii="Times New Roman" w:hAnsi="Times New Roman"/>
                <w:b/>
                <w:color w:val="000000"/>
                <w:sz w:val="20"/>
              </w:rPr>
              <w:t>301-3271</w:t>
            </w:r>
          </w:p>
        </w:tc>
      </w:tr>
    </w:tbl>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color w:val="000000"/>
        </w:rPr>
        <w:t>☐</w:t>
      </w:r>
      <w:r>
        <w:rPr>
          <w:rFonts w:ascii="Times New Roman" w:hAnsi="Times New Roman"/>
          <w:color w:val="000000"/>
          <w:sz w:val="20"/>
        </w:rPr>
        <w:t>Written communications pursuant to Rule 425 under the Securities Act (17 CFR 230.425)</w:t>
      </w:r>
    </w:p>
    <w:p>
      <w:pPr>
        <w:pStyle w:val="TextBody"/>
        <w:bidi w:val="0"/>
        <w:jc w:val="left"/>
        <w:rPr/>
      </w:pPr>
      <w:r>
        <w:rPr>
          <w:color w:val="000000"/>
        </w:rPr>
        <w:t>☐</w:t>
      </w:r>
      <w:r>
        <w:rPr>
          <w:rFonts w:ascii="Times New Roman" w:hAnsi="Times New Roman"/>
          <w:color w:val="000000"/>
          <w:sz w:val="20"/>
        </w:rPr>
        <w:t>Soliciting material pursuant to Rule 14a-12 under the Exchange Act (17 CFR 240.14a-12)</w:t>
      </w:r>
    </w:p>
    <w:p>
      <w:pPr>
        <w:pStyle w:val="TextBody"/>
        <w:bidi w:val="0"/>
        <w:jc w:val="left"/>
        <w:rPr/>
      </w:pPr>
      <w:r>
        <w:rPr>
          <w:color w:val="000000"/>
        </w:rPr>
        <w:t>☐</w:t>
      </w:r>
      <w:r>
        <w:rPr>
          <w:rFonts w:ascii="Times New Roman" w:hAnsi="Times New Roman"/>
          <w:color w:val="000000"/>
          <w:sz w:val="20"/>
        </w:rPr>
        <w:t>Pre-commencement communications pursuant to Rule 14d-2(b) under the Exchange Act (17 CFR 240.14d-2(b))</w:t>
      </w:r>
    </w:p>
    <w:p>
      <w:pPr>
        <w:pStyle w:val="TextBody"/>
        <w:bidi w:val="0"/>
        <w:jc w:val="left"/>
        <w:rPr/>
      </w:pPr>
      <w:r>
        <w:rPr>
          <w:color w:val="000000"/>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96" w:type="dxa"/>
        <w:jc w:val="left"/>
        <w:tblInd w:w="0" w:type="dxa"/>
        <w:tblLayout w:type="fixed"/>
        <w:tblCellMar>
          <w:top w:w="28" w:type="dxa"/>
          <w:left w:w="28" w:type="dxa"/>
          <w:bottom w:w="28" w:type="dxa"/>
          <w:right w:w="28" w:type="dxa"/>
        </w:tblCellMar>
      </w:tblPr>
      <w:tblGrid>
        <w:gridCol w:w="3706"/>
        <w:gridCol w:w="109"/>
        <w:gridCol w:w="946"/>
        <w:gridCol w:w="109"/>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br/>
            </w:r>
            <w:r>
              <w:rPr>
                <w:rFonts w:ascii="Times New Roman" w:hAnsi="Times New Roman"/>
                <w:b/>
                <w:color w:val="000000"/>
                <w:sz w:val="20"/>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br/>
            </w:r>
            <w:r>
              <w:rPr>
                <w:rFonts w:ascii="Times New Roman" w:hAnsi="Times New Roman"/>
                <w:b/>
                <w:color w:val="000000"/>
                <w:sz w:val="20"/>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GOGO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 Purchase Rights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GOGO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15, 2026, Hayden Olson transitioned from EVP, General Manager, SD Government of Gogo Inc. (the “Company”) to EVP, Corporate Development. The transition is part of an internal reorganization of Satcom Direct Government, LLC, an indirect subsidiary of the Company, finalized as of the same date. The reorganization is expected to improve operating efficiency and support the Company’s previously disclosed synergy targets.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this new role, Mr. Olson oversees strategic initiatives for the Company, and continues to report to Christopher Moore, Chief Executive Officer of the Company. Mr. Olson will also be responsible for the development of military/government partnership opportunities and new revenue opportunities for the Company’s existing assets. As a result of his change in responsibilities, Mr. Olson is no longer determined to be an “executive officer” or “officer” of the Company, as defined in Rules 3b-7 or 16a-1(f) under the Securities Exchange Act of 1934, as amended, respectively.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9439" w:type="dxa"/>
        <w:jc w:val="left"/>
        <w:tblInd w:w="0" w:type="dxa"/>
        <w:tblLayout w:type="fixed"/>
        <w:tblCellMar>
          <w:top w:w="28" w:type="dxa"/>
          <w:left w:w="28" w:type="dxa"/>
          <w:bottom w:w="28" w:type="dxa"/>
          <w:right w:w="28" w:type="dxa"/>
        </w:tblCellMar>
      </w:tblPr>
      <w:tblGrid>
        <w:gridCol w:w="556"/>
        <w:gridCol w:w="1216"/>
        <w:gridCol w:w="451"/>
        <w:gridCol w:w="721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7216"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Crystal L. Gordon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Crystal L. Gordon</w:t>
              <w:br/>
              <w:t>Executive Vice President, General Counsel, Chief Administrative Officer, and Secretary</w:t>
            </w:r>
          </w:p>
        </w:tc>
      </w:tr>
    </w:tbl>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535</Words>
  <Characters>3014</Characters>
  <CharactersWithSpaces>3526</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