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2024_na_card_-_new.htm"/>
      <w:bookmarkStart w:id="1" w:name="ks2024_na_card__new"/>
      <w:bookmarkEnd w:id="0"/>
      <w:bookmarkEnd w:id="1"/>
      <w:r>
        <w:rPr/>
        <w:t> </w:t>
      </w:r>
    </w:p>
    <w:p>
      <w:pPr>
        <w:pStyle w:val="TextBody"/>
        <w:bidi w:val="0"/>
        <w:spacing w:before="80" w:after="283"/>
        <w:jc w:val="center"/>
        <w:rPr>
          <w:rFonts w:ascii="Times New Roman" w:hAnsi="Times New Roman"/>
          <w:sz w:val="20"/>
        </w:rPr>
      </w:pPr>
      <w:bookmarkStart w:id="2" w:name="toc"/>
      <w:bookmarkStart w:id="3" w:name="mypage"/>
      <w:bookmarkEnd w:id="2"/>
      <w:bookmarkEnd w:id="3"/>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2"/>
        </w:rPr>
        <w:t>SCHEDULE 14A</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Filed by the Registrant </w:t>
      </w:r>
      <w:r>
        <w:rPr>
          <w:rFonts w:ascii="Times New Roman" w:hAnsi="Times New Roman"/>
          <w:color w:val="000000"/>
          <w:sz w:val="20"/>
        </w:rPr>
        <w:t xml:space="preserve">☒ </w:t>
      </w:r>
      <w:r>
        <w:rPr>
          <w:rFonts w:ascii="Times New Roman" w:hAnsi="Times New Roman"/>
          <w:color w:val="000000"/>
          <w:sz w:val="18"/>
        </w:rPr>
        <w:t xml:space="preserve">Filed by a Party other than the Registrant </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18"/>
        </w:rPr>
        <w:t>Check the appropriate box:</w:t>
      </w:r>
      <w:r>
        <w:rPr>
          <w:rFonts w:ascii="Times New Roman" w:hAnsi="Times New Roman"/>
          <w:color w:val="000000"/>
          <w:sz w:val="20"/>
        </w:rPr>
        <w:t xml:space="preserve"> </w:t>
      </w:r>
    </w:p>
    <w:tbl>
      <w:tblPr>
        <w:tblW w:w="6632" w:type="dxa"/>
        <w:jc w:val="left"/>
        <w:tblInd w:w="0" w:type="dxa"/>
        <w:tblLayout w:type="fixed"/>
        <w:tblCellMar>
          <w:top w:w="28" w:type="dxa"/>
          <w:left w:w="28" w:type="dxa"/>
          <w:bottom w:w="28" w:type="dxa"/>
          <w:right w:w="28" w:type="dxa"/>
        </w:tblCellMar>
      </w:tblPr>
      <w:tblGrid>
        <w:gridCol w:w="331"/>
        <w:gridCol w:w="6301"/>
      </w:tblGrid>
      <w:tr>
        <w:trPr/>
        <w:tc>
          <w:tcPr>
            <w:tcW w:w="33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30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Preliminary Proxy Statement</w:t>
            </w:r>
          </w:p>
        </w:tc>
      </w:tr>
      <w:tr>
        <w:trPr/>
        <w:tc>
          <w:tcPr>
            <w:tcW w:w="33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30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Confidential, for Use of the Commission Only (as permitted by Rule 14a-6(e)(2))</w:t>
            </w:r>
          </w:p>
        </w:tc>
      </w:tr>
      <w:tr>
        <w:trPr/>
        <w:tc>
          <w:tcPr>
            <w:tcW w:w="33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30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Proxy Statement</w:t>
            </w:r>
          </w:p>
        </w:tc>
      </w:tr>
      <w:tr>
        <w:trPr/>
        <w:tc>
          <w:tcPr>
            <w:tcW w:w="33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30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Additional Materials</w:t>
            </w:r>
          </w:p>
        </w:tc>
      </w:tr>
      <w:tr>
        <w:trPr/>
        <w:tc>
          <w:tcPr>
            <w:tcW w:w="33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30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§240.14a-12</w:t>
            </w:r>
          </w:p>
        </w:tc>
      </w:tr>
    </w:tbl>
    <w:p>
      <w:pPr>
        <w:pStyle w:val="TextBody"/>
        <w:bidi w:val="0"/>
        <w:spacing w:before="160" w:after="283"/>
        <w:jc w:val="center"/>
        <w:rPr>
          <w:rFonts w:ascii="Times New Roman" w:hAnsi="Times New Roman"/>
          <w:sz w:val="20"/>
        </w:rPr>
      </w:pPr>
      <w:r>
        <w:rPr>
          <w:rFonts w:ascii="Times New Roman" w:hAnsi="Times New Roman"/>
          <w:b/>
          <w:color w:val="000000"/>
          <w:sz w:val="40"/>
        </w:rPr>
        <w:t>GOGO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(Name of Registrant as Specified in Its Charter)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of Person(s) Filing Proxy Statement, if other than the Registrant)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Payment of Filing Fee (Check the appropriate box): </w:t>
      </w:r>
    </w:p>
    <w:tbl>
      <w:tblPr>
        <w:tblW w:w="7682" w:type="dxa"/>
        <w:jc w:val="left"/>
        <w:tblInd w:w="0" w:type="dxa"/>
        <w:tblLayout w:type="fixed"/>
        <w:tblCellMar>
          <w:top w:w="28" w:type="dxa"/>
          <w:left w:w="28" w:type="dxa"/>
          <w:bottom w:w="28" w:type="dxa"/>
          <w:right w:w="28" w:type="dxa"/>
        </w:tblCellMar>
      </w:tblPr>
      <w:tblGrid>
        <w:gridCol w:w="331"/>
        <w:gridCol w:w="7351"/>
      </w:tblGrid>
      <w:tr>
        <w:trPr/>
        <w:tc>
          <w:tcPr>
            <w:tcW w:w="33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3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 fee required</w:t>
            </w:r>
          </w:p>
        </w:tc>
      </w:tr>
      <w:tr>
        <w:trPr/>
        <w:tc>
          <w:tcPr>
            <w:tcW w:w="33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3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 paid previously with preliminary materials</w:t>
            </w:r>
          </w:p>
        </w:tc>
      </w:tr>
      <w:tr>
        <w:trPr/>
        <w:tc>
          <w:tcPr>
            <w:tcW w:w="33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35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734175" cy="870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34175" cy="8705850"/>
                    </a:xfrm>
                    <a:prstGeom prst="rect">
                      <a:avLst/>
                    </a:prstGeom>
                  </pic:spPr>
                </pic:pic>
              </a:graphicData>
            </a:graphic>
          </wp:inline>
        </w:drawing>
      </w:r>
      <w:r>
        <w:rPr>
          <w:rFonts w:ascii="Calibri;sans-serif" w:hAnsi="Calibri;sans-serif"/>
          <w:color w:val="FFFFFF"/>
          <w:sz w:val="2"/>
        </w:rPr>
        <w:t>Your Vote Counts! GOGO INC. 2024 Annual Meeting Vote by June 3, 2024 11:59 PM ET GOGO INC. 105 EDGEVIEW DRIVE SUITE 300 BROOMFIELD, CO 80021 V45429-P07800 You invested in GOGO INC. and it’s time to vote! You have the right to vote on proposals being presented at the Annual Meeting. This is an important notice regarding the availability of proxy materials for the stockholder meeting to be held on June 4, 2024. Get informed before you vote View the Notice and Proxy Statement and Annual Report online OR you can receive a free paper or email copy of the material(s) by requesting prior to May 21,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4, 2024 9:00 AM, MDT Virtually at: www.virtualshareholdermeeting.com/GOGO2024 *Please check the meeting materials for any special requirements for meeting attendance.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772275" cy="8753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72275" cy="8753475"/>
                    </a:xfrm>
                    <a:prstGeom prst="rect">
                      <a:avLst/>
                    </a:prstGeom>
                  </pic:spPr>
                </pic:pic>
              </a:graphicData>
            </a:graphic>
          </wp:inline>
        </w:drawing>
      </w:r>
      <w:r>
        <w:rPr>
          <w:rFonts w:ascii="Calibri;sans-serif" w:hAnsi="Calibri;sans-serif"/>
          <w:color w:val="FFFFFF"/>
          <w:sz w:val="2"/>
        </w:rPr>
        <w:t>Vote at www.ProxyVote.com THIS IS NOT A VOTABLE BALLOT This is an overview of the proposals being presented at the upcoming stockholder meeting. Please follow the instructions on the reverse side to vote these important matters. Board Recommends Voting Items 1. Election of two Class II directors to serve until the 2027 annual meeting of stockholders or until their successors are duly elected and qualified. For Nominees: 01) Michele Coleman Mayes 02) Harris N. Williams 2. Non-binding advisory vote approving 2023 executive compensation. For 3. Approval of the 2024 Employee Stock Purchase Plan. For 4. Approval of the 2024 Omnibus Equity Incentive Plan. For 5. Ratification of the appointment of Deloitte &amp; Touche LLP as our independent registered public accounting firm for the fiscal year ending December 31, 2024. For NOTE: Such other business as may properly come before the meeting or any adjournment thereof. Prefer to receive an email instead? While voting on www.ProxyVote.com, be sure to click “Delivery Settings”. V45430-P07800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509</Words>
  <Characters>2713</Characters>
  <CharactersWithSpaces>3212</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