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gogo-20250930.htm"/>
      <w:bookmarkStart w:id="1" w:name="ksgogo20250930"/>
      <w:bookmarkEnd w:id="0"/>
      <w:bookmarkEnd w:id="1"/>
      <w:r>
        <w:rPr/>
        <w:t> </w:t>
      </w:r>
    </w:p>
    <w:p>
      <w:pPr>
        <w:pStyle w:val="TextBody"/>
        <w:bidi w:val="0"/>
        <w:jc w:val="right"/>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6"/>
              </w:rPr>
            </w:pPr>
            <w:r>
              <w:rPr>
                <w:rFonts w:ascii="Times New Roman" w:hAnsi="Times New Roman"/>
                <w:b/>
                <w:color w:val="000000"/>
                <w:sz w:val="16"/>
              </w:rPr>
              <w:t>For the quarterly period ended September 30, 2025</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6"/>
              </w:rPr>
            </w:pPr>
            <w:r>
              <w:rPr>
                <w:rFonts w:ascii="Times New Roman" w:hAnsi="Times New Roman"/>
                <w:b/>
                <w:color w:val="000000"/>
                <w:sz w:val="16"/>
              </w:rPr>
              <w:t>For the transition period from __________ to __________</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001-35975</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pPr>
      <w:r>
        <w:rPr/>
        <w:drawing>
          <wp:inline distT="0" distB="0" distL="0" distR="0">
            <wp:extent cx="113347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3475" cy="695325"/>
                    </a:xfrm>
                    <a:prstGeom prst="rect">
                      <a:avLst/>
                    </a:prstGeom>
                  </pic:spPr>
                </pic:pic>
              </a:graphicData>
            </a:graphic>
          </wp:inline>
        </w:drawing>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Gogo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3868" w:type="dxa"/>
        <w:jc w:val="left"/>
        <w:tblInd w:w="0" w:type="dxa"/>
        <w:tblLayout w:type="fixed"/>
        <w:tblCellMar>
          <w:top w:w="28" w:type="dxa"/>
          <w:left w:w="28" w:type="dxa"/>
          <w:bottom w:w="28" w:type="dxa"/>
          <w:right w:w="28" w:type="dxa"/>
        </w:tblCellMar>
      </w:tblPr>
      <w:tblGrid>
        <w:gridCol w:w="2281"/>
        <w:gridCol w:w="146"/>
        <w:gridCol w:w="144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27-1650905</w:t>
            </w:r>
          </w:p>
        </w:tc>
      </w:tr>
      <w:tr>
        <w:trPr/>
        <w:tc>
          <w:tcPr>
            <w:tcW w:w="22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105 Edgeview Dr., Suite 300</w:t>
      </w:r>
    </w:p>
    <w:p>
      <w:pPr>
        <w:pStyle w:val="TextBody"/>
        <w:bidi w:val="0"/>
        <w:jc w:val="center"/>
        <w:rPr>
          <w:rFonts w:ascii="Times New Roman" w:hAnsi="Times New Roman"/>
          <w:sz w:val="20"/>
        </w:rPr>
      </w:pPr>
      <w:r>
        <w:rPr>
          <w:rFonts w:ascii="Times New Roman" w:hAnsi="Times New Roman"/>
          <w:b/>
          <w:color w:val="000000"/>
          <w:sz w:val="20"/>
        </w:rPr>
        <w:t>Broomfield, CO</w:t>
      </w:r>
      <w:r>
        <w:rPr>
          <w:rFonts w:ascii="Times New Roman" w:hAnsi="Times New Roman"/>
          <w:color w:val="000000"/>
          <w:sz w:val="20"/>
        </w:rPr>
        <w:t xml:space="preserve"> </w:t>
      </w:r>
      <w:r>
        <w:rPr>
          <w:rFonts w:ascii="Times New Roman" w:hAnsi="Times New Roman"/>
          <w:b/>
          <w:color w:val="000000"/>
          <w:sz w:val="20"/>
        </w:rPr>
        <w:t>80021</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Telephone Number (303) 301-3271</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245" w:type="dxa"/>
        <w:jc w:val="left"/>
        <w:tblInd w:w="0" w:type="dxa"/>
        <w:tblLayout w:type="fixed"/>
        <w:tblCellMar>
          <w:top w:w="28" w:type="dxa"/>
          <w:left w:w="28" w:type="dxa"/>
          <w:bottom w:w="28" w:type="dxa"/>
          <w:right w:w="28" w:type="dxa"/>
        </w:tblCellMar>
      </w:tblPr>
      <w:tblGrid>
        <w:gridCol w:w="3256"/>
        <w:gridCol w:w="146"/>
        <w:gridCol w:w="1291"/>
        <w:gridCol w:w="146"/>
        <w:gridCol w:w="340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u w:val="single"/>
              </w:rPr>
            </w:pPr>
            <w:r>
              <w:rPr>
                <w:rFonts w:ascii="Times New Roman" w:hAnsi="Times New Roman"/>
                <w:color w:val="000000"/>
                <w:sz w:val="16"/>
                <w:u w:val="single"/>
              </w:rPr>
              <w:t>Title of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u w:val="single"/>
              </w:rPr>
              <w:t>Trading Symbol</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u w:val="single"/>
              </w:rPr>
              <w:t>Name of Each Exchange on Which Registered</w:t>
            </w:r>
            <w:r>
              <w:rPr>
                <w:rFonts w:ascii="Times New Roman" w:hAnsi="Times New Roman"/>
                <w:color w:val="000000"/>
                <w:sz w:val="16"/>
              </w:rPr>
              <w:t xml:space="preserve"> </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Common stock, par value $0.0001 per share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GOGO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NASDAQ Global Select Market </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GOGO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NASDAQ</w:t>
            </w:r>
            <w:r>
              <w:rPr>
                <w:rFonts w:ascii="Times New Roman" w:hAnsi="Times New Roman"/>
                <w:color w:val="000000"/>
                <w:sz w:val="20"/>
              </w:rPr>
              <w:t> </w:t>
            </w:r>
            <w:r>
              <w:rPr>
                <w:rFonts w:ascii="Times New Roman" w:hAnsi="Times New Roman"/>
                <w:color w:val="000000"/>
                <w:sz w:val="16"/>
              </w:rPr>
              <w:t>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is a shell company (as defined in Rule 12b-2 of the Exchange Act). Yes</w:t>
      </w:r>
      <w:r>
        <w:rPr>
          <w:rFonts w:ascii="Times New Roman" w:hAnsi="Times New Roman"/>
          <w:color w:val="000000"/>
          <w:sz w:val="20"/>
        </w:rPr>
        <w:t>☐</w:t>
      </w:r>
      <w:r>
        <w:rPr>
          <w:rFonts w:ascii="Times New Roman" w:hAnsi="Times New Roman"/>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As of October 31, 2025,</w:t>
      </w:r>
      <w:r>
        <w:rPr>
          <w:rFonts w:ascii="Times New Roman" w:hAnsi="Times New Roman"/>
          <w:color w:val="000000"/>
          <w:sz w:val="20"/>
        </w:rPr>
        <w:t xml:space="preserve"> </w:t>
      </w:r>
      <w:r>
        <w:rPr>
          <w:rFonts w:ascii="Times New Roman" w:hAnsi="Times New Roman"/>
          <w:color w:val="000000"/>
          <w:sz w:val="16"/>
        </w:rPr>
        <w:t>133,854,342</w:t>
      </w:r>
      <w:r>
        <w:rPr>
          <w:rFonts w:ascii="Times New Roman" w:hAnsi="Times New Roman"/>
          <w:color w:val="000000"/>
          <w:sz w:val="20"/>
        </w:rPr>
        <w:t xml:space="preserve"> </w:t>
      </w:r>
      <w:r>
        <w:rPr>
          <w:rFonts w:ascii="Times New Roman" w:hAnsi="Times New Roman"/>
          <w:color w:val="000000"/>
          <w:sz w:val="16"/>
        </w:rPr>
        <w:t>shares of $0.0001 par value common stock were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Gogo</w:t>
      </w:r>
      <w:r>
        <w:rPr>
          <w:rFonts w:ascii="Times New Roman" w:hAnsi="Times New Roman"/>
          <w:color w:val="000000"/>
          <w:sz w:val="20"/>
        </w:rPr>
        <w:t xml:space="preserve"> </w:t>
      </w:r>
      <w:r>
        <w:rPr>
          <w:rFonts w:ascii="Times New Roman" w:hAnsi="Times New Roman"/>
          <w:b/>
          <w:color w:val="000000"/>
          <w:sz w:val="20"/>
        </w:rPr>
        <w:t>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8895" w:type="dxa"/>
        <w:jc w:val="left"/>
        <w:tblInd w:w="0" w:type="dxa"/>
        <w:tblLayout w:type="fixed"/>
        <w:tblCellMar>
          <w:top w:w="28" w:type="dxa"/>
          <w:left w:w="28" w:type="dxa"/>
          <w:bottom w:w="28" w:type="dxa"/>
          <w:right w:w="28" w:type="dxa"/>
        </w:tblCellMar>
      </w:tblPr>
      <w:tblGrid>
        <w:gridCol w:w="862"/>
        <w:gridCol w:w="7552"/>
        <w:gridCol w:w="481"/>
      </w:tblGrid>
      <w:tr>
        <w:trPr/>
        <w:tc>
          <w:tcPr>
            <w:tcW w:w="862" w:type="dxa"/>
            <w:tcBorders/>
            <w:vAlign w:val="center"/>
          </w:tcPr>
          <w:p>
            <w:pPr>
              <w:pStyle w:val="TableContents"/>
              <w:bidi w:val="0"/>
              <w:spacing w:before="0" w:after="283"/>
              <w:jc w:val="left"/>
              <w:rPr>
                <w:sz w:val="4"/>
                <w:szCs w:val="4"/>
              </w:rPr>
            </w:pPr>
            <w:r>
              <w:rPr>
                <w:sz w:val="4"/>
                <w:szCs w:val="4"/>
              </w:rPr>
            </w:r>
          </w:p>
        </w:tc>
        <w:tc>
          <w:tcPr>
            <w:tcW w:w="755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Financial Information</w:t>
              </w:r>
            </w:hyperlink>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balance">
              <w:r>
                <w:rPr>
                  <w:rStyle w:val="InternetLink"/>
                  <w:rFonts w:ascii="Times New Roman" w:hAnsi="Times New Roman"/>
                  <w:color w:val="0000FF"/>
                  <w:sz w:val="20"/>
                  <w:u w:val="single"/>
                </w:rPr>
                <w:t>Unaudited Condensed Consolidated Balance Sheets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stateme">
              <w:r>
                <w:rPr>
                  <w:rStyle w:val="InternetLink"/>
                  <w:rFonts w:ascii="Times New Roman" w:hAnsi="Times New Roman"/>
                  <w:color w:val="0000FF"/>
                  <w:sz w:val="20"/>
                  <w:u w:val="single"/>
                </w:rPr>
                <w:t>Unaudited Condensed Consolidated Statements of Operations</w:t>
              </w:r>
            </w:hyperlink>
            <w:hyperlink w:anchor="unaudited_condensed_consolidated_stateme">
              <w:r>
                <w:rPr>
                  <w:rStyle w:val="InternetLink"/>
                  <w:rFonts w:ascii="Times New Roman" w:hAnsi="Times New Roman"/>
                  <w:color w:val="0000FF"/>
                  <w:sz w:val="20"/>
                </w:rPr>
                <w:t xml:space="preserve"> </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mp_loss">
              <w:r>
                <w:rPr>
                  <w:rStyle w:val="InternetLink"/>
                  <w:rFonts w:ascii="Times New Roman" w:hAnsi="Times New Roman"/>
                  <w:color w:val="0000FF"/>
                  <w:sz w:val="20"/>
                  <w:u w:val="single"/>
                </w:rPr>
                <w:t>Unaudited Condensed Consolidated Statements of Comprehensive Income (Loss)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sta_cf">
              <w:r>
                <w:rPr>
                  <w:rStyle w:val="InternetLink"/>
                  <w:rFonts w:ascii="Times New Roman" w:hAnsi="Times New Roman"/>
                  <w:color w:val="0000FF"/>
                  <w:sz w:val="20"/>
                  <w:u w:val="single"/>
                </w:rPr>
                <w:t>Unaudited Condensed Consolidated Statements of Cash Flows</w:t>
              </w:r>
            </w:hyperlink>
            <w:hyperlink w:anchor="unaudited_condensed_consolidated_sta_cf">
              <w:r>
                <w:rPr>
                  <w:rStyle w:val="InternetLink"/>
                  <w:rFonts w:ascii="Times New Roman" w:hAnsi="Times New Roman"/>
                  <w:color w:val="0000FF"/>
                  <w:sz w:val="20"/>
                </w:rPr>
                <w:t xml:space="preserve"> </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sta_equ">
              <w:r>
                <w:rPr>
                  <w:rStyle w:val="InternetLink"/>
                  <w:rFonts w:ascii="Times New Roman" w:hAnsi="Times New Roman"/>
                  <w:color w:val="0000FF"/>
                  <w:sz w:val="20"/>
                  <w:u w:val="single"/>
                </w:rPr>
                <w:t>Unaudited Condensed Consolidated Statements of Stockholders’ Equity</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20"/>
                  <w:u w:val="single"/>
                </w:rPr>
                <w:t>Notes to Unaudited Condensed Consolidated Financial Statements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rFonts w:ascii="Times New Roman" w:hAnsi="Times New Roman"/>
                <w:color w:val="000000"/>
                <w:sz w:val="20"/>
              </w:rPr>
            </w:pPr>
            <w:r>
              <w:rPr>
                <w:rFonts w:ascii="Times New Roman" w:hAnsi="Times New Roman"/>
                <w:color w:val="000000"/>
                <w:sz w:val="20"/>
              </w:rPr>
              <w:t>Item 2.</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Other Information</w:t>
              </w:r>
            </w:hyperlink>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unregistered_sales_equity_securities_use">
              <w:r>
                <w:rPr>
                  <w:rStyle w:val="InternetLink"/>
                  <w:rFonts w:ascii="Times New Roman" w:hAnsi="Times New Roman"/>
                  <w:color w:val="0000FF"/>
                  <w:sz w:val="20"/>
                  <w:u w:val="single"/>
                </w:rPr>
                <w:t>Unregistered Sales of Equity Securities and Use of Proceeds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or_information">
              <w:r>
                <w:rPr>
                  <w:rStyle w:val="InternetLink"/>
                  <w:rFonts w:ascii="Times New Roman" w:hAnsi="Times New Roman"/>
                  <w:color w:val="0000FF"/>
                  <w:sz w:val="20"/>
                  <w:u w:val="single"/>
                </w:rPr>
                <w:t>Other Information</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414"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4" w:name="unaudited_condensed_consolidated_balance"/>
      <w:bookmarkEnd w:id="4"/>
      <w:r>
        <w:rPr>
          <w:rFonts w:ascii="Times New Roman" w:hAnsi="Times New Roman"/>
          <w:b/>
          <w:color w:val="000000"/>
          <w:sz w:val="20"/>
        </w:rPr>
        <w:t>Unaudited Condensed 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6503"/>
        <w:gridCol w:w="146"/>
        <w:gridCol w:w="214"/>
        <w:gridCol w:w="1005"/>
        <w:gridCol w:w="166"/>
        <w:gridCol w:w="146"/>
        <w:gridCol w:w="212"/>
        <w:gridCol w:w="999"/>
        <w:gridCol w:w="814"/>
      </w:tblGrid>
      <w:tr>
        <w:trPr/>
        <w:tc>
          <w:tcPr>
            <w:tcW w:w="6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 of allowances of $6,318 and $4,467,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111,513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97,934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55,256</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323,093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119,125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275,331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184,831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68,465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Investment in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 net of allowances of $450 and $861,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217,309</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906,138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1,229,231</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182,028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831,581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68,178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78,120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977,879</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1,159,907</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$0.0001 per share; 500,000,000 shares authorized at September 30, 2025 and December 31, 2024; 133,854,342 and 144,095,996 shares issued at September 30, 2025 and December 31, 2024, respectively; and 133,854,342 and 130,918,997 shares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1,460,270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(196,382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(1,200,145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69,324</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1,229,231</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5" w:name="unaudited_condensed_consolidated_stateme"/>
      <w:bookmarkEnd w:id="5"/>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revenue (exclusive of amounts shown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equipment revenue (exclusive of amounts shown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common stock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128,513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131,538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6" w:name="unaudited_condensed_comp_loss"/>
      <w:bookmarkEnd w:id="6"/>
      <w:r>
        <w:rPr>
          <w:rFonts w:ascii="Times New Roman" w:hAnsi="Times New Roman"/>
          <w:b/>
          <w:color w:val="000000"/>
          <w:sz w:val="20"/>
        </w:rPr>
        <w:t>Unaudited Condensed Consolidated Statements of Comprehensive Income (Loss)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9"/>
        <w:gridCol w:w="146"/>
        <w:gridCol w:w="211"/>
        <w:gridCol w:w="631"/>
        <w:gridCol w:w="166"/>
        <w:gridCol w:w="146"/>
        <w:gridCol w:w="211"/>
        <w:gridCol w:w="676"/>
        <w:gridCol w:w="166"/>
        <w:gridCol w:w="146"/>
        <w:gridCol w:w="211"/>
        <w:gridCol w:w="676"/>
        <w:gridCol w:w="166"/>
        <w:gridCol w:w="146"/>
        <w:gridCol w:w="211"/>
        <w:gridCol w:w="736"/>
        <w:gridCol w:w="791"/>
      </w:tblGrid>
      <w:tr>
        <w:trPr/>
        <w:tc>
          <w:tcPr>
            <w:tcW w:w="4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 Ended September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76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Amount recognized in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76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Less: income realized and reclassified to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fair value of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7" w:name="unaudited_condensed_consolidated_sta_cf"/>
      <w:bookmarkEnd w:id="7"/>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9704" w:type="dxa"/>
        <w:jc w:val="left"/>
        <w:tblInd w:w="0" w:type="dxa"/>
        <w:tblLayout w:type="fixed"/>
        <w:tblCellMar>
          <w:top w:w="28" w:type="dxa"/>
          <w:left w:w="28" w:type="dxa"/>
          <w:bottom w:w="28" w:type="dxa"/>
          <w:right w:w="28" w:type="dxa"/>
        </w:tblCellMar>
      </w:tblPr>
      <w:tblGrid>
        <w:gridCol w:w="6461"/>
        <w:gridCol w:w="146"/>
        <w:gridCol w:w="196"/>
        <w:gridCol w:w="691"/>
        <w:gridCol w:w="166"/>
        <w:gridCol w:w="146"/>
        <w:gridCol w:w="196"/>
        <w:gridCol w:w="691"/>
        <w:gridCol w:w="1011"/>
      </w:tblGrid>
      <w:tr>
        <w:trPr/>
        <w:tc>
          <w:tcPr>
            <w:tcW w:w="6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 Ended September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41,959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income to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asset disposals, abandonments and write-downs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financing costs and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 of convertible note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12,956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Other non-current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79,740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Acquisition of intangible assets—capitalized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Acquisition of Satcom Direct,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FCC Reimbursement Program for property, equipment and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 of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Payments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(30,763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Payments on 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37,642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139,366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177,008</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177,008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non-current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176,678</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42,893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paid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of property, equipment and intangibles in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8" w:name="unaudited_condensed_consolidated_sta_equ"/>
      <w:bookmarkEnd w:id="8"/>
      <w:r>
        <w:rPr>
          <w:rFonts w:ascii="Times New Roman" w:hAnsi="Times New Roman"/>
          <w:b/>
          <w:color w:val="000000"/>
          <w:sz w:val="20"/>
        </w:rPr>
        <w:t>Unaudited Condensed Consolidated Statements of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center"/>
        <w:rPr/>
      </w:pPr>
      <w:r>
        <w:rPr/>
        <w:t> </w:t>
      </w:r>
    </w:p>
    <w:tbl>
      <w:tblPr>
        <w:tblW w:w="10527" w:type="dxa"/>
        <w:jc w:val="left"/>
        <w:tblInd w:w="0" w:type="dxa"/>
        <w:tblLayout w:type="fixed"/>
        <w:tblCellMar>
          <w:top w:w="28" w:type="dxa"/>
          <w:left w:w="28" w:type="dxa"/>
          <w:bottom w:w="28" w:type="dxa"/>
          <w:right w:w="28" w:type="dxa"/>
        </w:tblCellMar>
      </w:tblPr>
      <w:tblGrid>
        <w:gridCol w:w="1091"/>
        <w:gridCol w:w="146"/>
        <w:gridCol w:w="146"/>
        <w:gridCol w:w="841"/>
        <w:gridCol w:w="146"/>
        <w:gridCol w:w="146"/>
        <w:gridCol w:w="181"/>
        <w:gridCol w:w="346"/>
        <w:gridCol w:w="151"/>
        <w:gridCol w:w="146"/>
        <w:gridCol w:w="181"/>
        <w:gridCol w:w="691"/>
        <w:gridCol w:w="151"/>
        <w:gridCol w:w="146"/>
        <w:gridCol w:w="278"/>
        <w:gridCol w:w="743"/>
        <w:gridCol w:w="151"/>
        <w:gridCol w:w="146"/>
        <w:gridCol w:w="181"/>
        <w:gridCol w:w="736"/>
        <w:gridCol w:w="151"/>
        <w:gridCol w:w="146"/>
        <w:gridCol w:w="146"/>
        <w:gridCol w:w="811"/>
        <w:gridCol w:w="151"/>
        <w:gridCol w:w="146"/>
        <w:gridCol w:w="181"/>
        <w:gridCol w:w="631"/>
        <w:gridCol w:w="151"/>
        <w:gridCol w:w="146"/>
        <w:gridCol w:w="181"/>
        <w:gridCol w:w="586"/>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September 30, 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133,334,288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1,472,226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(1,175,296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13,176,999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102,790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Fair value adjustments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Tax withholding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in connection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Retirement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(13,176,999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133,854,342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1,283,209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(1,177,226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106,956</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402" w:type="dxa"/>
        <w:jc w:val="left"/>
        <w:tblInd w:w="0" w:type="dxa"/>
        <w:tblLayout w:type="fixed"/>
        <w:tblCellMar>
          <w:top w:w="28" w:type="dxa"/>
          <w:left w:w="28" w:type="dxa"/>
          <w:bottom w:w="28" w:type="dxa"/>
          <w:right w:w="28" w:type="dxa"/>
        </w:tblCellMar>
      </w:tblPr>
      <w:tblGrid>
        <w:gridCol w:w="1091"/>
        <w:gridCol w:w="146"/>
        <w:gridCol w:w="146"/>
        <w:gridCol w:w="841"/>
        <w:gridCol w:w="151"/>
        <w:gridCol w:w="146"/>
        <w:gridCol w:w="181"/>
        <w:gridCol w:w="346"/>
        <w:gridCol w:w="146"/>
        <w:gridCol w:w="146"/>
        <w:gridCol w:w="181"/>
        <w:gridCol w:w="691"/>
        <w:gridCol w:w="151"/>
        <w:gridCol w:w="146"/>
        <w:gridCol w:w="266"/>
        <w:gridCol w:w="755"/>
        <w:gridCol w:w="151"/>
        <w:gridCol w:w="146"/>
        <w:gridCol w:w="181"/>
        <w:gridCol w:w="736"/>
        <w:gridCol w:w="151"/>
        <w:gridCol w:w="146"/>
        <w:gridCol w:w="146"/>
        <w:gridCol w:w="766"/>
        <w:gridCol w:w="146"/>
        <w:gridCol w:w="146"/>
        <w:gridCol w:w="181"/>
        <w:gridCol w:w="631"/>
        <w:gridCol w:w="151"/>
        <w:gridCol w:w="146"/>
        <w:gridCol w:w="181"/>
        <w:gridCol w:w="511"/>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9"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September 30, 2024</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126,882,774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1,409,060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(1,182,562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11,793,865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(186,492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52,011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10,630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Fair value adjustments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(7,163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109,382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163,092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Tax withholding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(1,014,598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1,014,598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(7,667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(7,667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126,140,650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1,413,842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(1,171,932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12,808,463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(194,159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52,724</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527" w:type="dxa"/>
        <w:jc w:val="left"/>
        <w:tblInd w:w="0" w:type="dxa"/>
        <w:tblLayout w:type="fixed"/>
        <w:tblCellMar>
          <w:top w:w="28" w:type="dxa"/>
          <w:left w:w="28" w:type="dxa"/>
          <w:bottom w:w="28" w:type="dxa"/>
          <w:right w:w="28" w:type="dxa"/>
        </w:tblCellMar>
      </w:tblPr>
      <w:tblGrid>
        <w:gridCol w:w="1091"/>
        <w:gridCol w:w="146"/>
        <w:gridCol w:w="146"/>
        <w:gridCol w:w="841"/>
        <w:gridCol w:w="146"/>
        <w:gridCol w:w="146"/>
        <w:gridCol w:w="181"/>
        <w:gridCol w:w="346"/>
        <w:gridCol w:w="151"/>
        <w:gridCol w:w="146"/>
        <w:gridCol w:w="181"/>
        <w:gridCol w:w="691"/>
        <w:gridCol w:w="151"/>
        <w:gridCol w:w="146"/>
        <w:gridCol w:w="278"/>
        <w:gridCol w:w="743"/>
        <w:gridCol w:w="151"/>
        <w:gridCol w:w="146"/>
        <w:gridCol w:w="181"/>
        <w:gridCol w:w="736"/>
        <w:gridCol w:w="151"/>
        <w:gridCol w:w="146"/>
        <w:gridCol w:w="146"/>
        <w:gridCol w:w="811"/>
        <w:gridCol w:w="151"/>
        <w:gridCol w:w="146"/>
        <w:gridCol w:w="181"/>
        <w:gridCol w:w="631"/>
        <w:gridCol w:w="151"/>
        <w:gridCol w:w="146"/>
        <w:gridCol w:w="181"/>
        <w:gridCol w:w="586"/>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Nine Months Ended September 30, 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130,918,997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1,460,270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(1,200,145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13,176,999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69,324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22,919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Fair value adjustments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(5,576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18,520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1,453,791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1,395,311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Tax withholding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(4,568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in connection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Retirement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(13,176,999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133,854,342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1,283,209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(1,177,226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106,956</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447" w:type="dxa"/>
        <w:jc w:val="left"/>
        <w:tblInd w:w="0" w:type="dxa"/>
        <w:tblLayout w:type="fixed"/>
        <w:tblCellMar>
          <w:top w:w="28" w:type="dxa"/>
          <w:left w:w="28" w:type="dxa"/>
          <w:bottom w:w="28" w:type="dxa"/>
          <w:right w:w="28" w:type="dxa"/>
        </w:tblCellMar>
      </w:tblPr>
      <w:tblGrid>
        <w:gridCol w:w="1091"/>
        <w:gridCol w:w="146"/>
        <w:gridCol w:w="146"/>
        <w:gridCol w:w="841"/>
        <w:gridCol w:w="151"/>
        <w:gridCol w:w="146"/>
        <w:gridCol w:w="181"/>
        <w:gridCol w:w="346"/>
        <w:gridCol w:w="146"/>
        <w:gridCol w:w="146"/>
        <w:gridCol w:w="181"/>
        <w:gridCol w:w="691"/>
        <w:gridCol w:w="151"/>
        <w:gridCol w:w="146"/>
        <w:gridCol w:w="249"/>
        <w:gridCol w:w="772"/>
        <w:gridCol w:w="151"/>
        <w:gridCol w:w="146"/>
        <w:gridCol w:w="181"/>
        <w:gridCol w:w="736"/>
        <w:gridCol w:w="151"/>
        <w:gridCol w:w="146"/>
        <w:gridCol w:w="146"/>
        <w:gridCol w:w="766"/>
        <w:gridCol w:w="146"/>
        <w:gridCol w:w="146"/>
        <w:gridCol w:w="181"/>
        <w:gridCol w:w="631"/>
        <w:gridCol w:w="151"/>
        <w:gridCol w:w="146"/>
        <w:gridCol w:w="181"/>
        <w:gridCol w:w="556"/>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Nine Months Ended September 30,2024</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128,462,343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1,402,003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(1,213,891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9,169,941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(163,197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40,725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41,959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41,959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Fair value adjustments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(10,711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14,755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221,854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1,094,975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Tax withholding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(3,638,522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3,638,522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(30,962</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126,140,650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1,413,842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(1,171,932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12,808,463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(194,159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52,724</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6"/>
        </w:rPr>
      </w:pPr>
      <w:r>
        <w:rPr>
          <w:rFonts w:ascii="Times New Roman" w:hAnsi="Times New Roman"/>
          <w:i/>
          <w:color w:val="000000"/>
          <w:sz w:val="16"/>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left"/>
        <w:rPr>
          <w:rFonts w:ascii="Times New Roman" w:hAnsi="Times New Roman"/>
          <w:b/>
          <w:color w:val="000000"/>
          <w:sz w:val="20"/>
        </w:rPr>
      </w:pPr>
      <w:bookmarkStart w:id="9" w:name="notes"/>
      <w:bookmarkEnd w:id="9"/>
      <w:r>
        <w:rPr>
          <w:rFonts w:ascii="Times New Roman" w:hAnsi="Times New Roman"/>
          <w:b/>
          <w:color w:val="000000"/>
          <w:sz w:val="20"/>
        </w:rPr>
        <w:t>1. Basis of Presentation</w:t>
      </w:r>
    </w:p>
    <w:p>
      <w:pPr>
        <w:pStyle w:val="TextBody"/>
        <w:bidi w:val="0"/>
        <w:spacing w:before="240" w:after="283"/>
        <w:jc w:val="left"/>
        <w:rPr>
          <w:rFonts w:ascii="Times New Roman" w:hAnsi="Times New Roman"/>
          <w:sz w:val="20"/>
        </w:rPr>
      </w:pPr>
      <w:r>
        <w:rPr>
          <w:rFonts w:ascii="Times New Roman" w:hAnsi="Times New Roman"/>
          <w:b/>
          <w:i/>
          <w:color w:val="000000"/>
          <w:sz w:val="20"/>
        </w:rPr>
        <w:t>The Business –</w:t>
      </w:r>
      <w:r>
        <w:rPr>
          <w:rFonts w:ascii="Times New Roman" w:hAnsi="Times New Roman"/>
          <w:color w:val="000000"/>
          <w:sz w:val="20"/>
        </w:rPr>
        <w:t xml:space="preserve"> Gogo Inc. (“Gogo,” the “Company,” “we,” “us,” or “our”) is the only multi-orbit, multi-band in-flight connectivity provider offering connectivity technology purpose-built for business and military/government aviation. The Company has a holistic approach of providing broadband connectivity services to its customers from small to large aircraft and heavy jets through the Company’s air-to-ground (“ATG”) technology and access to multiple satellite constellations, which aim to deliver consistent, global tip-to-tail connectivity with a suite of software, hardware, and advanced infrastructure supported by a 24/7/365 customer support team.</w:t>
      </w:r>
    </w:p>
    <w:p>
      <w:pPr>
        <w:pStyle w:val="TextBody"/>
        <w:bidi w:val="0"/>
        <w:spacing w:before="120" w:after="283"/>
        <w:jc w:val="left"/>
        <w:rPr>
          <w:rFonts w:ascii="Times New Roman" w:hAnsi="Times New Roman"/>
          <w:sz w:val="20"/>
        </w:rPr>
      </w:pPr>
      <w:r>
        <w:rPr>
          <w:rFonts w:ascii="Times New Roman" w:hAnsi="Times New Roman"/>
          <w:b/>
          <w:i/>
          <w:color w:val="000000"/>
          <w:sz w:val="20"/>
        </w:rPr>
        <w:t>Segments –</w:t>
      </w:r>
      <w:r>
        <w:rPr>
          <w:rFonts w:ascii="Times New Roman" w:hAnsi="Times New Roman"/>
          <w:color w:val="000000"/>
          <w:sz w:val="20"/>
        </w:rPr>
        <w:t xml:space="preserve"> As a result of the Company’s acquisition of Satcom Direct, as described in Note 2, “Acquisition of Satcom Direct,” the Company initially had two reportable segments on December 3, 2024: the legacy pre-acquisition operations of the Company and the acquired entities of Satcom Direct. However, during the third quarter of 2025, the Company’s chief operating decision maker (“CODM”), who is the Chief Executive Officer, started making resource and operating decisions by evaluating the performance and business results of the consolidated company. As such, the Company has a single reportable segment as of September 30, 2025.</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 The accompanying Unaudited Condensed Consolidated Financial Statements and notes have been prepared in accordance 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2024 as filed with the Securities and Exchange Commission (the “SEC”) on March 14, 2025 (the “2024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operations and cash flows for the three- and nine-month periods ended September 30, 2025 are not necessarily indicative of the results that may be expected for the fiscal year ending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one class of common stock outstanding as of September 30, 2025 and December 31, 2024.</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 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pStyle w:val="TextBody"/>
        <w:bidi w:val="0"/>
        <w:spacing w:before="120" w:after="283"/>
        <w:jc w:val="left"/>
        <w:rPr>
          <w:rFonts w:ascii="Times New Roman" w:hAnsi="Times New Roman"/>
          <w:sz w:val="20"/>
        </w:rPr>
      </w:pPr>
      <w:r>
        <w:rPr>
          <w:rFonts w:ascii="Times New Roman" w:hAnsi="Times New Roman"/>
          <w:b/>
          <w:i/>
          <w:color w:val="221E1F"/>
          <w:sz w:val="20"/>
        </w:rPr>
        <w:t>Recently Issued Accounting Pronouncements</w:t>
      </w:r>
      <w:r>
        <w:rPr>
          <w:rFonts w:ascii="Times New Roman" w:hAnsi="Times New Roman"/>
          <w:color w:val="221E1F"/>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the applicability and impact of all Accounting Standards Updates (“ASUs”) issued by the Financial Accounting Standards Board (“FASB”). ASUs not listed below were assessed and determined to be either not applicable or expected to have minimal impact on our consolidated financial statements and related notes.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 to Income Tax Disclosures</w:t>
      </w:r>
      <w:r>
        <w:rPr>
          <w:rFonts w:ascii="Times New Roman" w:hAnsi="Times New Roman"/>
          <w:color w:val="000000"/>
          <w:sz w:val="20"/>
        </w:rPr>
        <w:t xml:space="preserve"> to enhance the transparency and decision usefulness of income tax disclosures, most notably in the tax rate reconciliation and income taxes paid. This guidance is effective for annual periods beginning after December 15, 2024. Early adoption is permitted and the amendments should be applied on a prospective basis, with retrospective application permitted. As this guidance only impacts disclosures, we do not expect the adoption to have a material impact on our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(Subtopic 220-40): Disaggregation of Income Statement Expenses</w:t>
      </w:r>
      <w:r>
        <w:rPr>
          <w:rFonts w:ascii="Times New Roman" w:hAnsi="Times New Roman"/>
          <w:color w:val="000000"/>
          <w:sz w:val="20"/>
        </w:rPr>
        <w:t xml:space="preserve"> which requires disclosure about specific types of expenses included in the expense captions presented in the Consolidated Statements of Operations. This guidance is effective for fiscal years beginning after December 15, 2026, and interim periods within fiscal years beginning after December 15, 2027. Early adoption is permitted and the amendments should be applied on a prospective basis, however, retrospective application is permitted. We are currently evaluating the impact that this guidance will have upon our consolidated financial statements and related notes.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Intangibles-Goodwill and Other Internal-Use Software (Subtopic 350-40): Targeted Improvements to the Accounting for Internal-Use Software,</w:t>
      </w:r>
      <w:r>
        <w:rPr>
          <w:rFonts w:ascii="Times New Roman" w:hAnsi="Times New Roman"/>
          <w:color w:val="000000"/>
          <w:sz w:val="20"/>
        </w:rPr>
        <w:t xml:space="preserve"> which details the criteria for capitalization of internal-use software costs. The ASU is effective for fiscal years beginning after December 15, 2027, and interim periods within those fiscal years, and may be adopted on a prospective, modified, or retrospective transition approach, and early adoption is permitted. We are currently evaluating the impact that this guidance will have upon our consolidated financial statements and related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Acquisition of Satcom Direct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(the “Closing”), the Company completed its acquisition of 100% of the issued and outstanding equity interests in Satcom Direct, LLC, a Delaware limited liability company (f/k/a Satcom Direct, Inc., a Florida corporation) and certain of its affiliates and their collective subsidiaries (collectively, “Satcom Direct”), pursuant to the terms of the purchase agreement, dated as of September 29, 2024 (the “Purchase Agreement”). Satcom Direct operates worldwide with an international sales and service team based in nine countries. Satcom Direct sells its in-flight connectivity and communication services and equipment globally through their international sales force to OEMs, governments, military, and private fleet companies,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terms of the Purchase Agreement, on the Closing, the Company purchased all of the issued and outstanding equity interests in Satcom Direct in exchange for: (i) an aggregate cash purchase amount of $375 million, subject to customary post-closing adjustments (the “Cash Consideration”), (ii) five million restricted shares (the “Stock Consideration”) of the Company’s common stock, par value of $0.0001 per share (“Common Stock”), and (iii) up to an additional $225 million in potential earnout payments of cash and/or Common Stock tied to realizing certain financial performance milestones over the next four years (the “Earnout Consideration” and, together with the Cash Consideration and Stock Consideration, the “Acquisition Consideration”). The Cash Consideration was financed via the Company’s $250 million HPS Credit Agreement (as defined below) and the remainder with cash on hand. The Earnout Consideration has an estimated fair value of $79.0 million and $53.0 million as of September 30, 2025 and December 31, 2024, respectively. As of September 30, 2025, $41.4 million of the Earnout Consideration is included in Other non-current liabilities on the Consolidated Balance Sheets with the remainder in Accrued liabilities. The entire amount of the earnout was included in Other non-current liabilities as of December 31, 2024. The fair value of the Earnout Consideration was calculated using a Monte Carlo simulation based on future gross profit projections of Satcom Direct, gross profit volatility rates of comparable companies and a risk adjusted discount rate. The fair value measurement was based on significant unobservable inputs and thus represents a Level 3 measurement.</w:t>
      </w:r>
    </w:p>
    <w:p>
      <w:pPr>
        <w:pStyle w:val="TextBody"/>
        <w:bidi w:val="0"/>
        <w:spacing w:before="120" w:after="120"/>
        <w:jc w:val="left"/>
        <w:rPr>
          <w:rFonts w:ascii="Times New Roman" w:hAnsi="Times New Roman"/>
          <w:sz w:val="20"/>
        </w:rPr>
      </w:pPr>
      <w:r>
        <w:rPr>
          <w:rFonts w:ascii="Times New Roman" w:hAnsi="Times New Roman"/>
          <w:color w:val="000000"/>
          <w:sz w:val="20"/>
        </w:rPr>
        <w:t>The following table summarizes the fair value of the Acquisition Consideration at Closing (</w:t>
      </w:r>
      <w:r>
        <w:rPr>
          <w:rFonts w:ascii="Times New Roman" w:hAnsi="Times New Roman"/>
          <w:i/>
          <w:color w:val="000000"/>
          <w:sz w:val="20"/>
        </w:rPr>
        <w:t>in thousands</w:t>
      </w:r>
      <w:r>
        <w:rPr>
          <w:rFonts w:ascii="Times New Roman" w:hAnsi="Times New Roman"/>
          <w:color w:val="000000"/>
          <w:sz w:val="20"/>
        </w:rPr>
        <w:t>):</w:t>
      </w:r>
    </w:p>
    <w:tbl>
      <w:tblPr>
        <w:tblW w:w="7585" w:type="dxa"/>
        <w:jc w:val="left"/>
        <w:tblInd w:w="0" w:type="dxa"/>
        <w:tblLayout w:type="fixed"/>
        <w:tblCellMar>
          <w:top w:w="28" w:type="dxa"/>
          <w:left w:w="28" w:type="dxa"/>
          <w:bottom w:w="28" w:type="dxa"/>
          <w:right w:w="28" w:type="dxa"/>
        </w:tblCellMar>
      </w:tblPr>
      <w:tblGrid>
        <w:gridCol w:w="6256"/>
        <w:gridCol w:w="146"/>
        <w:gridCol w:w="211"/>
        <w:gridCol w:w="781"/>
        <w:gridCol w:w="19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Estimated Aggregate Acquisition Consideration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Share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per the Purchase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on December 2,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pre-existing relationship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fair value of Earnout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Preliminary fair value of estimated aggregate Acquisition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allocated the purchase price to the net identifiable tangible and intangible assets acquired and liabilities assumed based on their preliminary estimated fair values as of the date of acquisition using the acquisition method of accounting for business combinations. The excess of the purchase price over the estimated fair value of the net assets and liabilities was allocated to goodwill. The Company determined the preliminary estimated fair values after review and consideration of relevant information as of the Closing, including discounted cash flows, quoted market prices and estimates made by management. The fair values assigned to tangible and intangible assets acquired and liabilities assumed are preliminary based on management's estimates and assumptions and may be subject to change as additional information is received. During the nine-month period ended September 30, 2025, a measurement period adjustment was recorded to increase Goodwill by $7.8 million primarily related to the fair value of certain liabilities that were not finalized as of the Closing and deferred tax impacts related to the allocation of goodwill. The Company expects to finalize the valuation no later than one year from the Closing.</w:t>
      </w:r>
    </w:p>
    <w:p>
      <w:pPr>
        <w:pStyle w:val="TextBody"/>
        <w:bidi w:val="0"/>
        <w:spacing w:before="0" w:after="120"/>
        <w:jc w:val="left"/>
        <w:rPr>
          <w:rFonts w:ascii="Times New Roman" w:hAnsi="Times New Roman"/>
          <w:sz w:val="20"/>
        </w:rPr>
      </w:pPr>
      <w:r>
        <w:rPr>
          <w:rFonts w:ascii="Times New Roman" w:hAnsi="Times New Roman"/>
          <w:color w:val="000000"/>
          <w:sz w:val="20"/>
        </w:rPr>
        <w:t>The following table summarizes the fair values of assets acquired and liabilities assumed as of the Closing based on the preliminary purchase price allocation and measurement period adjustments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tbl>
      <w:tblPr>
        <w:tblW w:w="6965" w:type="dxa"/>
        <w:jc w:val="left"/>
        <w:tblInd w:w="0" w:type="dxa"/>
        <w:tblLayout w:type="fixed"/>
        <w:tblCellMar>
          <w:top w:w="28" w:type="dxa"/>
          <w:left w:w="28" w:type="dxa"/>
          <w:bottom w:w="28" w:type="dxa"/>
          <w:right w:w="28" w:type="dxa"/>
        </w:tblCellMar>
      </w:tblPr>
      <w:tblGrid>
        <w:gridCol w:w="5536"/>
        <w:gridCol w:w="146"/>
        <w:gridCol w:w="211"/>
        <w:gridCol w:w="781"/>
        <w:gridCol w:w="29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Preliminary Aggregate Purchase Price Allocation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fair value of estimated total Acquisition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447,893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 of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assets, net of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379,222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255,875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192,018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allocation of the purchase price presented above was based on management's preliminary estimate of the fair values of the acquired assets and assumed liabilities using valuation techniques including income, cost and market approaches. These valuation techniques incorporate the use of future projected revenues and cash flows as well as estimated discount rates. Current and noncurrent assets and liabilities are valued at historical carrying values, which approximate fair value, except as described below. The fair value measurements discussed below were based on significant inputs that are not observable and thus represent a Level 3 measurement. Inventories were valued using a combination of the comparative sales method, which estimated the expected sales price of the products, reduced by all costs expected to be incurred to complete the inventory, as well as a profit on the sale and estimated replacement cost. Assets held for sale represent the main corporate facility of Satcom Direct and associated land in Melbourne, Florida. The Company expects to sell the assets within the next twelve months. Assets held for sale were valued using the income approach less the direct costs associated with selling the assets. Property and equipment, net were valued using a combination of the cost and market approaches. Customer relationships represent the fair value of future projected revenue that will be derived from sales of connectivity services and equipment to existing customers of Satcom Direct. Customer relationships were valued using the multi-period excess earnings method. This method of valuation reflects the present value of the projected cash flows that are expected to be generated by these existing customers less charges representing the contribution of other assets to those cash flows. Software and the tradename were valued under the relief from royalty method, which is equal to the present value of the after-tax royalty savings attributable to owning the software or tradename as opposed to paying a third party for its use. The estimated fair value of operating leases was determined based on current market terms, which resulted in a net unfavorable adjustment to the right-of-use asset. After assessing the preliminary fair value of the net assets acquired and liabilities assumed, the Company recorded goodwill of $184.2 million as of December 31, 2024. As a result of subsequent measurement period adjustments, the balance of acquired goodwill increased to $192.0 million as of September 30, 2025. Of the total goodwill amount, $166.5 million is attributable to the U.S. entities and is deductible for U.S. income tax purposes. The goodwill is attributable to the assembled workforce, synergies, and economies of scale.</w:t>
      </w:r>
    </w:p>
    <w:p>
      <w:pPr>
        <w:pStyle w:val="TextBody"/>
        <w:bidi w:val="0"/>
        <w:spacing w:before="0" w:after="120"/>
        <w:jc w:val="left"/>
        <w:rPr>
          <w:rFonts w:ascii="Times New Roman" w:hAnsi="Times New Roman"/>
          <w:sz w:val="20"/>
        </w:rPr>
      </w:pPr>
      <w:r>
        <w:rPr>
          <w:rFonts w:ascii="Times New Roman" w:hAnsi="Times New Roman"/>
          <w:color w:val="000000"/>
          <w:sz w:val="20"/>
        </w:rPr>
        <w:t>The following table summarizes the key information underlying identifiable finite lived intangible assets related to the Satcom Direct acquisition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tbl>
      <w:tblPr>
        <w:tblW w:w="9670" w:type="dxa"/>
        <w:jc w:val="left"/>
        <w:tblInd w:w="0" w:type="dxa"/>
        <w:tblLayout w:type="fixed"/>
        <w:tblCellMar>
          <w:top w:w="28" w:type="dxa"/>
          <w:left w:w="28" w:type="dxa"/>
          <w:bottom w:w="28" w:type="dxa"/>
          <w:right w:w="28" w:type="dxa"/>
        </w:tblCellMar>
      </w:tblPr>
      <w:tblGrid>
        <w:gridCol w:w="2596"/>
        <w:gridCol w:w="146"/>
        <w:gridCol w:w="1810"/>
        <w:gridCol w:w="2615"/>
        <w:gridCol w:w="146"/>
        <w:gridCol w:w="146"/>
        <w:gridCol w:w="408"/>
        <w:gridCol w:w="1512"/>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Estimated Useful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OEM 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213,300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Supplemental Pro-Forma Information (Unaudited)</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following table presents supplemental pro-forma information for the three- and nine-month periods ended September 30, 2024 as if the acquisition of Satcom Direct had occurred on January 1, 2023. The amounts have been calculated after applying the Company’s accounting policies and are based upon currently available information. The unaudited pro-forma information for the period presented includes the following adjustments, where applicable, for business combination accounting effects resulting from the acquisition: (i) the change in Cost of Equipment to reflect the fair value change in inventory, (ii) incremental stock compensation expense, and adjustments for change in control bonuses that vest after the Closing as post-combination compensation expense, (iii) additional Depreciation and amortization expense related to the step up in fair value for finite-lived intangible assets and property and equipment acquired, (iv) removal of historical interest expense associated with Satcom Direct’s historical indebtedness which was extinguished upon consummation of the acquisition and the addition of interest expense related to financing the acquisition (refer to Note 9, “Long-Term Debt and Other Liabilities,” for additional information), and (v) the related tax effects assuming the acquisition occurred on January 1, 2023. Pre-acquisition revenue and net income amounts for Satcom Direct were derived from the books and records prepared prior to the acquisition and are presented for informational purposes only and do not purport to be indicative of the results of future operations or of the results that would have occurred had the acquisition taken place as of the date noted below.</w:t>
      </w:r>
    </w:p>
    <w:tbl>
      <w:tblPr>
        <w:tblW w:w="5520" w:type="dxa"/>
        <w:jc w:val="left"/>
        <w:tblInd w:w="0" w:type="dxa"/>
        <w:tblLayout w:type="fixed"/>
        <w:tblCellMar>
          <w:top w:w="28" w:type="dxa"/>
          <w:left w:w="28" w:type="dxa"/>
          <w:bottom w:w="28" w:type="dxa"/>
          <w:right w:w="28" w:type="dxa"/>
        </w:tblCellMar>
      </w:tblPr>
      <w:tblGrid>
        <w:gridCol w:w="1246"/>
        <w:gridCol w:w="146"/>
        <w:gridCol w:w="399"/>
        <w:gridCol w:w="1476"/>
        <w:gridCol w:w="146"/>
        <w:gridCol w:w="146"/>
        <w:gridCol w:w="376"/>
        <w:gridCol w:w="1394"/>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earnings per share have been calculated using the weighted average number of common shares outstanding for the period. Diluted earnings per share was computed using the treasury stock method for stock-based compensation. Contingently issuable shares are only included in the diluted earnings per share computation once all necessary conditions have been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diluted earnings per share calculations exclude the effect of stock options, deferred stock units, performance stock units, restricted stock units and the potential Earnout Consideration when the computation is anti-dilutive. For the three- and nine-month periods ended September 30, 2025, the weighted average number of shares excluded from the computation was 33.8 million and 26.5 million, respectively. For the three- and nine-month periods ended September 30, 2024 the weighted average number of shares excluded from the computation was 2.2 million and 2.4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 sets forth the computation of basic and diluted earnings per share for the three- and nine-month periods ended September 30, 2025 and 2024 (</w:t>
      </w:r>
      <w:r>
        <w:rPr>
          <w:rFonts w:ascii="Times New Roman" w:hAnsi="Times New Roman"/>
          <w:i/>
          <w:color w:val="000000"/>
          <w:sz w:val="20"/>
        </w:rPr>
        <w:t>in thousands, except per share amounts</w:t>
      </w:r>
      <w:r>
        <w:rPr>
          <w:rFonts w:ascii="Times New Roman" w:hAnsi="Times New Roman"/>
          <w:color w:val="000000"/>
          <w:sz w:val="20"/>
        </w:rPr>
        <w:t xml:space="preserve">): </w:t>
      </w:r>
    </w:p>
    <w:p>
      <w:pPr>
        <w:pStyle w:val="TextBody"/>
        <w:bidi w:val="0"/>
        <w:spacing w:before="120" w:after="283"/>
        <w:jc w:val="left"/>
        <w:rPr/>
      </w:pPr>
      <w:r>
        <w:rPr/>
        <w:t> </w:t>
      </w:r>
    </w:p>
    <w:tbl>
      <w:tblPr>
        <w:tblW w:w="9907" w:type="dxa"/>
        <w:jc w:val="left"/>
        <w:tblInd w:w="0" w:type="dxa"/>
        <w:tblLayout w:type="fixed"/>
        <w:tblCellMar>
          <w:top w:w="28" w:type="dxa"/>
          <w:left w:w="28" w:type="dxa"/>
          <w:bottom w:w="28" w:type="dxa"/>
          <w:right w:w="28" w:type="dxa"/>
        </w:tblCellMar>
      </w:tblPr>
      <w:tblGrid>
        <w:gridCol w:w="4606"/>
        <w:gridCol w:w="146"/>
        <w:gridCol w:w="211"/>
        <w:gridCol w:w="781"/>
        <w:gridCol w:w="166"/>
        <w:gridCol w:w="146"/>
        <w:gridCol w:w="211"/>
        <w:gridCol w:w="781"/>
        <w:gridCol w:w="146"/>
        <w:gridCol w:w="146"/>
        <w:gridCol w:w="211"/>
        <w:gridCol w:w="781"/>
        <w:gridCol w:w="146"/>
        <w:gridCol w:w="146"/>
        <w:gridCol w:w="211"/>
        <w:gridCol w:w="781"/>
        <w:gridCol w:w="2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128,513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Earnings (loss)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 -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weighted average diluted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131,538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Earnings (loss)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Revenue Recognition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Remaining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the aggregate amount of the transaction price in our contracts allocated to the remaining unsatisfied performance obligations (“RPO”) was approximately $548 million and excludes consideration from contracts that have an original duration of one year or less. Approximately $539 million of the RPO primarily represents connectivity and entertainment service revenues which are recognized as services are provided, which is expected to occur through the remaining term of the contracts. Our contracts vary in length and generally have terms of two to ten years. We expect to recognize approximately 38% of our connectivity and entertainment service RPO within the next year, approximately 46% in one to five years and the remaining 16% in five to ten years. The remaining $9 million of the RPO represents future equipment revenue that is expected to be recognized primarily within the next three years as equipment is shipped.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our revenue disaggregated by category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85"/>
        <w:gridCol w:w="146"/>
        <w:gridCol w:w="338"/>
        <w:gridCol w:w="1254"/>
        <w:gridCol w:w="234"/>
        <w:gridCol w:w="234"/>
        <w:gridCol w:w="338"/>
        <w:gridCol w:w="1085"/>
        <w:gridCol w:w="146"/>
        <w:gridCol w:w="146"/>
        <w:gridCol w:w="315"/>
        <w:gridCol w:w="1169"/>
        <w:gridCol w:w="217"/>
        <w:gridCol w:w="217"/>
        <w:gridCol w:w="315"/>
        <w:gridCol w:w="1169"/>
        <w:gridCol w:w="297"/>
      </w:tblGrid>
      <w:tr>
        <w:trPr/>
        <w:tc>
          <w:tcPr>
            <w:tcW w:w="2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5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 by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Satellite broadband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232,874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ATG broadband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71,051</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221,235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233,229</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Narrowband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service revenue by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189,956</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582,533</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245,459</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 by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Business aviation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162,622</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497,269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245,459</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Military /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27,334</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85,264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service revenue by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189,956</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582,533</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245,459</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Satellite broadband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9,511</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ATG broadband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57,914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52,544</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Narrowband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19,034</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8,742</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33,629</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97,397</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61,451</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non-current contract asset balances totaled $34.9 million and $25.0 million as of September 30, 2025 and December 31, 2024, respectively. Contract assets represent the aggregate amount of revenue recognized in excess of billings and recoverable contract costs primarily for certain sales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non-current deferred revenue balances totaled $32.9 million and $41.3 million as of September 30, 2025 and December 31, 2024, respectively. Deferred revenue includes, among other things, prepayments for equipment and subscription connectivity products. For the three- and nine-month periods ended September 30, 2025, we recognized revenue of $10.0 million and $40.7 million, respectively, that was previously included in the beginning balance of deferred revenue.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Government Assistance</w:t>
      </w:r>
    </w:p>
    <w:p>
      <w:pPr>
        <w:pStyle w:val="TextBody"/>
        <w:bidi w:val="0"/>
        <w:spacing w:before="120" w:after="283"/>
        <w:jc w:val="left"/>
        <w:rPr>
          <w:rFonts w:ascii="Times New Roman" w:hAnsi="Times New Roman"/>
          <w:sz w:val="20"/>
        </w:rPr>
      </w:pPr>
      <w:r>
        <w:rPr>
          <w:rFonts w:ascii="Times New Roman" w:hAnsi="Times New Roman"/>
          <w:b/>
          <w:i/>
          <w:color w:val="000000"/>
          <w:sz w:val="20"/>
        </w:rPr>
        <w:t>Federal Communications Commission (“FCC”) Reimbursement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that have been deemed to pose a national security risk, from their networks. Pursuant to the FCC Reimbursement Program, the FCC approved up to approximately $334 million in reimbursements to the Company to cover documented and approved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 will replace ZTE equipment. Due to an initial shortfall in the amount appropriated by Congress to fund the FCC Reimbursement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 approximately $132 million of the approved amount was allocated to the Company under the program. Following passage of the Fiscal Year 2025 National Defense Authorization Act, the Company was allocated its full approved amount of approximately $334 million and the program completion deadline was extended to May 8,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we have recorded a $26.0 million and $9.7 million receivable from the FCC, respectively, which is included in Prepaid expenses and other current assets in our Unaudited Condensed Consolidated Balance Sheets.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are the deductions to the carrying value of asset balances in our Unaudited Condensed Consolidated Balance Sheets as of September 30, 2025 and December 31, 2024 </w:t>
      </w:r>
      <w:r>
        <w:rPr>
          <w:rFonts w:ascii="Times New Roman" w:hAnsi="Times New Roman"/>
          <w:i/>
          <w:color w:val="000000"/>
          <w:sz w:val="20"/>
        </w:rPr>
        <w:t>(in thousands):</w:t>
      </w:r>
    </w:p>
    <w:p>
      <w:pPr>
        <w:pStyle w:val="TextBody"/>
        <w:bidi w:val="0"/>
        <w:jc w:val="left"/>
        <w:rPr/>
      </w:pPr>
      <w:r>
        <w:rPr/>
        <w:t> </w:t>
      </w:r>
    </w:p>
    <w:tbl>
      <w:tblPr>
        <w:tblW w:w="7890" w:type="dxa"/>
        <w:jc w:val="left"/>
        <w:tblInd w:w="0" w:type="dxa"/>
        <w:tblLayout w:type="fixed"/>
        <w:tblCellMar>
          <w:top w:w="28" w:type="dxa"/>
          <w:left w:w="28" w:type="dxa"/>
          <w:bottom w:w="28" w:type="dxa"/>
          <w:right w:w="28" w:type="dxa"/>
        </w:tblCellMar>
      </w:tblPr>
      <w:tblGrid>
        <w:gridCol w:w="3626"/>
        <w:gridCol w:w="146"/>
        <w:gridCol w:w="394"/>
        <w:gridCol w:w="1376"/>
        <w:gridCol w:w="166"/>
        <w:gridCol w:w="146"/>
        <w:gridCol w:w="384"/>
        <w:gridCol w:w="1341"/>
        <w:gridCol w:w="311"/>
      </w:tblGrid>
      <w:tr>
        <w:trPr/>
        <w:tc>
          <w:tcPr>
            <w:tcW w:w="3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Prepaids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are the increases to Net income in our Unaudited Condensed Consolidated Statements of Operations for the three- and nine-month periods ended September 30, 2025 and 2024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7095" w:type="dxa"/>
        <w:jc w:val="left"/>
        <w:tblInd w:w="0" w:type="dxa"/>
        <w:tblLayout w:type="fixed"/>
        <w:tblCellMar>
          <w:top w:w="28" w:type="dxa"/>
          <w:left w:w="28" w:type="dxa"/>
          <w:bottom w:w="28" w:type="dxa"/>
          <w:right w:w="28" w:type="dxa"/>
        </w:tblCellMar>
      </w:tblPr>
      <w:tblGrid>
        <w:gridCol w:w="2411"/>
        <w:gridCol w:w="146"/>
        <w:gridCol w:w="226"/>
        <w:gridCol w:w="614"/>
        <w:gridCol w:w="157"/>
        <w:gridCol w:w="157"/>
        <w:gridCol w:w="226"/>
        <w:gridCol w:w="614"/>
        <w:gridCol w:w="146"/>
        <w:gridCol w:w="146"/>
        <w:gridCol w:w="211"/>
        <w:gridCol w:w="571"/>
        <w:gridCol w:w="146"/>
        <w:gridCol w:w="146"/>
        <w:gridCol w:w="211"/>
        <w:gridCol w:w="676"/>
        <w:gridCol w:w="291"/>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equipment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Composition of Certain Balance Sheet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w:t>
      </w:r>
    </w:p>
    <w:p>
      <w:pPr>
        <w:pStyle w:val="TextBody"/>
        <w:bidi w:val="0"/>
        <w:spacing w:before="120" w:after="283"/>
        <w:jc w:val="left"/>
        <w:rPr>
          <w:rFonts w:ascii="Times New Roman" w:hAnsi="Times New Roman"/>
          <w:sz w:val="20"/>
        </w:rPr>
      </w:pPr>
      <w:r>
        <w:rPr>
          <w:rFonts w:ascii="Times New Roman" w:hAnsi="Times New Roman"/>
          <w:color w:val="000000"/>
          <w:sz w:val="20"/>
        </w:rPr>
        <w:t>Inventories as of September 30, 2025 and December 31, 2024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045" w:type="dxa"/>
        <w:jc w:val="left"/>
        <w:tblInd w:w="0" w:type="dxa"/>
        <w:tblLayout w:type="fixed"/>
        <w:tblCellMar>
          <w:top w:w="28" w:type="dxa"/>
          <w:left w:w="28" w:type="dxa"/>
          <w:bottom w:w="28" w:type="dxa"/>
          <w:right w:w="28" w:type="dxa"/>
        </w:tblCellMar>
      </w:tblPr>
      <w:tblGrid>
        <w:gridCol w:w="2851"/>
        <w:gridCol w:w="146"/>
        <w:gridCol w:w="310"/>
        <w:gridCol w:w="995"/>
        <w:gridCol w:w="146"/>
        <w:gridCol w:w="146"/>
        <w:gridCol w:w="299"/>
        <w:gridCol w:w="96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 component parts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inventory</w:t>
            </w:r>
            <w:r>
              <w:rPr>
                <w:rFonts w:ascii="Times New Roman" w:hAnsi="Times New Roman"/>
                <w:i/>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5, “Government Assistance,”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Prepaid expenses and other current assets as of September 30, 2025 and December 31, 2024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both"/>
        <w:rPr/>
      </w:pPr>
      <w:r>
        <w:rPr/>
        <w:t> </w:t>
      </w:r>
    </w:p>
    <w:tbl>
      <w:tblPr>
        <w:tblW w:w="7125" w:type="dxa"/>
        <w:jc w:val="left"/>
        <w:tblInd w:w="0" w:type="dxa"/>
        <w:tblLayout w:type="fixed"/>
        <w:tblCellMar>
          <w:top w:w="28" w:type="dxa"/>
          <w:left w:w="28" w:type="dxa"/>
          <w:bottom w:w="28" w:type="dxa"/>
          <w:right w:w="28" w:type="dxa"/>
        </w:tblCellMar>
      </w:tblPr>
      <w:tblGrid>
        <w:gridCol w:w="3931"/>
        <w:gridCol w:w="146"/>
        <w:gridCol w:w="310"/>
        <w:gridCol w:w="995"/>
        <w:gridCol w:w="146"/>
        <w:gridCol w:w="146"/>
        <w:gridCol w:w="299"/>
        <w:gridCol w:w="96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caps and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FCC reimbursement receivable</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Contract assets</w:t>
            </w:r>
            <w:r>
              <w:rPr>
                <w:rFonts w:ascii="Times New Roman" w:hAnsi="Times New Roman"/>
                <w:i/>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indemnification receivable</w:t>
            </w:r>
            <w:r>
              <w:rPr>
                <w:rFonts w:ascii="Times New Roman" w:hAnsi="Times New Roman"/>
                <w:i/>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5, “Government Assistance,” for additional information.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 See Note 17, “Commitments and Contingencies,” for additional information.</w:t>
      </w:r>
    </w:p>
    <w:p>
      <w:pPr>
        <w:pStyle w:val="TextBody"/>
        <w:bidi w:val="0"/>
        <w:spacing w:before="120" w:after="283"/>
        <w:jc w:val="left"/>
        <w:rPr>
          <w:rFonts w:ascii="Times New Roman" w:hAnsi="Times New Roman"/>
          <w:sz w:val="20"/>
        </w:rPr>
      </w:pPr>
      <w:r>
        <w:rPr>
          <w:rFonts w:ascii="Times New Roman" w:hAnsi="Times New Roman"/>
          <w:color w:val="000000"/>
          <w:sz w:val="20"/>
        </w:rPr>
        <w:t>Property and equipment as of September 30, 2025 and December 31, 2024 were as follows (</w:t>
      </w: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both"/>
        <w:rPr/>
      </w:pPr>
      <w:r>
        <w:rPr/>
        <w:t> </w:t>
      </w:r>
    </w:p>
    <w:tbl>
      <w:tblPr>
        <w:tblW w:w="7075" w:type="dxa"/>
        <w:jc w:val="left"/>
        <w:tblInd w:w="0" w:type="dxa"/>
        <w:tblLayout w:type="fixed"/>
        <w:tblCellMar>
          <w:top w:w="28" w:type="dxa"/>
          <w:left w:w="28" w:type="dxa"/>
          <w:bottom w:w="28" w:type="dxa"/>
          <w:right w:w="28" w:type="dxa"/>
        </w:tblCellMar>
      </w:tblPr>
      <w:tblGrid>
        <w:gridCol w:w="3841"/>
        <w:gridCol w:w="146"/>
        <w:gridCol w:w="261"/>
        <w:gridCol w:w="1044"/>
        <w:gridCol w:w="166"/>
        <w:gridCol w:w="146"/>
        <w:gridCol w:w="252"/>
        <w:gridCol w:w="1008"/>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furniture, fixtures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buildings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Network equipment</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5, “Government Assistance,” for additional information.</w:t>
      </w:r>
    </w:p>
    <w:p>
      <w:pPr>
        <w:pStyle w:val="TextBody"/>
        <w:bidi w:val="0"/>
        <w:spacing w:before="120" w:after="283"/>
        <w:jc w:val="left"/>
        <w:rPr>
          <w:rFonts w:ascii="Times New Roman" w:hAnsi="Times New Roman"/>
          <w:sz w:val="20"/>
        </w:rPr>
      </w:pPr>
      <w:r>
        <w:rPr>
          <w:rFonts w:ascii="Times New Roman" w:hAnsi="Times New Roman"/>
          <w:color w:val="000000"/>
          <w:sz w:val="20"/>
        </w:rPr>
        <w:t>Other non-current assets as of September 30, 2025 and December 31, 2024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both"/>
        <w:rPr/>
      </w:pPr>
      <w:r>
        <w:rPr/>
        <w:t> </w:t>
      </w:r>
    </w:p>
    <w:tbl>
      <w:tblPr>
        <w:tblW w:w="8760" w:type="dxa"/>
        <w:jc w:val="left"/>
        <w:tblInd w:w="0" w:type="dxa"/>
        <w:tblLayout w:type="fixed"/>
        <w:tblCellMar>
          <w:top w:w="28" w:type="dxa"/>
          <w:left w:w="28" w:type="dxa"/>
          <w:bottom w:w="28" w:type="dxa"/>
          <w:right w:w="28" w:type="dxa"/>
        </w:tblCellMar>
      </w:tblPr>
      <w:tblGrid>
        <w:gridCol w:w="5566"/>
        <w:gridCol w:w="146"/>
        <w:gridCol w:w="310"/>
        <w:gridCol w:w="995"/>
        <w:gridCol w:w="146"/>
        <w:gridCol w:w="146"/>
        <w:gridCol w:w="299"/>
        <w:gridCol w:w="961"/>
        <w:gridCol w:w="1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Contract assets, net of allowances of $450 and $861, respectively</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5, “Government Assistance,” for additional information.</w:t>
      </w:r>
    </w:p>
    <w:p>
      <w:pPr>
        <w:pStyle w:val="TextBody"/>
        <w:bidi w:val="0"/>
        <w:spacing w:before="120" w:after="283"/>
        <w:jc w:val="left"/>
        <w:rPr>
          <w:rFonts w:ascii="Times New Roman" w:hAnsi="Times New Roman"/>
          <w:sz w:val="20"/>
        </w:rPr>
      </w:pPr>
      <w:r>
        <w:rPr>
          <w:rFonts w:ascii="Times New Roman" w:hAnsi="Times New Roman"/>
          <w:color w:val="000000"/>
          <w:sz w:val="20"/>
        </w:rPr>
        <w:t>Accrued liabilities as of September 30, 2025 and December 31, 2024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360" w:type="dxa"/>
        <w:jc w:val="left"/>
        <w:tblInd w:w="0" w:type="dxa"/>
        <w:tblLayout w:type="fixed"/>
        <w:tblCellMar>
          <w:top w:w="28" w:type="dxa"/>
          <w:left w:w="28" w:type="dxa"/>
          <w:bottom w:w="28" w:type="dxa"/>
          <w:right w:w="28" w:type="dxa"/>
        </w:tblCellMar>
      </w:tblPr>
      <w:tblGrid>
        <w:gridCol w:w="3166"/>
        <w:gridCol w:w="146"/>
        <w:gridCol w:w="276"/>
        <w:gridCol w:w="1029"/>
        <w:gridCol w:w="146"/>
        <w:gridCol w:w="146"/>
        <w:gridCol w:w="299"/>
        <w:gridCol w:w="96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credit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Network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for research and development are charged to expense as incurred and totaled $15.7 million and $42.1 million, respectively, during the three- and nine-month periods ended September 30, 2025, and $9.8 million and $29.3 million, respectively, during the prior-year period. Research and development costs are reported as Engineering, design and development expenses in our Unaudited Condensed Consolidated Statements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Goodwill and Other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intangible assets are comprised of both indefinite-lived and finite-lived intangible assets and goodwill. Intangible assets with indefinite lives are not amortized but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2024 indicated no impairment. We also reevaluate the useful life of indefinite-lived intangible assets each reporting period to determine whether events and circumstances continue to support an indefinite useful life.</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Changes in the carrying value of goodwill were as follows </w:t>
      </w:r>
      <w:r>
        <w:rPr>
          <w:rFonts w:ascii="Times New Roman" w:hAnsi="Times New Roman"/>
          <w:i/>
          <w:color w:val="000000"/>
          <w:sz w:val="20"/>
        </w:rPr>
        <w:t>(in thousands)</w:t>
      </w:r>
      <w:r>
        <w:rPr>
          <w:rFonts w:ascii="Times New Roman" w:hAnsi="Times New Roman"/>
          <w:color w:val="000000"/>
          <w:sz w:val="20"/>
        </w:rPr>
        <w:t>:</w:t>
      </w:r>
    </w:p>
    <w:tbl>
      <w:tblPr>
        <w:tblW w:w="4335" w:type="dxa"/>
        <w:jc w:val="left"/>
        <w:tblInd w:w="0" w:type="dxa"/>
        <w:tblLayout w:type="fixed"/>
        <w:tblCellMar>
          <w:top w:w="28" w:type="dxa"/>
          <w:left w:w="28" w:type="dxa"/>
          <w:bottom w:w="28" w:type="dxa"/>
          <w:right w:w="28" w:type="dxa"/>
        </w:tblCellMar>
      </w:tblPr>
      <w:tblGrid>
        <w:gridCol w:w="2906"/>
        <w:gridCol w:w="146"/>
        <w:gridCol w:w="211"/>
        <w:gridCol w:w="781"/>
        <w:gridCol w:w="291"/>
      </w:tblGrid>
      <w:tr>
        <w:trPr/>
        <w:tc>
          <w:tcPr>
            <w:tcW w:w="2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184,831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Measurement period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192,638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Note 2, “Acquisition of Satcom Direct,” for further information on the 2025 change in goodwill. </w:t>
      </w:r>
    </w:p>
    <w:p>
      <w:pPr>
        <w:pStyle w:val="TextBody"/>
        <w:bidi w:val="0"/>
        <w:spacing w:before="120" w:after="120"/>
        <w:jc w:val="left"/>
        <w:rPr>
          <w:rFonts w:ascii="Times New Roman" w:hAnsi="Times New Roman"/>
          <w:sz w:val="20"/>
        </w:rPr>
      </w:pPr>
      <w:r>
        <w:rPr>
          <w:rFonts w:ascii="Times New Roman" w:hAnsi="Times New Roman"/>
          <w:color w:val="000000"/>
          <w:sz w:val="20"/>
        </w:rPr>
        <w:t>Our intangible assets, other than goodwill, as of September 30, 2025 and December 31, 2024 were as follows (</w:t>
      </w:r>
      <w:r>
        <w:rPr>
          <w:rFonts w:ascii="Times New Roman" w:hAnsi="Times New Roman"/>
          <w:i/>
          <w:color w:val="000000"/>
          <w:sz w:val="20"/>
        </w:rPr>
        <w:t>in thousands</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2332"/>
        <w:gridCol w:w="146"/>
        <w:gridCol w:w="196"/>
        <w:gridCol w:w="691"/>
        <w:gridCol w:w="146"/>
        <w:gridCol w:w="146"/>
        <w:gridCol w:w="257"/>
        <w:gridCol w:w="869"/>
        <w:gridCol w:w="166"/>
        <w:gridCol w:w="146"/>
        <w:gridCol w:w="196"/>
        <w:gridCol w:w="691"/>
        <w:gridCol w:w="146"/>
        <w:gridCol w:w="146"/>
        <w:gridCol w:w="196"/>
        <w:gridCol w:w="691"/>
        <w:gridCol w:w="146"/>
        <w:gridCol w:w="146"/>
        <w:gridCol w:w="264"/>
        <w:gridCol w:w="896"/>
        <w:gridCol w:w="166"/>
        <w:gridCol w:w="146"/>
        <w:gridCol w:w="196"/>
        <w:gridCol w:w="691"/>
        <w:gridCol w:w="393"/>
      </w:tblGrid>
      <w:tr>
        <w:trPr/>
        <w:tc>
          <w:tcPr>
            <w:tcW w:w="2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Accumulated </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Amount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Amortized intangible assets</w:t>
            </w:r>
            <w:r>
              <w:rPr>
                <w:rFonts w:ascii="Times New Roman" w:hAnsi="Times New Roman"/>
                <w:b/>
                <w:color w:val="000000"/>
                <w:sz w:val="12"/>
              </w:rPr>
              <w:t>(1)</w:t>
            </w: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85,448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142,190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OEM and dealer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243,048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Unamortized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FCC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32,283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255,706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339,931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275,331</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See Note 5, “Government Assistance,”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was $10.0 million and $29.7 million, for the three- and nine-month periods ended September 30, 2025, and $0.2 million and $0.6 million, respectively, for the prior-year periods.</w:t>
      </w:r>
    </w:p>
    <w:p>
      <w:pPr>
        <w:pStyle w:val="TextBody"/>
        <w:bidi w:val="0"/>
        <w:spacing w:before="120" w:after="283"/>
        <w:jc w:val="left"/>
        <w:rPr>
          <w:rFonts w:ascii="Times New Roman" w:hAnsi="Times New Roman"/>
          <w:sz w:val="20"/>
        </w:rPr>
      </w:pPr>
      <w:r>
        <w:rPr>
          <w:rFonts w:ascii="Times New Roman" w:hAnsi="Times New Roman"/>
          <w:color w:val="000000"/>
          <w:sz w:val="20"/>
        </w:rPr>
        <w:t>Amortization expense for the remainder of 2025, each of the next four years and thereafter is estimated to be as follows (</w:t>
      </w:r>
      <w:r>
        <w:rPr>
          <w:rFonts w:ascii="Times New Roman" w:hAnsi="Times New Roman"/>
          <w:i/>
          <w:color w:val="000000"/>
          <w:sz w:val="20"/>
        </w:rPr>
        <w:t>in thousands</w:t>
      </w:r>
      <w:r>
        <w:rPr>
          <w:rFonts w:ascii="Times New Roman" w:hAnsi="Times New Roman"/>
          <w:color w:val="000000"/>
          <w:sz w:val="20"/>
        </w:rPr>
        <w:t>):</w:t>
      </w:r>
    </w:p>
    <w:tbl>
      <w:tblPr>
        <w:tblW w:w="4869" w:type="dxa"/>
        <w:jc w:val="left"/>
        <w:tblInd w:w="0" w:type="dxa"/>
        <w:tblLayout w:type="fixed"/>
        <w:tblCellMar>
          <w:top w:w="28" w:type="dxa"/>
          <w:left w:w="28" w:type="dxa"/>
          <w:bottom w:w="28" w:type="dxa"/>
          <w:right w:w="28" w:type="dxa"/>
        </w:tblCellMar>
      </w:tblPr>
      <w:tblGrid>
        <w:gridCol w:w="3406"/>
        <w:gridCol w:w="146"/>
        <w:gridCol w:w="276"/>
        <w:gridCol w:w="850"/>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Amortization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 (period from October 1 to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Actual future amortization expense could differ from the estimated amount as a result of future investments and other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Long-Term Debt and Other Liabilities</w:t>
      </w:r>
    </w:p>
    <w:p>
      <w:pPr>
        <w:pStyle w:val="TextBody"/>
        <w:bidi w:val="0"/>
        <w:spacing w:before="120" w:after="283"/>
        <w:jc w:val="left"/>
        <w:rPr>
          <w:rFonts w:ascii="Times New Roman" w:hAnsi="Times New Roman"/>
          <w:sz w:val="20"/>
        </w:rPr>
      </w:pPr>
      <w:r>
        <w:rPr>
          <w:rFonts w:ascii="Times New Roman" w:hAnsi="Times New Roman"/>
          <w:color w:val="000000"/>
          <w:sz w:val="20"/>
        </w:rPr>
        <w:t>Long-term debt as of September 30, 2025 and December 31, 2024 was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890" w:type="dxa"/>
        <w:jc w:val="left"/>
        <w:tblInd w:w="0" w:type="dxa"/>
        <w:tblLayout w:type="fixed"/>
        <w:tblCellMar>
          <w:top w:w="28" w:type="dxa"/>
          <w:left w:w="28" w:type="dxa"/>
          <w:bottom w:w="28" w:type="dxa"/>
          <w:right w:w="28" w:type="dxa"/>
        </w:tblCellMar>
      </w:tblPr>
      <w:tblGrid>
        <w:gridCol w:w="3456"/>
        <w:gridCol w:w="146"/>
        <w:gridCol w:w="276"/>
        <w:gridCol w:w="1029"/>
        <w:gridCol w:w="166"/>
        <w:gridCol w:w="146"/>
        <w:gridCol w:w="268"/>
        <w:gridCol w:w="992"/>
        <w:gridCol w:w="41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599,776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HPS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831,581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30, 2021, Gogo and Gogo Intermediate Holdings LLC (“GIH”) (a wholly owned subsidiary of Gogo) entered into a credit agreement (the “Original 2021 Credit Agreement,” and, as it may be amended, supplemented or otherwise modified from time to time, the “2021 Credit Agreement”) among Gogo, GIH, the lenders and issuing banks party thereto and Morgan Stanley Senior Funding, Inc., as administrative agent, which provides for (i) a term loan credit facility (the “2021 Term Loan Facility”) in an aggregate principal amount of $725.0 million, issued with a discount of 0.5%, and (ii) a revolving credit facility (the “Revolving Facility” and together with the 2021 Term Loan Facility, the “2021 Facilities”) of up to $100.0 million, which includes a letter of credit sub-facility. The 2021 Term Loan Facility matures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Gogo and GIH entered into a second amendment to the 2021 Credit Agreement, by and among, Gogo, GIH, guarantors party thereto, Morgan Stanley Senior Funding, Inc., as administrative agent, and the lenders party thereto, among other purposes, (a) increase the aggregate principal amount of revolving commitments available under the 2021 Credit Agreement to an aggregate amount of revolving commitments equal to $122 million and (b) extend the maturity date of the revolving facility to December 3, 2029 (subject to such maturity date springing to the date that is 90 days prior to the then-current maturity date of (a) the 2021 Term Loan Facility under the 2021 Credit Agreement and (b) the HPS Term Loan Facility under the HPS Credit Agreement under certain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Term Loan Facility amortizes in nominal quarterly installments equal to one percent of the aggregate initial principal amount thereof per annum, with the remaining balance payable upon final maturity of the 2021 Term Loan Facility. There are no amortization payments under the Revolving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2021 Term Loan Facility bears annual interest at a floating rate measured by reference to, at GIH’s option, either (i) an adjusted term secured overnight financing rate as administered by the Federal Reserve Bank of New York (“SOFR”) (subject to a floor of 0.75%) plus an applicable margin of 3.75% and a credit spread adjustment of approximately 0.11%, 0.26% or 0.43% per annum based on 1-month, 3-month or 6-month term SOFR, respectively or (ii) an alternate base rate plus an applicable margin of 2.75%.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Loans outstanding under the Revolving Facility bear annual interest at a floating rate measured by reference to, at GIH’s option, either (i) an adjusted term SOFR rate (subject to a floor of 0.00%) plus an applicable margin ranging from 3.50% to 4.00% per annum depending on GIH’s senior secured first lien net leverage ratio or (ii) an alternate base rate plus an applicable margin ranging from 2.50% to 3.00% per annum depending on GIH’s senior secured first lien net leverage ratio. Additionally, unused commitments under the Revolving Facility are subject to a fee ranging from 0.25% to 0.50% per annum depending on GIH’s senior secured first lien net leverage ratio. As of September 30, 2025, the fee for unused commitments under the Revolving Facility was 0.25% and the applicable margin was 4.00% for SOFR rate loans and 3.00% for alternate rate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Facilities may be prepaid at GIH’s option at any time without premium or penalty (other than customary breakage costs), subject to minimum principal payment amount requirements. On May 3, 2023, the Company prepaid $100 million of the outstanding principal amount of the 2021 Term Loan Facility. This prepayment satisfied the required amortization payments for the remaining term of the 2021 Term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certain exceptions and de minimis thresholds, the 2021 Term Loan Facility is subject to mandatory prepayments in an amount equal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of the net cash proceeds of certain asset sales, insurance recovery and condemnation events, subject to reduction to 50% and 0% if specified senior secured first lien net leverage ratio targets are met;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of the net cash proceeds of certain debt offerings;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 of annual excess cash flow (as defined in the 2021 Credit Agreement), subject to reduction to 25% and 0% if specified senior secured first lien net leverage ratio targets are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FCC;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2021 Facilities; and amendment of organizational documents; in each case subject to customary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contains customary events of default, which, if any of them occurred, would permit or require the principal, premium, if any, and interest on all of the then outstanding obligations under the 2021 Facilities to be due and payable immediately and the commitments under the Revolving Facility to be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Facility is available for working capital and general corporate purposes of GIH and its subsidiaries and was undrawn as of September 30,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both September 30, 2025 and December 31, 2024, the outstanding principal amount of the 2021 Term Loan Facility was $601.4 million, the unaccreted debt discount was $1.3 million and $1.7 million, respectively, and the net carrying amount was $600.1 million and $599.8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approximately $21.6 million of loan origination and financing costs related to the 2021 Facilities, which are being accounted for as deferred financing costs on our Unaudited Condensed Consolidated Balance Sheets and are amortized over the terms of the 2021 Facilities. Total amortization expense was $0.7 million and $2.2 million, respectively, for the three- and nine-month periods ended September 30, 2025 and $0.6 million and $1.8 million, respectively, for the prior-year periods and is included in interest expense in our Unaudited Condensed Consolidated Statements of Operations. As of September 30, 2025 and December 31, 2024, the balance of unamortized deferred financing costs related to the 2021 Facilities was $8.2 million and $10.4 million,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2021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2021 Facilities and certain other secured obligations as set forth in the Collateral Agreement. The liens granted under the 2021 Term Loan Facility are subject to an intercreditor agreement and are </w:t>
      </w:r>
      <w:r>
        <w:rPr>
          <w:rFonts w:ascii="Times New Roman" w:hAnsi="Times New Roman"/>
          <w:i/>
          <w:color w:val="000000"/>
          <w:sz w:val="20"/>
        </w:rPr>
        <w:t>pari passu</w:t>
      </w:r>
      <w:r>
        <w:rPr>
          <w:rFonts w:ascii="Times New Roman" w:hAnsi="Times New Roman"/>
          <w:color w:val="000000"/>
          <w:sz w:val="20"/>
        </w:rPr>
        <w:t xml:space="preserve"> with the liens granted under the HPS Term Loan Facility (as defined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HPS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3, 2024, the Company and GIH entered into a credit agreement (the “HPS Credit Agreement” and together with the 2021 Credit Agreement, the “Credit Agreements”) with HPS Investment Partners, LLC, as the administrative agent, and the lenders party thereto, which provides for a term loan credit facility (the “HPS Term Loan Facility”) in an aggregate principal amount of $250 million. The HPS Term Loan Facility amortizes in quarterly installments equal to one percent of the aggregate initial principal amount thereof per annum, with the remaining balance payable upon final maturity of the HPS Term Loan Facility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HPS Term Loan Facility bears annual interest at a floating rate measured by reference to, at the Company’s option, either (i) an adjusted term SOFR (subject to a floor of 1.00%) plus an initial applicable margin of 6.00%, which is subject to two leverage-based step-downs of up to 0.25% each or (ii) an alternate base rate plus an applicable margin of 5.00%, which is subject to two leverage-based step-downs of up to 0.25% each.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HPS Term Loan Facility may be prepaid at the Company’s option, at any time, without premium or penalty (other than customary breakage costs, and except that (a) during the first 12 months following the closing of the HPS Credit Agreement, certain prepayments of the HPS Term Loan Facility are subject to a 3.00% prepayment premium and (b) during the period from 12 months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24 months following the closing of the HPS Credit Agreement, certain prepayments of the HPS Term Loan Facility are subject to a 1.00% prepayment premium), subject to minimum principal repayment amount requirements.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Subject to certain exceptions and de minimis thresholds, the HPS Term Loan Facility is subject to mandatory prepayments in an amount equal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100% of the net cash proceeds of certain asset sales, insurance recovery and condemnation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of the net cash proceeds of certain debt offerings;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75% of annual excess cash flow (as defined in the HPS Credit Agreement), subject to reduction to 50% if specified senior secured first lien net leverage ratio targets are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HPS Credit Agreement contains customary representations and warranties and customary affirmative and negative covenants. The negative covenants include restrictions on, among other things: the incurrence of indebtedness or issuance of disqualified equity interests; the incurrence or existence of liens; consolidations or mergers; activities of the Company; the making of investments, loans, advances, guarantees or acquisitions; asset sales; the making of dividends or other distributions on equity; the purchase, redemption or retirement of capital stock; payment or redemption of certain junior indebtedness; activities of Federal Communications Commission license holders; entry into other agreements that restrict the ability to incur liens securing the HPS Term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HPS Credit Agreement contains customary events of default, which, if any of them occurred, would permit or require the principal, premium, if any, and interest on all of the then outstanding obligations under the HPS Term Loan Facility to be due and payable immediately.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and December 31, 2024, the outstanding principal amount of the HPS Term Loan Facility was $247.5 million and $249.4 million, respectively, the unaccreted debt discount was $3.9 million and $4.9 million, respectively, and the net carrying amount was $243.6 million and $244.5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approximately $2.2 million of loan origination and financing costs related to the HPS Credit Agreement which are being accounted for as deferred financing costs on our consolidated balance sheets and are amortized over the term of the HPS Credit Agreement. Total amortization expense was $0.1 million and $0.4 million, respectively, for the three- and nine-month periods ended September 30, 2025 and is included in interest expense in our Unaudited Condensed Consolidated Statements of Operations. As of September 30, 2025 and December 31, 2024 the balance of unamortized deferred financing costs related to the HPS Credit Agreement was $1.7 million and $2.1 million,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December 3, 2024, Gogo, GIH, and the Guarantors entered into a guarantee agreement (the “HPS Guarantee Agreement”) in favor of HPS Investment Partners, LLC, as collateral agent (the “HPS Collateral Agent”), whereby GIH and the Guarantors guarantee the obligations under the HPS Term Loan Facility and certain other secured obligations as set forth in the HPS Guarantee Agreement, and GIH and the Guarantors entered into a collateral agreement (the “HPS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HPS Term Loan Facility and certain other secured obligations as set forth in the HPS Collateral Agreement. The liens granted under the HPS Term Loan Facility are subject to an intercreditor agreement and are </w:t>
      </w:r>
      <w:r>
        <w:rPr>
          <w:rFonts w:ascii="Times New Roman" w:hAnsi="Times New Roman"/>
          <w:i/>
          <w:color w:val="000000"/>
          <w:sz w:val="20"/>
        </w:rPr>
        <w:t>pari passu</w:t>
      </w:r>
      <w:r>
        <w:rPr>
          <w:rFonts w:ascii="Times New Roman" w:hAnsi="Times New Roman"/>
          <w:color w:val="000000"/>
          <w:sz w:val="20"/>
        </w:rPr>
        <w:t xml:space="preserve"> with the liens granted under the 2021 Term Loan Facility.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Derivative Instruments and Hedging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we purchased interest rate caps with an aggregate notional amount of $650.0 million for $8.6 million. The cost of the interest rate caps will be amortized to interest expense using the caplet method, from the effective date through termination date. We receive payments in the amount calculated pursuant to the caps for any period in which the daily compounded SOFR rate plus a credit spread adjustment recommended by the Alternative Reference Rate Committee of 0.26% increases beyond the applicable strike rate. The notional amounts of the interest rate caps periodically decrease over the life of the caps.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notional amounts, strike rates and end dates of the cap agreements are as follows </w:t>
      </w:r>
      <w:r>
        <w:rPr>
          <w:rFonts w:ascii="Times New Roman" w:hAnsi="Times New Roman"/>
          <w:i/>
          <w:color w:val="000000"/>
          <w:sz w:val="20"/>
        </w:rPr>
        <w:t>(notional amounts in thousands)</w:t>
      </w:r>
      <w:r>
        <w:rPr>
          <w:rFonts w:ascii="Times New Roman" w:hAnsi="Times New Roman"/>
          <w:color w:val="000000"/>
          <w:sz w:val="20"/>
        </w:rPr>
        <w:t>:</w:t>
      </w:r>
    </w:p>
    <w:tbl>
      <w:tblPr>
        <w:tblW w:w="4879" w:type="dxa"/>
        <w:jc w:val="left"/>
        <w:tblInd w:w="0" w:type="dxa"/>
        <w:tblLayout w:type="fixed"/>
        <w:tblCellMar>
          <w:top w:w="28" w:type="dxa"/>
          <w:left w:w="28" w:type="dxa"/>
          <w:bottom w:w="28" w:type="dxa"/>
          <w:right w:w="28" w:type="dxa"/>
        </w:tblCellMar>
      </w:tblPr>
      <w:tblGrid>
        <w:gridCol w:w="976"/>
        <w:gridCol w:w="146"/>
        <w:gridCol w:w="961"/>
        <w:gridCol w:w="146"/>
        <w:gridCol w:w="211"/>
        <w:gridCol w:w="781"/>
        <w:gridCol w:w="146"/>
        <w:gridCol w:w="146"/>
        <w:gridCol w:w="249"/>
        <w:gridCol w:w="801"/>
        <w:gridCol w:w="316"/>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Start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Notional</w:t>
              <w:b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Strike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(loss) will be reclassified to interest expense in the event the hedges are no longer considered effective, in accordance with ASC 815, </w:t>
      </w:r>
      <w:r>
        <w:rPr>
          <w:rFonts w:ascii="Times New Roman" w:hAnsi="Times New Roman"/>
          <w:i/>
          <w:color w:val="000000"/>
          <w:sz w:val="20"/>
        </w:rPr>
        <w:t>Derivatives and Hedging</w:t>
      </w:r>
      <w:r>
        <w:rPr>
          <w:rFonts w:ascii="Times New Roman" w:hAnsi="Times New Roman"/>
          <w:color w:val="000000"/>
          <w:sz w:val="20"/>
        </w:rPr>
        <w:t>. No gains or losses of our cash flow hedges were considered to be ineffective and reclassified from other comprehensive income (loss) to earnings for the three- and nine-month periods ended September 30, 2025 and 2024. We estimate that approximately $1.5 million currently recorded in accumulated other comprehensive income (loss) will be recognized in earnings over the next 12 months. We assess the effectiveness of the hedges on an ongoing basis, and the remaining outstanding caps are still considered to be highly effective, and remain designated as a cash flow hedge. Cash flows from interest rate caps are classified in the Unaudited Condensed Consolidated Statements of Cash Flows as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three-month period ended September 30, 2025, we recorded a decrease in fair value on the interest rate caps of $1.6 million, net of tax of $0.4 million, and for the nine-month period ended September 30, 2025, we recorded decrease in fair value on the interest rate caps of $7.2 million, net of tax of $1.9 million. For the three-month period ended September 30, 2024, we recorded a decrease in fair value on the interest rate caps of $7.7 million, net of tax of $2.4 million, and for the nine-month period ended September 30, 2024, we recorded a decrease in fair value on the interest rate caps of $12.7 million, net of tax of $3.5 million. Increases and decreases in fair value on interest rate caps above exclude amortization of the purchase price paid for the interest rate caps.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When derivatives are used, we are exposed to credit loss in the event of non-performance by the counterparties; however, non-performance is not anticipated. ASC 815, </w:t>
      </w:r>
      <w:r>
        <w:rPr>
          <w:rFonts w:ascii="Times New Roman" w:hAnsi="Times New Roman"/>
          <w:i/>
          <w:color w:val="000000"/>
          <w:sz w:val="20"/>
        </w:rPr>
        <w:t>Derivatives and Hedging</w:t>
      </w:r>
      <w:r>
        <w:rPr>
          <w:rFonts w:ascii="Times New Roman" w:hAnsi="Times New Roman"/>
          <w:color w:val="000000"/>
          <w:sz w:val="20"/>
        </w:rPr>
        <w:t xml:space="preserve">,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fair value of our interest rate derivatives included in the Unaudited Condensed Consolidated Balance Sheets for the periods presented (in thousands): </w:t>
      </w:r>
    </w:p>
    <w:tbl>
      <w:tblPr>
        <w:tblW w:w="10205" w:type="dxa"/>
        <w:jc w:val="left"/>
        <w:tblInd w:w="0" w:type="dxa"/>
        <w:tblLayout w:type="fixed"/>
        <w:tblCellMar>
          <w:top w:w="28" w:type="dxa"/>
          <w:left w:w="28" w:type="dxa"/>
          <w:bottom w:w="28" w:type="dxa"/>
          <w:right w:w="28" w:type="dxa"/>
        </w:tblCellMar>
      </w:tblPr>
      <w:tblGrid>
        <w:gridCol w:w="3728"/>
        <w:gridCol w:w="146"/>
        <w:gridCol w:w="3196"/>
        <w:gridCol w:w="146"/>
        <w:gridCol w:w="342"/>
        <w:gridCol w:w="931"/>
        <w:gridCol w:w="146"/>
        <w:gridCol w:w="146"/>
        <w:gridCol w:w="330"/>
        <w:gridCol w:w="898"/>
        <w:gridCol w:w="196"/>
      </w:tblGrid>
      <w:tr>
        <w:trPr/>
        <w:tc>
          <w:tcPr>
            <w:tcW w:w="3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Derivatives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location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interest rate caps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Interest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capitalize a portion of our interest on funds borrowed during the active construction period of major capital projects. Capitalized interest is added to the cost of the underlying assets and amortized over the useful lives of the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our interest costs for the three- and nine-month periods ended September 30, 2025 and 2024 </w:t>
      </w:r>
      <w:r>
        <w:rPr>
          <w:rFonts w:ascii="Times New Roman" w:hAnsi="Times New Roman"/>
          <w:i/>
          <w:color w:val="000000"/>
          <w:sz w:val="20"/>
        </w:rPr>
        <w:t>(in thousands)</w:t>
      </w:r>
      <w:r>
        <w:rPr>
          <w:rFonts w:ascii="Times New Roman" w:hAnsi="Times New Roman"/>
          <w:color w:val="000000"/>
          <w:sz w:val="20"/>
        </w:rPr>
        <w:t>:</w:t>
      </w:r>
    </w:p>
    <w:tbl>
      <w:tblPr>
        <w:tblW w:w="9632" w:type="dxa"/>
        <w:jc w:val="left"/>
        <w:tblInd w:w="0" w:type="dxa"/>
        <w:tblLayout w:type="fixed"/>
        <w:tblCellMar>
          <w:top w:w="28" w:type="dxa"/>
          <w:left w:w="28" w:type="dxa"/>
          <w:bottom w:w="28" w:type="dxa"/>
          <w:right w:w="28" w:type="dxa"/>
        </w:tblCellMar>
      </w:tblPr>
      <w:tblGrid>
        <w:gridCol w:w="4631"/>
        <w:gridCol w:w="146"/>
        <w:gridCol w:w="211"/>
        <w:gridCol w:w="676"/>
        <w:gridCol w:w="166"/>
        <w:gridCol w:w="146"/>
        <w:gridCol w:w="211"/>
        <w:gridCol w:w="676"/>
        <w:gridCol w:w="166"/>
        <w:gridCol w:w="146"/>
        <w:gridCol w:w="211"/>
        <w:gridCol w:w="676"/>
        <w:gridCol w:w="166"/>
        <w:gridCol w:w="146"/>
        <w:gridCol w:w="211"/>
        <w:gridCol w:w="736"/>
        <w:gridCol w:w="311"/>
      </w:tblGrid>
      <w:tr>
        <w:trPr/>
        <w:tc>
          <w:tcPr>
            <w:tcW w:w="4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costs charged to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the purchase price of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Accretion of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costs capitalized to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costs capitalized to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Fair Value of Financial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three-tier fair value hierarchy has been established which prioritizes the inputs used in measuring fair value. These tiers include:</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Level 1</w:t>
      </w:r>
      <w:r>
        <w:rPr>
          <w:color w:val="000000"/>
        </w:rPr>
        <w:t xml:space="preserve"> </w:t>
      </w:r>
      <w:r>
        <w:rPr>
          <w:rFonts w:ascii="Times New Roman" w:hAnsi="Times New Roman"/>
          <w:color w:val="000000"/>
          <w:sz w:val="20"/>
        </w:rPr>
        <w:t>- defined as observable inputs such as quoted prices for identical assets or liabilities in active markets;</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Level 2</w:t>
      </w:r>
      <w:r>
        <w:rPr>
          <w:color w:val="000000"/>
        </w:rPr>
        <w:t xml:space="preserve"> </w:t>
      </w:r>
      <w:r>
        <w:rPr>
          <w:rFonts w:ascii="Times New Roman" w:hAnsi="Times New Roman"/>
          <w:color w:val="000000"/>
          <w:sz w:val="20"/>
        </w:rPr>
        <w:t>- defined as observable inputs other than Level 1 inputs such as quoted prices for similar assets or liabilities, quoted prices in markets that are not active, or inputs that are observable or can be corroborated by observable market data for substantially the full term of the assets or liabilities; and</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Level 3</w:t>
      </w:r>
      <w:r>
        <w:rPr>
          <w:color w:val="000000"/>
        </w:rPr>
        <w:t xml:space="preserve"> </w:t>
      </w:r>
      <w:r>
        <w:rPr>
          <w:rFonts w:ascii="Times New Roman" w:hAnsi="Times New Roman"/>
          <w:color w:val="000000"/>
          <w:sz w:val="20"/>
        </w:rPr>
        <w:t>- defined as unobservable inputs in which little or no market data exists, therefore requiring an entity to develop its own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10, “Derivative Instruments and Hedging Activities,” for fair value information relating to our interest rate caps.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Investment in Convertible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26, 2024, Gogo invested $5 million in a convertible note offering (“Investment in Convertible Note”). The Investment in Convertible Note accrues interest at 5% per annum, payable upon maturity of the note or upon conversion, and matures two years after the date of issuance. We have elected to measure our Investment in Convertible Note using the fair value option and record changes in fair value, including accrued interest, in Other (income) expense, net on the Unaudited Condensed Consolidated Statements of Operations. The Company elected the fair value option for the Investment in Convertible Note to eliminate complexities of applying certain accounting models.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Investment in Convertible Note is measured using Level 3 (unobservable) inputs. The Company, with the assistance of a third-party valuation specialist, determined the fair value using a binomial lattice model. The significant assumptions used in the model include the yield, equity volatility, outstanding principal, remaining term, stated interest rate, risk-free interest rate and the current publicly available stock price. The yield is estimated using similar security yields for companies with similar credit ratings. Equity volatility is estimated based on observed equity volatility for similar companies. The outstanding principal, remaining term and stated interest rate are all determined based on contractually defined terms and the risk-free interest rate is determined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 to the U.S. Treasury yield curve in effect at the time of measurement for time periods approximately equal to the remaining time to maturity.</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Investment in Convertible Note is included in Prepaid and other current assets on our Unaudited Condensed Consolidated Balance Sheets as of September 30, 2025 and the reconciliation of beginning and ending balances were as follows </w:t>
      </w:r>
      <w:r>
        <w:rPr>
          <w:rFonts w:ascii="Times New Roman" w:hAnsi="Times New Roman"/>
          <w:i/>
          <w:color w:val="000000"/>
          <w:sz w:val="20"/>
        </w:rPr>
        <w:t>(in thousands)</w:t>
      </w:r>
      <w:r>
        <w:rPr>
          <w:rFonts w:ascii="Times New Roman" w:hAnsi="Times New Roman"/>
          <w:color w:val="000000"/>
          <w:sz w:val="20"/>
        </w:rPr>
        <w:t>:</w:t>
      </w:r>
    </w:p>
    <w:tbl>
      <w:tblPr>
        <w:tblW w:w="7297" w:type="dxa"/>
        <w:jc w:val="left"/>
        <w:tblInd w:w="0" w:type="dxa"/>
        <w:tblLayout w:type="fixed"/>
        <w:tblCellMar>
          <w:top w:w="28" w:type="dxa"/>
          <w:left w:w="28" w:type="dxa"/>
          <w:bottom w:w="28" w:type="dxa"/>
          <w:right w:w="28" w:type="dxa"/>
        </w:tblCellMar>
      </w:tblPr>
      <w:tblGrid>
        <w:gridCol w:w="2641"/>
        <w:gridCol w:w="146"/>
        <w:gridCol w:w="226"/>
        <w:gridCol w:w="614"/>
        <w:gridCol w:w="157"/>
        <w:gridCol w:w="157"/>
        <w:gridCol w:w="226"/>
        <w:gridCol w:w="614"/>
        <w:gridCol w:w="146"/>
        <w:gridCol w:w="146"/>
        <w:gridCol w:w="213"/>
        <w:gridCol w:w="576"/>
        <w:gridCol w:w="147"/>
        <w:gridCol w:w="147"/>
        <w:gridCol w:w="213"/>
        <w:gridCol w:w="637"/>
        <w:gridCol w:w="2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Long-Term Debt:</w:t>
      </w:r>
    </w:p>
    <w:p>
      <w:pPr>
        <w:pStyle w:val="TextBody"/>
        <w:bidi w:val="0"/>
        <w:spacing w:before="120" w:after="283"/>
        <w:jc w:val="left"/>
        <w:rPr>
          <w:rFonts w:ascii="Times New Roman" w:hAnsi="Times New Roman"/>
          <w:color w:val="000000"/>
          <w:sz w:val="20"/>
        </w:rPr>
      </w:pPr>
      <w:bookmarkStart w:id="10" w:name="our_financial_assets_liabilities_that_ar"/>
      <w:bookmarkEnd w:id="10"/>
      <w:r>
        <w:rPr>
          <w:rFonts w:ascii="Times New Roman" w:hAnsi="Times New Roman"/>
          <w:color w:val="000000"/>
          <w:sz w:val="20"/>
        </w:rPr>
        <w:t xml:space="preserve">As of September 30, 2025 and December 31, 2024, our only financial assets and liabilities disclosed but not measured at fair value are the 2021 Term Loan Facility and the HPS Term Loan Facility, which are reflected on the consolidated balance sheets at cost. The fair value measurements are classified as Level 2 within the fair value hierarchy since they are based on quoted market prices of our instruments in markets that are not active. We estimated the fair values of the 2021 Term Loan Facility and the HPS Term Loan Facility by calculating the upfront cash payments a market participant would require to assume these obligations. The upfront cash payments used in the calculations of fair values on our Unaudited Condensed Consolidated Balance Sheets, excluding any issuance costs, are the amounts that a market participant would be willing to lend at such date to an entity with a credit rating similar to ours and that would allow such an entity to achieve sufficient cash inflows to cover the scheduled cash outflows under the 2021 Term Loan Facility and HPS Term Loan Facility.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fair value and carrying value of long-term debt as of September 30, 2025 and December 31, 2024 were as follows </w:t>
      </w:r>
      <w:r>
        <w:rPr>
          <w:rFonts w:ascii="Times New Roman" w:hAnsi="Times New Roman"/>
          <w:i/>
          <w:color w:val="000000"/>
          <w:sz w:val="20"/>
        </w:rPr>
        <w:t>(in thousands)</w:t>
      </w:r>
      <w:r>
        <w:rPr>
          <w:rFonts w:ascii="Times New Roman" w:hAnsi="Times New Roman"/>
          <w:color w:val="000000"/>
          <w:sz w:val="20"/>
        </w:rPr>
        <w:t>:</w:t>
      </w:r>
    </w:p>
    <w:tbl>
      <w:tblPr>
        <w:tblW w:w="7761" w:type="dxa"/>
        <w:jc w:val="left"/>
        <w:tblInd w:w="0" w:type="dxa"/>
        <w:tblLayout w:type="fixed"/>
        <w:tblCellMar>
          <w:top w:w="28" w:type="dxa"/>
          <w:left w:w="28" w:type="dxa"/>
          <w:bottom w:w="28" w:type="dxa"/>
          <w:right w:w="28" w:type="dxa"/>
        </w:tblCellMar>
      </w:tblPr>
      <w:tblGrid>
        <w:gridCol w:w="2146"/>
        <w:gridCol w:w="146"/>
        <w:gridCol w:w="261"/>
        <w:gridCol w:w="969"/>
        <w:gridCol w:w="146"/>
        <w:gridCol w:w="211"/>
        <w:gridCol w:w="781"/>
        <w:gridCol w:w="271"/>
        <w:gridCol w:w="146"/>
        <w:gridCol w:w="261"/>
        <w:gridCol w:w="969"/>
        <w:gridCol w:w="146"/>
        <w:gridCol w:w="211"/>
        <w:gridCol w:w="781"/>
        <w:gridCol w:w="31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Fair Value </w:t>
            </w:r>
            <w:r>
              <w:rPr>
                <w:rFonts w:ascii="Times New Roman" w:hAnsi="Times New Roman"/>
                <w:b/>
                <w:i/>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Fair Value </w:t>
            </w:r>
            <w:r>
              <w:rPr>
                <w:rFonts w:ascii="Times New Roman" w:hAnsi="Times New Roman"/>
                <w:b/>
                <w:i/>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599,776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(2)</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HPS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(3)</w:t>
            </w:r>
          </w:p>
        </w:tc>
      </w:tr>
    </w:tbl>
    <w:p>
      <w:pPr>
        <w:pStyle w:val="TextBody"/>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Fair value amounts are rounded to the nearest million.</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Carrying value of the 2021 Term Loan Facility reflects the unaccreted debt discount of $1.3 million and $1.7 million as of September 30, 2025 and December 31, 2024, respectively. See Note 9, “Long-Term Debt and Other Liabilities,” for further information.</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Carrying value of the HPS Term Loan Facility reflects the unaccreted debt discount of $3.9 million and $4.9 million as of September 30, 2025 and December 31, 2024, respectively. See Note 9, “Long-Term Debt and Other Liabilities,” for further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Business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operating decision maker (“CODM”) is the Chief Executive Officer (“CEO”). The CODM makes resource and operating decisions by evaluating performance and business results of the consolidated company. As a result, the Company has a single reportable segment, with net income (loss) utilized as the performance measure.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and December 31, 2024, the balance of total consolidated assets was $1,295.1 million and $1,229.2 million, respectively. Total consolidated capital expenditures were $34.7 million and $18.9 million, respectively, for the nine-month periods ended September 30, 2025 and 2024.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Income Tax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 income tax rates for the three- and nine-month periods ended September 30, 2025 were (242.8)% and 35.3%, respectively, compared to 12.5% and 23.1%, respectively, for the prior-year periods. For the three-month period ended September 30, 2025, our effective income tax rate was lower than the U.S. federal statutory rate of 21% primarily due to a small pretax loss and nondeductible officer’s compensation. For the nine-month period ended September 30, 2025, our effective income tax rate was higher than the U.S. federal statutory rate of 21% primarily due to state income taxes and nondeductible officer's compensation partially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offset by tax benefits related to domestic research and development tax credits. For the three-month period ended September 30, 2024, our effective income tax rate was lower than the U.S. federal statutory rate of 21% primarily due to deferred tax adjustments and tax benefits related to domestic research and development tax credits, partially offset by state income taxes. For the nine-month period ended September 30, 2024, our effective income tax rate was higher than the U.S. federal statutory rate of 21% primarily due to state income taxes and stock-based compensation partially offset by tax benefits related to domestic research and development tax credits and deferred tax 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regularly assess the need for a valuation allowance related to our deferred income tax assets to determine, based on the weight of all available positive and negative evidence, whether it is more likely than not that some or all of such deferred assets will not be realized. In our assessments, the Company considers recent financial operating results, the scheduled expiration of our net operating losses, future taxable income, the reversal of existing taxable differences, and tax planning strategies. The remaining valuation allowance is still required for deferred tax assets related to foreign net operating losses and capital loss carryforwards as it is more likely than not as of September 30, 2025 that these deferred tax assets will not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taxation and file income tax returns in the United States, various states, and several foreign jurisdictions including, but not limited to, Canada, Switzerland, United Kingdom, Australia, Brazil and Singapore. With a few exceptions, as of September 30, 2025, we are no longer subject to U.S. federal, state, local or foreign examinations by tax authorities for years before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penalties and interest relating to uncertain tax positions in the income tax provision line item in the Unaudited Condensed Consolidated Statements of Operations. No penalties or interest related to uncertain tax positions were recorded for the three- and nine-month periods ended September 30, 2025 and 2024, and as of September 30, 2025 and December 31, 2024, we did not have a liability recorded for interest or potential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(OBBBA) was signed into law. This legislation includes changes to U.S. federal tax law, which may be subject to further clarification and the issuance of interpretive guidance. We are assessing the legislation and its effect on our consolidated financial statements. Currently, however, we do not anticipate the provisions of the OBBBA will have a material impact on our effective income tax rate.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Stock-Based Compensation and Retirement Plans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Stock-Based Compensation — </w:t>
      </w:r>
      <w:r>
        <w:rPr>
          <w:rFonts w:ascii="Times New Roman" w:hAnsi="Times New Roman"/>
          <w:color w:val="000000"/>
          <w:sz w:val="20"/>
        </w:rPr>
        <w:t>As of September 30, 2025, we maintained the 2024 Omnibus Equity Incentive Plan (the “2024 Plan”). The 2024 Plan provides for the grant of both equity and cash awards, including non-qualified stock options, incentive stock options, stock appreciation rights, performance awards (shares and units), restricted stock, restricted stock units (“RSUs”), deferred share units and other stock-based awards and dividend equivalents to eligible employees, directors and consultants, as determined by the Compensation Committee of our Board of Directors. See Note 14, “Stock-Based Compensation and 401(k) Plan,” in our 2024 10-K for further information regarding the 2024 Plan.</w:t>
      </w:r>
      <w:r>
        <w:rPr>
          <w:rFonts w:ascii="Times New Roman" w:hAnsi="Times New Roman"/>
          <w:color w:val="FF0000"/>
          <w:sz w:val="20"/>
        </w:rPr>
        <w:t xml:space="preserve"> </w:t>
      </w:r>
      <w:r>
        <w:rPr>
          <w:rFonts w:ascii="Times New Roman" w:hAnsi="Times New Roman"/>
          <w:color w:val="000000"/>
          <w:sz w:val="20"/>
        </w:rPr>
        <w:t>The majority of our equity grants are awarded on an annual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in connection with the Company’s acquisition of Satcom Direct on December 3, 2024, 2,275,000 shares were granted, consisting of a combination of RSUs and performance-based restricted stock units (“PSUs”) (together, the “Inducement Awards”) by the Compensation Committee. The RSUs will vest in equal annual installments over the five-year period following the grant date. The PSUs are subject to performance-based vesting and will vest when the performance-based vesting conditions are met. Though not awarded pursuant to the 2024 Plan, the Inducement Awards have been issued subject to the terms and conditions of the 2024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nine-month period ended September 30, 2025, no options to purchase shares of common stock were granted, options to purchase 1,453,791 shares of common stock were exercised, no options to purchase shares of common stock were forfeited and 56,788 options to purchase shares of common stock expired.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nine-month period ended September 30, 2025, 2,811,345 RSUs were granted, 1,348,562 RSUs vested and 339,063 RSUs were forfeited. The fair value of the RSUs granted during the nine-month period ended September 30, 2025 was approximately $28.2 million, which will generally be recognized over a period of four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nine-month period ended September 30, 2025, 125,105 deferred stock units were granted, 208,143 vested and 11,174 were forfeited. The fair value of the deferred stock units granted during the nine-month period ended September 30, 2025 was approximately $1.2 million, which was recognized immediately.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nine-month period ended September 30, 2025, 86,243 shares of common stock were issued under the Employee Stock Purchase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our stock-based compensation expense by operating expense line in the Unaudited Condensed Consolidated Statements of Operations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8002"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46"/>
        <w:gridCol w:w="146"/>
        <w:gridCol w:w="211"/>
        <w:gridCol w:w="676"/>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Retirement Plans</w:t>
      </w:r>
      <w:r>
        <w:rPr>
          <w:rFonts w:ascii="Times New Roman" w:hAnsi="Times New Roman"/>
          <w:color w:val="000000"/>
          <w:sz w:val="20"/>
        </w:rPr>
        <w:t xml:space="preserve"> — We have a 401(k) plan for U.S.-based employees, as well as various defined contribution plans for international employees. Eligible U.S. employees may make tax-deferred contributions under the 401(k) plan, subject to Internal Revenue Service limitations. We match contributions towards the 401(k) plan and international defined contribution plans, subject to annual limitations. Our matching contributions were $1.0 million and $3.1 million, respectively, during the three- and nine-month periods ended September 30, 2025, and $0.6 million and $1.8 million, respectively, during the prior-year periods.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16. Leases</w:t>
      </w:r>
    </w:p>
    <w:p>
      <w:pPr>
        <w:pStyle w:val="TextBody"/>
        <w:bidi w:val="0"/>
        <w:jc w:val="left"/>
        <w:rPr>
          <w:rFonts w:ascii="Times New Roman" w:hAnsi="Times New Roman"/>
          <w:sz w:val="20"/>
        </w:rPr>
      </w:pPr>
      <w:r>
        <w:rPr>
          <w:rFonts w:ascii="Times New Roman" w:hAnsi="Times New Roman"/>
          <w:b/>
          <w:color w:val="000000"/>
          <w:sz w:val="20"/>
        </w:rPr>
        <w:t>Operating and Financing Leases —</w:t>
      </w:r>
      <w:r>
        <w:rPr>
          <w:rFonts w:ascii="Times New Roman" w:hAnsi="Times New Roman"/>
          <w:color w:val="000000"/>
          <w:sz w:val="20"/>
        </w:rPr>
        <w:t xml:space="preserve"> We determine whether a contract contains a lease at contract inception and calculate the lease liability and right-of-use asset using our incremental borrowing rate.</w:t>
      </w:r>
      <w:r>
        <w:rPr>
          <w:rFonts w:ascii="Times New Roman" w:hAnsi="Times New Roman"/>
          <w:color w:val="FF0000"/>
          <w:sz w:val="20"/>
        </w:rPr>
        <w:t xml:space="preserve"> </w:t>
      </w:r>
      <w:r>
        <w:rPr>
          <w:rFonts w:ascii="Times New Roman" w:hAnsi="Times New Roman"/>
          <w:color w:val="000000"/>
          <w:sz w:val="20"/>
        </w:rPr>
        <w:t>We have operating lease agreements primarily related to cell sites, data centers, satellites and office buildings. Our cell site leases generally have terms of five to ten years, with renewal options for an additional five to 25 years. For certain cell sites, the renewal options are deemed to be reasonably certain to be exercised. Our data center leases have original terms between one to four years with unlimited one-year renewal options, some of which are reasonably certain to be exercised. Our building leases have original terms of ten years, with renewal options for an additional five years. We recognize operating lease expense on a straight-line basis over the lease term. As of September 30, 2025, there were no significant leases which had not commenced.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our lease expense included in the Unaudited Condensed Consolidated Statements of Operations </w:t>
      </w:r>
      <w:r>
        <w:rPr>
          <w:rFonts w:ascii="Times New Roman" w:hAnsi="Times New Roman"/>
          <w:i/>
          <w:color w:val="000000"/>
          <w:sz w:val="20"/>
        </w:rPr>
        <w:t>(in thousands)</w:t>
      </w:r>
      <w:r>
        <w:rPr>
          <w:rFonts w:ascii="Times New Roman" w:hAnsi="Times New Roman"/>
          <w:color w:val="000000"/>
          <w:sz w:val="20"/>
        </w:rPr>
        <w:t>:</w:t>
      </w:r>
    </w:p>
    <w:tbl>
      <w:tblPr>
        <w:tblW w:w="7565" w:type="dxa"/>
        <w:jc w:val="left"/>
        <w:tblInd w:w="0" w:type="dxa"/>
        <w:tblLayout w:type="fixed"/>
        <w:tblCellMar>
          <w:top w:w="28" w:type="dxa"/>
          <w:left w:w="28" w:type="dxa"/>
          <w:bottom w:w="28" w:type="dxa"/>
          <w:right w:w="28" w:type="dxa"/>
        </w:tblCellMar>
      </w:tblPr>
      <w:tblGrid>
        <w:gridCol w:w="2676"/>
        <w:gridCol w:w="146"/>
        <w:gridCol w:w="226"/>
        <w:gridCol w:w="614"/>
        <w:gridCol w:w="157"/>
        <w:gridCol w:w="157"/>
        <w:gridCol w:w="226"/>
        <w:gridCol w:w="614"/>
        <w:gridCol w:w="146"/>
        <w:gridCol w:w="146"/>
        <w:gridCol w:w="211"/>
        <w:gridCol w:w="676"/>
        <w:gridCol w:w="146"/>
        <w:gridCol w:w="146"/>
        <w:gridCol w:w="211"/>
        <w:gridCol w:w="676"/>
        <w:gridCol w:w="3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cost</w:t>
            </w:r>
            <w:r>
              <w:rPr>
                <w:rFonts w:ascii="Times New Roman" w:hAnsi="Times New Roman"/>
                <w:i/>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leased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9,728</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Includes short-term and variable lease cost.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information regarding our leases is as follows </w:t>
      </w:r>
      <w:r>
        <w:rPr>
          <w:rFonts w:ascii="Times New Roman" w:hAnsi="Times New Roman"/>
          <w:i/>
          <w:color w:val="000000"/>
          <w:sz w:val="20"/>
        </w:rPr>
        <w:t>(in thousands, except lease terms and discount rates)</w:t>
      </w:r>
      <w:r>
        <w:rPr>
          <w:rFonts w:ascii="Times New Roman" w:hAnsi="Times New Roman"/>
          <w:color w:val="000000"/>
          <w:sz w:val="20"/>
        </w:rPr>
        <w:t>:</w:t>
      </w:r>
    </w:p>
    <w:tbl>
      <w:tblPr>
        <w:tblW w:w="8294" w:type="dxa"/>
        <w:jc w:val="left"/>
        <w:tblInd w:w="0" w:type="dxa"/>
        <w:tblLayout w:type="fixed"/>
        <w:tblCellMar>
          <w:top w:w="28" w:type="dxa"/>
          <w:left w:w="28" w:type="dxa"/>
          <w:bottom w:w="28" w:type="dxa"/>
          <w:right w:w="28" w:type="dxa"/>
        </w:tblCellMar>
      </w:tblPr>
      <w:tblGrid>
        <w:gridCol w:w="5566"/>
        <w:gridCol w:w="146"/>
        <w:gridCol w:w="211"/>
        <w:gridCol w:w="676"/>
        <w:gridCol w:w="271"/>
        <w:gridCol w:w="146"/>
        <w:gridCol w:w="211"/>
        <w:gridCol w:w="676"/>
        <w:gridCol w:w="3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used in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used in 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used in 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 obtained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leases obtained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 years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years</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Annual future minimum lease payments as of September 30, 2025 </w:t>
      </w:r>
      <w:r>
        <w:rPr>
          <w:rFonts w:ascii="Times New Roman" w:hAnsi="Times New Roman"/>
          <w:i/>
          <w:color w:val="000000"/>
          <w:sz w:val="20"/>
        </w:rPr>
        <w:t>(in thousands)</w:t>
      </w:r>
      <w:r>
        <w:rPr>
          <w:rFonts w:ascii="Times New Roman" w:hAnsi="Times New Roman"/>
          <w:color w:val="000000"/>
          <w:sz w:val="20"/>
        </w:rPr>
        <w:t>:</w:t>
      </w:r>
    </w:p>
    <w:tbl>
      <w:tblPr>
        <w:tblW w:w="6817" w:type="dxa"/>
        <w:jc w:val="left"/>
        <w:tblInd w:w="0" w:type="dxa"/>
        <w:tblLayout w:type="fixed"/>
        <w:tblCellMar>
          <w:top w:w="28" w:type="dxa"/>
          <w:left w:w="28" w:type="dxa"/>
          <w:bottom w:w="28" w:type="dxa"/>
          <w:right w:w="28" w:type="dxa"/>
        </w:tblCellMar>
      </w:tblPr>
      <w:tblGrid>
        <w:gridCol w:w="4011"/>
        <w:gridCol w:w="146"/>
        <w:gridCol w:w="217"/>
        <w:gridCol w:w="759"/>
        <w:gridCol w:w="166"/>
        <w:gridCol w:w="146"/>
        <w:gridCol w:w="320"/>
        <w:gridCol w:w="641"/>
        <w:gridCol w:w="41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Financing</w:t>
              <w:br/>
              <w:t>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(period from October 1 to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net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17. Commitments and Contingencies</w:t>
      </w:r>
    </w:p>
    <w:p>
      <w:pPr>
        <w:pStyle w:val="TextBody"/>
        <w:bidi w:val="0"/>
        <w:spacing w:before="120" w:after="283"/>
        <w:jc w:val="left"/>
        <w:rPr>
          <w:rFonts w:ascii="Times New Roman" w:hAnsi="Times New Roman"/>
          <w:sz w:val="20"/>
        </w:rPr>
      </w:pPr>
      <w:r>
        <w:rPr>
          <w:rFonts w:ascii="Times New Roman" w:hAnsi="Times New Roman"/>
          <w:b/>
          <w:color w:val="000000"/>
          <w:sz w:val="20"/>
        </w:rPr>
        <w:t>Contractual Commitments</w:t>
      </w:r>
      <w:r>
        <w:rPr>
          <w:rFonts w:ascii="Times New Roman" w:hAnsi="Times New Roman"/>
          <w:color w:val="000000"/>
          <w:sz w:val="20"/>
        </w:rPr>
        <w:t xml:space="preserve"> – We have agreements with various vendors under which we have remaining commitments to purchase hardware components and development services. Such commitments will become payable as we receive the hardware components, or as development services are provided.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17, 2024, Airspan Networks Holdings Inc. (“Airspan”) filed a plan supplement to its Joint Prepackaged Chapter 11 Plan of Reorganization, Case No. 24-10621 (the “Plan”), whereby the Company and Fortress Credit Corp. (“Fortress”) agreed in principle to each provide fifty percent (50%) of a new first lien revolving facility in an aggregate committed principal amount of $20.0 million (the “New Revolving Credit Facility”). Over the course of the first seven months of 2025, Airspan borrowed the full amount of the New Revolving Credit Facility, of which $10 million was the Company’s obligation. In August 2025, the Company, Airspan and Fortress agreed to amend the New Revolving Credit Facility to remove the Company as a lender under that agreement and the outstanding amount of $10.0 million was repaid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accrued a contingent liability of $5.3 million and $5.0 million, respectively, in Accrued liabilities in the Unaudited Condensed Consolidated Balance Sheets as of September 30, 2025 and December 31, 2024 for state and local taxes in a variety of jurisdictions for periods between 2010 and 2023 related to Satcom Direct’s pre-acquisition business activities. While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believes that the reserve represents the best current estimate of any potential liability in state and local taxes, there can be no assurance that the outcome of discussions with any state taxing authority will not result in the payment of state sales taxes for prior periods, or that the amount of any such payments will not be materially different than the liability currently recorded. Pursuant to the terms of the Purchase Agreement, as of September 30, 2025 and December 31, 2024 the Company has accrued a $5.3 million and $5.0 million, respectively, indemnification receivable in Prepaid expenses and other current assets in the Unaudited Condensed Consolidated Balance Sheets. See Note 2, “Acquisition of Satcom Direct,” for further information on the Purchase Agreement.</w:t>
      </w:r>
    </w:p>
    <w:p>
      <w:pPr>
        <w:pStyle w:val="TextBody"/>
        <w:bidi w:val="0"/>
        <w:spacing w:before="120" w:after="283"/>
        <w:jc w:val="left"/>
        <w:rPr>
          <w:rFonts w:ascii="Times New Roman" w:hAnsi="Times New Roman"/>
          <w:sz w:val="20"/>
        </w:rPr>
      </w:pPr>
      <w:r>
        <w:rPr>
          <w:rFonts w:ascii="Times New Roman" w:hAnsi="Times New Roman"/>
          <w:b/>
          <w:color w:val="000000"/>
          <w:sz w:val="20"/>
        </w:rPr>
        <w:t>SmartSky Litigation</w:t>
      </w:r>
      <w:r>
        <w:rPr>
          <w:rFonts w:ascii="Times New Roman" w:hAnsi="Times New Roman"/>
          <w:color w:val="000000"/>
          <w:sz w:val="20"/>
        </w:rPr>
        <w:t xml:space="preserve"> – On February 28, 2022, SmartSky Networks, LLC (“SmartSky”) brought suit against Gogo Inc. and its subsidiary Gogo Business Aviation LLC in the U.S. District Court for the District of Delaware (the “Court”) alleging that Gogo 5G infringes four patents owned by the plaintiff. On February 21, 2023, the plaintiff amended its complaint to allege that Gogo 5G infringes two additional patents recently issued to the plaintiff. The suit seeks compensatory damages as well as treble damages for alleged willful infringement and reimbursement of plaintiff's costs, disbursements and attorneys' fees. On May 29, 2024, Gogo Inc. and its subsidiary Gogo Business Aviation LLC amended their answer and counterclaims in the same suit, alleging that three of the six patents asserted by SmartSky are unenforceable due to inequitable conduct before the U.S. Patent Office. A trial date has been scheduled for November 17, 2025. Claim construction proceedings, fact discovery and expert discovery are completed. A number of dispositive motions were filed on October 25, 2024, and Orders have been issued resolving those motions. SmartSky’s motions were denied. Gogo’s motion for summary judgment of invalidity on one of SmartSky’s asserted patents was granted. The Court has also granted Gogo’s motion for summary judgment of no lost profits and Gogo’s motion to exclude SmartSky’s damages expert’s opinions on lost profits and reasonable royalty damages. We continue to vigorously defend our position in the infringement suit. The outcome of the underlying litigation is inherently uncertain. No amounts have been accrued for any potential losses under this matter, as we cannot reasonably predict the outcome of the litigation or any potential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5, 2024, Gogo Inc. and its subsidiary Gogo Business Aviation LLC filed counterclaims in the same suit, alleging that SmartSky’s ATG network, Flagship equipment, and LITE ATG equipment infringe three patents owned by Gogo. Gogo’s counterclaim suit seeks an unspecified amount of compensatory damages as well as reimbursement of Gogo's costs and attorneys' fees. On April 10, 2024, the Court held that Gogo's counterclaims would proceed under a separate schedule and would be tried separately from SmartSky's claims. The court entered a scheduling order for Gogo’s counterclaims on January 14, 2025 with a trial date of March 8,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2024, SmartSky sued Gogo Inc. and its subsidiaries alleging that Gogo maintains an illegal monopoly over air-to-ground broadband inflight connectivity products and services and has blocked SmartSky from entering the market in violation of antitrust laws. SmartSky also alleges claims of false advertising, unfair and deceptive trade practices, and tortious interference. The suit seeks actual damages, treble damages, punitive damages, disgorgement of profits, reimbursement of plaintiff's costs, attorneys' fees, pre- and post-judgment interest, and interest on actual damages. On March 14, 2025, Gogo Inc. and its subsidiary Gogo Business Aviation LLC filed a motion to dismiss for failure to state a claim. We will vigorously defend our position in this lawsuit. The outcome of the litigation is inherently uncertain. No amounts have been accrued for any potential losses under this matter, as we cannot reasonably predict the outcome of the litigation or any potential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cannot predict with certainty the outcome of any litigation or the potential for future litigation. With respect to such legal proceedings, we accrue a loss when it is probable and its amount can be reasonably estimated.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18. Accumulated Other Comprehensive Income (Loss)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changes in accumulated other comprehensive income (loss) by component </w:t>
      </w:r>
      <w:r>
        <w:rPr>
          <w:rFonts w:ascii="Times New Roman" w:hAnsi="Times New Roman"/>
          <w:i/>
          <w:color w:val="000000"/>
          <w:sz w:val="20"/>
        </w:rPr>
        <w:t>(in thousands):</w:t>
      </w:r>
    </w:p>
    <w:p>
      <w:pPr>
        <w:pStyle w:val="TextBody"/>
        <w:bidi w:val="0"/>
        <w:jc w:val="left"/>
        <w:rPr/>
      </w:pPr>
      <w:r>
        <w:rPr/>
        <w:t> </w:t>
      </w:r>
    </w:p>
    <w:tbl>
      <w:tblPr>
        <w:tblW w:w="9105" w:type="dxa"/>
        <w:jc w:val="left"/>
        <w:tblInd w:w="0" w:type="dxa"/>
        <w:tblLayout w:type="fixed"/>
        <w:tblCellMar>
          <w:top w:w="28" w:type="dxa"/>
          <w:left w:w="28" w:type="dxa"/>
          <w:bottom w:w="28" w:type="dxa"/>
          <w:right w:w="28" w:type="dxa"/>
        </w:tblCellMar>
      </w:tblPr>
      <w:tblGrid>
        <w:gridCol w:w="5076"/>
        <w:gridCol w:w="146"/>
        <w:gridCol w:w="237"/>
        <w:gridCol w:w="709"/>
        <w:gridCol w:w="166"/>
        <w:gridCol w:w="146"/>
        <w:gridCol w:w="270"/>
        <w:gridCol w:w="810"/>
        <w:gridCol w:w="166"/>
        <w:gridCol w:w="146"/>
        <w:gridCol w:w="211"/>
        <w:gridCol w:w="631"/>
        <w:gridCol w:w="391"/>
      </w:tblGrid>
      <w:tr>
        <w:trPr/>
        <w:tc>
          <w:tcPr>
            <w:tcW w:w="5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income realized and reclassified to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jc w:val="left"/>
        <w:rPr/>
      </w:pPr>
      <w:r>
        <w:rPr/>
        <w:t> </w:t>
      </w:r>
    </w:p>
    <w:tbl>
      <w:tblPr>
        <w:tblW w:w="9210" w:type="dxa"/>
        <w:jc w:val="left"/>
        <w:tblInd w:w="0" w:type="dxa"/>
        <w:tblLayout w:type="fixed"/>
        <w:tblCellMar>
          <w:top w:w="28" w:type="dxa"/>
          <w:left w:w="28" w:type="dxa"/>
          <w:bottom w:w="28" w:type="dxa"/>
          <w:right w:w="28" w:type="dxa"/>
        </w:tblCellMar>
      </w:tblPr>
      <w:tblGrid>
        <w:gridCol w:w="5076"/>
        <w:gridCol w:w="146"/>
        <w:gridCol w:w="237"/>
        <w:gridCol w:w="709"/>
        <w:gridCol w:w="166"/>
        <w:gridCol w:w="146"/>
        <w:gridCol w:w="240"/>
        <w:gridCol w:w="840"/>
        <w:gridCol w:w="166"/>
        <w:gridCol w:w="146"/>
        <w:gridCol w:w="211"/>
        <w:gridCol w:w="736"/>
        <w:gridCol w:w="391"/>
      </w:tblGrid>
      <w:tr>
        <w:trPr/>
        <w:tc>
          <w:tcPr>
            <w:tcW w:w="5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income realized and reclassified to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statements in this Quarterly Report on Form 10-Q may constitute “forward-looking” statements within the meaning of the Private Securities Litigation Reform Act of 1995. These forward-looking statements include, without limitation, statements regarding our industry, business strategy, acquisitions,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generate revenue from the provision of our connectivity and other service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development and fixed-price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our key OEMs and dealers for equipment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dependence on single-source, third party satellite network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high-quality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for equipment components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participation in U.S. government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participation in non-U.S. government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finite useful life of satellites;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global supply chain and logistics issues, tariffs and inflationary trends;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expansion of our business outside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risk;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train and retain highly skilled employees, and the loss of any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pandemics or other outbreaks of contagious diseases, and the measures implemented to combat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adverse economic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fully utilize portions of our deferred tax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attention to climate change, conservation measures and other ESG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evaluate or pursue strategic opportunities;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integrate Satcom Direct’s business, and the potential failure to realize or delay in realizing all of the anticipated benefits of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changes in executive management that occurred as part of the acquisition of Satcom Direct;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and deploy Gogo 5G, Gogo Galileo or other next generation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rights to use our licensed 4MHz of ATG spectrum in the United States and obtain rights to additional spectrum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service interruptions or delays, cyberattacks, technology failures, equipment damage or system disruptions or failures;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assertions by third parties of infringement, misappropriation or other violations;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innovate and provide products and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the use of artificial intelligence in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use of open-source software;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equipment failure or material defects or errors in our software;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applicable foreign ownership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regulation of communication networks, and the internet (including the ongoing government shutdown);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possession and use of personal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participation in the Federal Communications Commission (“FCC”) Secure and Trusted Communications Networks Reimbursement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anti-bribery, anti-corruption, anti-money laundering and export control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expenses, liabilities or business disruptions resulting from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global climate change and legal, regulatory or market responses to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distribution of income among various jurisdictions in which we operate as well as changes in tax law or regulation on our U.S. and non-U.S. tax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changes in laws and regulations on U.S. government 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substantial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restrictions and limitations in the agreements governing our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fully utilize our tax losses;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factors listed under “Risk Factors” in the 2024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one of these factors or a combination of these factors could materially affect our financial condition or future results of operations and could influence whether any forward-looking statements contained in this Quarterly Report on Form 10-Q ultimately prove to be accurate. Our forward-looking statements are not guarantees of future performance, and you should not place undue reliance on them. All forward-looking statements speak only as of the date made and unless required by law we undertake no obligation to update or revise publicly any forward-looking statements, whether as a result of new information, future events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Quarterly Report on Form 10-Q, refer to Gogo Inc. and its directly and indirectly owned subsidiaries as a combined entity, except where otherwise stated or where it is clear that the terms refer only to Gogo Inc. exclusive of its subsidiaries.</w:t>
      </w:r>
    </w:p>
    <w:p>
      <w:pPr>
        <w:pStyle w:val="TextBody"/>
        <w:bidi w:val="0"/>
        <w:spacing w:before="120" w:after="283"/>
        <w:jc w:val="left"/>
        <w:rPr>
          <w:rFonts w:ascii="Times New Roman" w:hAnsi="Times New Roman"/>
          <w:sz w:val="20"/>
        </w:rPr>
      </w:pPr>
      <w:r>
        <w:rPr>
          <w:rFonts w:ascii="Times New Roman" w:hAnsi="Times New Roman"/>
          <w:i/>
          <w:color w:val="000000"/>
          <w:sz w:val="20"/>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2024 10-K. Our actual results may differ materially from those contained in or implied by any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Our fiscal year ends December 31 and, unless otherwise noted, references to “years” or “fiscal” are for fiscal years ended December 31. See “</w:t>
      </w:r>
      <w:r>
        <w:rPr>
          <w:rFonts w:ascii="Times New Roman" w:hAnsi="Times New Roman"/>
          <w:color w:val="000000"/>
          <w:sz w:val="20"/>
        </w:rPr>
        <w:t xml:space="preserve">— </w:t>
      </w:r>
      <w:r>
        <w:rPr>
          <w:rFonts w:ascii="Times New Roman" w:hAnsi="Times New Roman"/>
          <w:i/>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acquisition of Satcom Direct, as described in Note 2, “Acquisition of Satcom Direct,” created a combined organization which currently is the only multi-orbit, multi-band in-flight connectivity provider offering connectivity technology purpose-built for business and military/government aviation. The transaction united two industry-leading brands, creating a product portfolio that offers best-in-class solutions for small to large aircraft and heavy jets. As a combined organization, the Company has a holistic approach of providing broadband connectivity services to its customers through Gogo’s air-to-ground (“ATG”) technology and access to multiple satellite constellations aiming to deliver consistent, global tip-to-tail connectivity with a suite of software, hardware, and advanced infrastructure supported by a 24/7/365 customer support team.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 in Reportable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Company’s acquisition of Satcom Direct, the Company initially had two reportable segments on December 3, 2024: the legacy pre-acquisition operations of the Company and the acquired entities of Satcom Direct. However, during the third quarter of 2025, the Company’s chief operating decision maker (“CODM”), who is the Chief Executive Officer, started making resource and operating decisions by evaluating the performance and business results of the consolidated company. As such, the Company has a single reportable segment as of September 30, 2025.</w:t>
      </w:r>
    </w:p>
    <w:p>
      <w:pPr>
        <w:pStyle w:val="TextBody"/>
        <w:bidi w:val="0"/>
        <w:spacing w:before="240" w:after="283"/>
        <w:jc w:val="both"/>
        <w:rPr>
          <w:rFonts w:ascii="Times New Roman" w:hAnsi="Times New Roman"/>
          <w:sz w:val="20"/>
        </w:rPr>
      </w:pPr>
      <w:r>
        <w:rPr>
          <w:rFonts w:ascii="Times New Roman" w:hAnsi="Times New Roman"/>
          <w:b/>
          <w:color w:val="000000"/>
          <w:sz w:val="20"/>
        </w:rPr>
        <w:t>Factors and Trends Affecting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operating and business performance is driven by various factors that affect the business and military/government aviation industries,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the implementation of, and our ability to implement on a timely basis, our technology roadmap, including upgrades to and installation of the ATG Broadband technologies we currently offer, Gogo 5G, Gogo Galileo, LTE and any other next generation or other new technology that we develop or acquire;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issues and related costs that may arise in connection with the implementation of our technology roadmap, including technological issues and related remediation efforts and failures or delays on the part of antenna, chipset, and other equipment developers and providers or satellite network providers, some of which are single-source;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license additional spectrum and make other improvements to our ATG network and operations as technology and user expectations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aircraft in service in our markets, including consolidations or changes in fleet size by one or more of our large-fleet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environment and other trends that affect both business and leisure aviation travel;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supply chains in the aviation industry and installations of our equipment driven by, among other things, labor shortages;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engage suppliers of equipment components and network services on a timely basis and on commercially reasonable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fully utilize portions of our deferred income tax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regulations, policies and interpretations affecting our business, the business of our customers and suppliers globally, including changes that impact the design of our equipment and our ability to obtain required certifications for our equipment and services, and telecommunications services globally, including those affecting our ability to maintain our licenses for ATG spectrum in the United States, obtain sufficient rights to use additional ATG spectrum and/or other sources of broadband connectivity to deliver our services, including Gogo Galileo, expand our service offerings and manage our network;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enactment of and proposals for trade protection measures by the United States as well as other countries (including United States “reciprocal” tariffs that were announced at the end of July 2025), including increases or changes in tariffs and trade barriers, changes in government policies and international trade arrangements, geopolitical volatility, and global macroeconomic conditions, or uncertainty regarding the impact of proposed or future trade protection measures, may affect our results of operations in some markets.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Key Operating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64"/>
        <w:gridCol w:w="146"/>
        <w:gridCol w:w="211"/>
        <w:gridCol w:w="571"/>
        <w:gridCol w:w="146"/>
        <w:gridCol w:w="146"/>
        <w:gridCol w:w="211"/>
        <w:gridCol w:w="571"/>
        <w:gridCol w:w="146"/>
        <w:gridCol w:w="146"/>
        <w:gridCol w:w="211"/>
        <w:gridCol w:w="571"/>
        <w:gridCol w:w="146"/>
        <w:gridCol w:w="146"/>
        <w:gridCol w:w="211"/>
        <w:gridCol w:w="571"/>
        <w:gridCol w:w="591"/>
      </w:tblGrid>
      <w:tr>
        <w:trPr/>
        <w:tc>
          <w:tcPr>
            <w:tcW w:w="5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Aircraft online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ATG AVANCE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Gogo Biz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aircraft online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monthly connectivity service revenue per ATG aircraft online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ATG units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color w:val="000000"/>
        </w:rPr>
      </w:pPr>
      <w:r>
        <w:rPr>
          <w:color w:val="000000"/>
        </w:rPr>
        <w:t>•</w:t>
      </w:r>
    </w:p>
    <w:p>
      <w:pPr>
        <w:pStyle w:val="TextBody"/>
        <w:bidi w:val="0"/>
        <w:spacing w:before="40" w:after="283"/>
        <w:jc w:val="left"/>
        <w:rPr/>
      </w:pPr>
      <w:r>
        <w:rPr>
          <w:rFonts w:ascii="Times New Roman" w:hAnsi="Times New Roman"/>
          <w:i/>
          <w:color w:val="000000"/>
          <w:sz w:val="20"/>
        </w:rPr>
        <w:t xml:space="preserve">AVANCE aircraft online. </w:t>
      </w:r>
      <w:r>
        <w:rPr>
          <w:rFonts w:ascii="Times New Roman" w:hAnsi="Times New Roman"/>
          <w:color w:val="000000"/>
          <w:sz w:val="20"/>
        </w:rPr>
        <w:t xml:space="preserve">We define AVANCE aircraft online as the total number of business aircraft equipped with our AVANCE L5 or L3 system for which we provide ATG services in the last month of the period presented.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Gogo Biz aircraft online. </w:t>
      </w:r>
      <w:r>
        <w:rPr>
          <w:rFonts w:ascii="Times New Roman" w:hAnsi="Times New Roman"/>
          <w:color w:val="000000"/>
          <w:sz w:val="20"/>
        </w:rPr>
        <w:t>We define Gogo Biz aircraft online as the total number of business aircraft not equipped with our AVANCE L5 or L3 system for which we provide ATG services in the last month of the period presented. This number excludes commercial aircraft operated by Intelsat’s airline customers receiving ATG service.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GEO aircraft online</w:t>
      </w:r>
      <w:r>
        <w:rPr>
          <w:rFonts w:ascii="Times New Roman" w:hAnsi="Times New Roman"/>
          <w:color w:val="000000"/>
          <w:sz w:val="20"/>
        </w:rPr>
        <w:t>. We define GEO aircraft online as the total number of aircraft for which we provide GEO broadband services to business aviation customers as of the last day of each period presented. This number excludes aircraft receiving services through GEO satellite networks that are end-of-life and military/government GEO aircraft online.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Average monthly connectivity service revenue per ATG aircraft online (“ARPU”). </w:t>
      </w:r>
      <w:r>
        <w:rPr>
          <w:rFonts w:ascii="Times New Roman" w:hAnsi="Times New Roman"/>
          <w:color w:val="000000"/>
          <w:sz w:val="20"/>
        </w:rPr>
        <w:t>We define ARPU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Intelsat is excluded from this calculation.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ATG units sold</w:t>
      </w:r>
      <w:r>
        <w:rPr>
          <w:rFonts w:ascii="Times New Roman" w:hAnsi="Times New Roman"/>
          <w:color w:val="000000"/>
          <w:sz w:val="20"/>
        </w:rPr>
        <w:t>. We define units sold as the number of ATG units for which we recognized revenue during the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Components of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key components of Unaudited Condensed Consolidated Statements of Operations as described in “Management’s Discussion and Analysis of Financial Condition and Results of Operations” (“MD&amp;A”) in our 2024 10-K.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assumptions and estimates associated with the fair value of service customer relationships and software acquired in the acquisition of Satcom Direct have the greatest potential impact on and are the most critical to fully understanding and evaluating our reported financial results, and that they require our most difficult, subjective or complex judgments.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estimates described in the MD&amp;A in our 2024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 “Basis of Presentation,” to our Unaudited Condensed Consolidated Financials Statements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sz w:val="20"/>
        </w:rPr>
      </w:pPr>
      <w:r>
        <w:rPr>
          <w:rFonts w:ascii="Times New Roman" w:hAnsi="Times New Roman"/>
          <w:b/>
          <w:color w:val="000000"/>
          <w:sz w:val="20"/>
        </w:rPr>
        <w:t>Unaudited 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revenue (exclusive of amounts shown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equipment revenue (exclusive of amounts shown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Three and Nine Months Ended September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discussion of changes in the results in operations for the three- and nine-month periods ended September 30, 2025 and 2024. The acquisition of Satcom Direct was completed in the fourth quarter of 2024 and as a result, there is no meaningful prior period comparison point.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Revenue and percent change for the three- and nine-month periods ended September 30, 2025 and 2024 were as follows </w:t>
      </w:r>
      <w:r>
        <w:rPr>
          <w:rFonts w:ascii="Times New Roman" w:hAnsi="Times New Roman"/>
          <w:i/>
          <w:color w:val="000000"/>
          <w:sz w:val="20"/>
        </w:rPr>
        <w:t>(in thousands, except for percent change)</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5"/>
        <w:gridCol w:w="146"/>
        <w:gridCol w:w="211"/>
        <w:gridCol w:w="781"/>
        <w:gridCol w:w="146"/>
        <w:gridCol w:w="146"/>
        <w:gridCol w:w="211"/>
        <w:gridCol w:w="781"/>
        <w:gridCol w:w="146"/>
        <w:gridCol w:w="146"/>
        <w:gridCol w:w="252"/>
        <w:gridCol w:w="989"/>
        <w:gridCol w:w="271"/>
        <w:gridCol w:w="146"/>
        <w:gridCol w:w="211"/>
        <w:gridCol w:w="781"/>
        <w:gridCol w:w="146"/>
        <w:gridCol w:w="146"/>
        <w:gridCol w:w="211"/>
        <w:gridCol w:w="781"/>
        <w:gridCol w:w="146"/>
        <w:gridCol w:w="146"/>
        <w:gridCol w:w="252"/>
        <w:gridCol w:w="989"/>
        <w:gridCol w:w="319"/>
      </w:tblGrid>
      <w:tr>
        <w:trPr/>
        <w:tc>
          <w:tcPr>
            <w:tcW w:w="1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7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over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over 2024</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increased to $223.6 million and $679.9 million, respectively, for the three- and nine-month periods ended September 30, 2025, as compared with $100.5 million and $306.9 million, respectively, for the prior-year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revenue increased to $190.0 million and $582.5 million, respectively, for the three- and nine-month periods ended September 30, 2025, as compared with $81.9 million and $245.5 million, respectively, for the prior-year periods due to the current-year periods including service revenue earned as a result of the acquisition of Satcom Direct.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Equipment revenue increased to $33.6 million and $97.4 million, respectively, for the three- and nine-month periods ended September 30, 2025, as compared with $18.7 million and $61.5 million, respectively, for the prior-year periods due to the current-year periods including equipment revenue earned as a result of the acquisition of Satcom Direct.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service revenue to decline in the near term as a result of the expected decline in ATG services sold and increase in the future as additional aircraft come online after the launch of Gogo 5G and Gogo Galileo. We expect equipment revenue to increase in the future driven by growth in sales of Gogo 5G and Gogo Galileo units.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Cost of revenue and percent change for the three- and nine-month periods ended September 30, 2025 and 2024 were as follows </w:t>
      </w:r>
      <w:r>
        <w:rPr>
          <w:rFonts w:ascii="Times New Roman" w:hAnsi="Times New Roman"/>
          <w:i/>
          <w:color w:val="000000"/>
          <w:sz w:val="20"/>
        </w:rPr>
        <w:t>(in thousands, except for percent change)</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2"/>
        <w:gridCol w:w="146"/>
        <w:gridCol w:w="211"/>
        <w:gridCol w:w="676"/>
        <w:gridCol w:w="146"/>
        <w:gridCol w:w="146"/>
        <w:gridCol w:w="211"/>
        <w:gridCol w:w="676"/>
        <w:gridCol w:w="146"/>
        <w:gridCol w:w="146"/>
        <w:gridCol w:w="242"/>
        <w:gridCol w:w="949"/>
        <w:gridCol w:w="271"/>
        <w:gridCol w:w="146"/>
        <w:gridCol w:w="211"/>
        <w:gridCol w:w="781"/>
        <w:gridCol w:w="146"/>
        <w:gridCol w:w="146"/>
        <w:gridCol w:w="211"/>
        <w:gridCol w:w="676"/>
        <w:gridCol w:w="146"/>
        <w:gridCol w:w="146"/>
        <w:gridCol w:w="242"/>
        <w:gridCol w:w="949"/>
        <w:gridCol w:w="317"/>
      </w:tblGrid>
      <w:tr>
        <w:trPr/>
        <w:tc>
          <w:tcPr>
            <w:tcW w:w="2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over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over 2024</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service revenue increased 380.8% and 396.5% to $91.6 million and $277.0 million, respectively, for the three- and nine-month periods ended September 30, 2025, as compared with $19.1 million and $55.8 million for the prior-year periods due to the current-year periods including cost of service revenue as a result of the acquisition of Satcom Direct.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equipment revenue increased 104.6% and 85.8% to $31.0 million and $88.0 million, respectively, for the three-month period ended September 30, 2025, as compared with $15.2 million and $47.4 million, respectively, for the prior-year periods due to the current-year periods including cost of equipment revenue as a result of the acquisition of Satcom Direct.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cost of equipment revenue will increase with growth in units sold, including Gogo 5G and Gogo Galileo units, following the launch of those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Engineering, Design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Engineering, design and development expenses increased 60.7% and 43.7% to $15.7 million and $42.1 million, respectively, for the three- and nine-month periods ended September 30, 2025, as compared with $9.8 million and $29.3 million, respectively, for the prior-year periods as a result of the acquisition of Satcom Direct.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engineering, design and development expenses as a percentage of service revenue to decrease, driven by Gogo Galileo development costs and Gogo 5G program spend nearing completion.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increased 57.5% and 64.0% to $13.5 million and $42.4 million, respectively, for the three- and nine-month periods ended September 30, 2025, as compared with $8.6 million and $25.9 million, respectively, for the prior-year periods as a result of the acquisition of Satcom Direct.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sales and marketing expenses as a percentage of service revenue to increase in the near term and remain relatively steady in the long term after the launch and market adoption of the Gogo 5G and Gogo Galileo offerings.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11.8% and 40.0% to $27.9 million and $86.0 million, respectively, for the three- and nine-month periods ended September 30, 2025, as compared with $24.9 million and $61.4 million, respectively, for the prior-year periods. The increase for the three-month period is due to the acquisition of Satcom Direct. The increase for the nine-month period is due to the acquisition of Satcom Direct of $14.8 million and an increase in personnel costs of $10.8 million, partially offset by a decrease in legal fees of $6.2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general and administrative expenses as a percentage of service revenue to decrease over time as acquisition and integration activities complete.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increased 278.9% and 278.7% to $15.2 million and $44.5 million, respectively, for the three- and nine-month periods ended September 30, 2025, as compared with $4.0 million and $11.7 million, respectively, for the prior-year periods due to amortization expense related to intangible assets obtained in the acquisition of Satcom Direct.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our depreciation and amortization expense will increase in the future as we launch our Gogo 5G network.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(Income):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expense (income) and percent change for the three- and nine-month periods ended September 30, 2025 and 2024 were as follows </w:t>
      </w:r>
      <w:r>
        <w:rPr>
          <w:rFonts w:ascii="Times New Roman" w:hAnsi="Times New Roman"/>
          <w:i/>
          <w:color w:val="000000"/>
          <w:sz w:val="20"/>
        </w:rPr>
        <w:t>(in thousands, except for percent change)</w:t>
      </w:r>
      <w:r>
        <w:rPr>
          <w:rFonts w:ascii="Times New Roman" w:hAnsi="Times New Roman"/>
          <w:color w:val="000000"/>
          <w:sz w:val="20"/>
        </w:rPr>
        <w:t>:</w:t>
      </w:r>
    </w:p>
    <w:tbl>
      <w:tblPr>
        <w:tblW w:w="9611" w:type="dxa"/>
        <w:jc w:val="left"/>
        <w:tblInd w:w="0" w:type="dxa"/>
        <w:tblLayout w:type="fixed"/>
        <w:tblCellMar>
          <w:top w:w="28" w:type="dxa"/>
          <w:left w:w="28" w:type="dxa"/>
          <w:bottom w:w="28" w:type="dxa"/>
          <w:right w:w="28" w:type="dxa"/>
        </w:tblCellMar>
      </w:tblPr>
      <w:tblGrid>
        <w:gridCol w:w="5446"/>
        <w:gridCol w:w="146"/>
        <w:gridCol w:w="211"/>
        <w:gridCol w:w="676"/>
        <w:gridCol w:w="166"/>
        <w:gridCol w:w="146"/>
        <w:gridCol w:w="211"/>
        <w:gridCol w:w="676"/>
        <w:gridCol w:w="166"/>
        <w:gridCol w:w="146"/>
        <w:gridCol w:w="253"/>
        <w:gridCol w:w="992"/>
        <w:gridCol w:w="376"/>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over 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over 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Percentage changes that are considered not meaningful are denoted with 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expense increased to $29.3 million for the three-month period ended September 30, 2025 as compared with $6.9 million for the prior-year period due to interest expense on the HPS Term Loan Facility, change in fair value of the earnout liability from the Satcom Direct acquisition and litigation settlement expense, partially offset by the reversal of an expected credit loss reserve and change in fair value of the convertible note investment. Total other expense increased to $64.5 million for the nine-month period ended September 30, 2025 as compared with $20.9 million for the prior-year period due to increased interest expense on the HPS Term Loan Facility, the change in fair value of the earnout liability, and litigation settlement expense, partially offset by the reversal of an expected credit loss reserve and change in fair value of the convertible note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the change in fair value of the earnout liability to fluctuate in the future depending on performance of the Satcom Direct business. We expect our interest expense to fluctuate in the future based on changes in the variable rates associated with our indebtedness. The benefit we receive from our interest rate caps will decrease over time as our hedge notional amount decreases and the strike rate increases. See Note 8, “Long-Term Debt and Other Liabilities,” to our Unaudited Condensed Consolidated Financial Statements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income tax rate for the three- and nine-month periods ended September 30, 2025 was (242.8)% and 35.3%, respectively, as compared with 12.5% and 23.1%, respectively, for the prior-year periods. For the three- and nine-month periods ended September 30, 2025, our income tax provision was $1.4 million and $12.5 million, respectively, due to consolidated pre-tax income. For the three- and nine-month periods ended September 30, 2024, our income tax provision was $1.5 million and $12.6 million, respectively, due to consolidated pre-tax income. See Note 14, “Income Tax,” to our Unaudited Condensed Consolidated Financial Statements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income tax provision to increase in the long term as we continue to generate positive pre-tax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discussion below, we discuss EBITDA, Adjusted EBITDA and Free Cash Flow, as defined below, which are non-GAAP financial measures. Management uses EBITDA,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EBITDA, Adjusted EBITDA and Free Cash Flow are not recognized measurements under GAAP; when analyzing our performance with EBITDA or Adjusted EBITDA or liquidity with Free Cash Flow, as applicable, investors should (i) evaluate each adjustment in our reconciliation to the corresponding GAAP measure, and the explanatory footnotes regarding those adjustments, (ii) use EBITDA or Adjusted EBITDA in addition to, and not as an alternative to, net income attributable to common stock as a measure of operating results and (iii) use Free Cash Flow in addition to, and not as an alternative to, consolidated net cash provided by operating activities when evaluating our liquidity.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Definition and Reconciliation of Non-GAAP Measures</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EBITDA</w:t>
      </w:r>
      <w:r>
        <w:rPr>
          <w:rFonts w:ascii="Times New Roman" w:hAnsi="Times New Roman"/>
          <w:color w:val="000000"/>
          <w:sz w:val="20"/>
        </w:rPr>
        <w:t xml:space="preserve"> represents net income attributable to common stock before interest expense, interest income, income taxes and depreciation and amortization expense.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Adjusted EBITDA</w:t>
      </w:r>
      <w:r>
        <w:rPr>
          <w:rFonts w:ascii="Times New Roman" w:hAnsi="Times New Roman"/>
          <w:color w:val="000000"/>
          <w:sz w:val="20"/>
        </w:rPr>
        <w:t xml:space="preserve"> represents EBITDA adjusted for (i) stock-based compensation expense, (ii) acquisition and integration-related costs, including amortization of acquisition-related inventory step-up costs and changes in fair value of the earnout liability, (iii) litigation settlement costs, and (iv) change in fair value of convertible note investment.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and integration-related costs include direct transaction costs, such as due diligence and advisory fees and certain compensation and integration-related expenses as well as the amortization of acquisition-related inventory step-up costs. We believe it is useful for an understanding of our operating performance to exclude acquisition and integration-related costs from Adjusted EBITDA because they are infrequent, are outside of the ordinary course of our operations and do not reflect our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it is useful for an understanding of our operating performance to exclude the changes in fair value of the earnout liability related to the acquisition of Satcom Direct from Adjusted EBITDA because this activity is outside of the ordinary course of our operations and does not reflect our operating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it is useful for an understanding of our operating performance to exclude litigation settlement costs from Adjusted EBITDA because this activity is outside of the ordinary course of our operations and does not reflect our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it is useful for an understanding of our operating performance to exclude the change in fair value of convertible note investment from Adjusted EBITDA because this activity is not related to our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Free Cash Flow</w:t>
      </w:r>
      <w:r>
        <w:rPr>
          <w:rFonts w:ascii="Times New Roman" w:hAnsi="Times New Roman"/>
          <w:color w:val="000000"/>
          <w:sz w:val="20"/>
        </w:rPr>
        <w:t xml:space="preserve"> represents net cash provided by operating activities, plus the proceeds received from the FCC Reimbursement Program and the interest rate caps, less purchases of property and equipment and the acquisition of intangible assets. We believe that Free Cash Flow provides meaningful information regarding our liquidity.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of making capital allocation decisions.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to Non-GAAP Measures</w:t>
      </w:r>
    </w:p>
    <w:p>
      <w:pPr>
        <w:pStyle w:val="TextBody"/>
        <w:bidi w:val="0"/>
        <w:jc w:val="center"/>
        <w:rPr>
          <w:rFonts w:ascii="Times New Roman" w:hAnsi="Times New Roman"/>
          <w:i/>
          <w:color w:val="000000"/>
          <w:sz w:val="20"/>
        </w:rPr>
      </w:pPr>
      <w:r>
        <w:rPr>
          <w:rFonts w:ascii="Times New Roman" w:hAnsi="Times New Roman"/>
          <w:i/>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4694"/>
        <w:gridCol w:w="146"/>
        <w:gridCol w:w="211"/>
        <w:gridCol w:w="736"/>
        <w:gridCol w:w="166"/>
        <w:gridCol w:w="146"/>
        <w:gridCol w:w="211"/>
        <w:gridCol w:w="676"/>
        <w:gridCol w:w="166"/>
        <w:gridCol w:w="146"/>
        <w:gridCol w:w="211"/>
        <w:gridCol w:w="781"/>
        <w:gridCol w:w="166"/>
        <w:gridCol w:w="146"/>
        <w:gridCol w:w="211"/>
        <w:gridCol w:w="781"/>
        <w:gridCol w:w="611"/>
      </w:tblGrid>
      <w:tr>
        <w:trPr/>
        <w:tc>
          <w:tcPr>
            <w:tcW w:w="4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attributable to common stock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Acquisition and integration-related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acquisition-related inventory step-up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Litigation settlement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convertible note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108,531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operating activities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FCC Reimbursement Program for property, equipment and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interest rate caps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81,515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13"/>
        </w:rPr>
        <w:t>(1)</w:t>
      </w:r>
      <w:r>
        <w:rPr>
          <w:rFonts w:ascii="Times New Roman" w:hAnsi="Times New Roman"/>
          <w:color w:val="000000"/>
          <w:sz w:val="20"/>
        </w:rPr>
        <w:t xml:space="preserve"> For the three months ended September 30, 2025, figure consists of integration-related advisory fees of $0.7 million and severance and other compensation-related costs of $2.2 million. For the nine months ended September 30, 2025, figure consists of integration-related advisory fees of $6.1 million and severance and other compensation-related costs of $6.9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limitations of Non-GAAP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EBITDA, Adjusted EBITDA and Free Cash Flow are measurements frequently used by investors and securities analysts in their evaluations of companies, EBITDA, Adjusted EBITDA and Free Cash Flow each have limitations as an analytical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tool, and you should not consider them in isolation or as a substitute for, or more meaningful than, amounts determined in accordance with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these limitations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do not reflect interest income or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do not reflect cash requirements for our income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do not reflect depreciation and amortization, which are significant and unavoidable operating costs given the level of capital expenditures needed to maintain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non-cash components of employee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change in the fair value of the earnout liability from the Satcom Direct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acquisition and integration-related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amortization of acquisition-related inventory step-up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litigation settlement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change in fair value of convertible note investment or earnout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Free Cash Flow does not represent the total increase or decrease in our cash balance for the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other companies in industries related to ours may calculate these measures differently from the way we do, their usefulness as comparative measures may be limited.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a summary of our cash flow activity for the periods set forth below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8504" w:type="dxa"/>
        <w:jc w:val="left"/>
        <w:tblInd w:w="0" w:type="dxa"/>
        <w:tblLayout w:type="fixed"/>
        <w:tblCellMar>
          <w:top w:w="28" w:type="dxa"/>
          <w:left w:w="28" w:type="dxa"/>
          <w:bottom w:w="28" w:type="dxa"/>
          <w:right w:w="28" w:type="dxa"/>
        </w:tblCellMar>
      </w:tblPr>
      <w:tblGrid>
        <w:gridCol w:w="5671"/>
        <w:gridCol w:w="146"/>
        <w:gridCol w:w="211"/>
        <w:gridCol w:w="781"/>
        <w:gridCol w:w="166"/>
        <w:gridCol w:w="146"/>
        <w:gridCol w:w="211"/>
        <w:gridCol w:w="781"/>
        <w:gridCol w:w="3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176,678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financed our growth and cash needs primarily through the issuance of common stock, debt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Our capital management activities include the assessment of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plans, we expect our cash and cash equivalents, cash flows provided by operating activities and access to the Revolving Facility and capital markets will be sufficient to meet the cash requirements of our business, capital expenditure requirements and debt maturities for at least the next twelve months and thereafter for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5, 2023, we announced a share repurchase program that grants the Company authority to repurchase up to $50 million of shares of the Company’s common stock. Repurchases may be made at management's discretion from time to time on the open market, through privately negotiated transactions, or by other means, including through the use of trading plans intended to qualify under Rule 10b5-1 under the Securities Exchange Act of 1934, as amended (the “Exchange Act”) in accordance with applicable securities laws and other restrictions, including Rule 10b-18 under the Exchange Act.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 We do not expect to incur debt to fund the share repurchase program. No shares were repurchased during the nine-month period ended September 30, 2025. During the nine-month period ended September 30, 2024, we repurchased an aggregate 3.6 million shares of our common stock for $30.8 million. As of September 30, 2025, approximately $12.1 million remains available under the 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detailed in Note 9, “Long-Term Debt and Other Liabilities,” on April 30, 2021, GIH entered into the 2021 Credit Agreement with Gogo, the lenders and issuing banks party thereto and Morgan Stanley Senior Funding, Inc., as administrative agent, which provides for the 2021 Term Loan Facility in an aggregate principal amount of $725.0 million, issued with a discount of 0.5%, and the Revolving Facility, which includes a letter of credit sub-facility. The 2021 Term Loan Facility matures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Gogo and GIH entered into a second amendment to the 2021 Credit Agreement with Morgan Stanley Senior Funding, Inc., as administrative agent, and the lenders party thereto to, among other purposes, (a) increase the aggregate principal amount of revolving commitments available under the 2021 Credit Agreement to an aggregate amount of revolving commitments equal to $122 million and (b) extend the maturity date of the Revolving Facility to December 3, 2029 (subject to such maturity date springing to the date that is 90 days prior to the then-current maturity date of (a) the 2021 Term Loan Facility under the 2021 Credit Agreement and (b) the HPS Term Loan Facility under the HPS Credit Agreement under certain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Term Loan Facility amortizes in nominal quarterly installments equal to 1% of the aggregate initial principal amount thereof per annum, with the remaining balance payable upon final maturity of the 2021 Term Loan Facility. There are no amortization payments under the Revolving Facility. On May 3, 2023, the Company prepaid $100 million of the outstanding principal amount of the 2021 Term Loan Facility. This prepayment satisfied the required amortization payments for the remaining term of the 2021 Term Loan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detailed in Note 9, “Long-Term Debt and Other Liabilities,” on December 3, 2024, the Company and GIH entered into a credit agreement (the “HPS Credit Agreement” and together with the 2021 Credit Agreement, the “Credit Agreements”) with HPS Investment Partners, LLC, as the administrative agent, and the lenders party thereto, which provides for a term loan credit facility (the “HPS Term Loan Facility” and together with the 2021 Facilities, the “Facilities”) in an aggregate principal amount of $250 million. The HPS Term Loan Facility amortizes in quarterly installments equal to one percent of the aggregate initial principal amount thereof per annum, with the remaining balance payable upon final maturity of the HPS Term Loan Facility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Agreements contain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Agreements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we purchased interest rate caps with an aggregate notional amount of $650.0 million for $8.6 million. We receive payments in the amount calculated pursuant to the caps for any period in which the daily compounded SOFR rate plus a credit spread adjustment recommended by the Alternative Reference Rates Committees of 0.26% increases beyond the applicable strike rate. The termination date of the cap agreements is July 31, 2027. The aggregate notional amount of the interest rate caps as of September 30, 2025 is $250.0 million. The notional amounts of the interest rate caps periodically decrease over the life of the caps with the latest reduction of $100.0 million having occurred on July 31, 2025.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on the interest rate caps, see Note 10, “Derivative Instruments and Hedging Activities,” to our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provided by Operating Activities: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a summary of our cash flows from operating activities for the periods set forth below </w:t>
      </w:r>
      <w:r>
        <w:rPr>
          <w:rFonts w:ascii="Times New Roman" w:hAnsi="Times New Roman"/>
          <w:i/>
          <w:color w:val="000000"/>
          <w:sz w:val="20"/>
        </w:rPr>
        <w:t>(in thousands)</w:t>
      </w:r>
      <w:r>
        <w:rPr>
          <w:rFonts w:ascii="Times New Roman" w:hAnsi="Times New Roman"/>
          <w:color w:val="000000"/>
          <w:sz w:val="20"/>
        </w:rPr>
        <w:t>:</w:t>
      </w:r>
    </w:p>
    <w:tbl>
      <w:tblPr>
        <w:tblW w:w="6089" w:type="dxa"/>
        <w:jc w:val="left"/>
        <w:tblInd w:w="0" w:type="dxa"/>
        <w:tblLayout w:type="fixed"/>
        <w:tblCellMar>
          <w:top w:w="28" w:type="dxa"/>
          <w:left w:w="28" w:type="dxa"/>
          <w:bottom w:w="28" w:type="dxa"/>
          <w:right w:w="28" w:type="dxa"/>
        </w:tblCellMar>
      </w:tblPr>
      <w:tblGrid>
        <w:gridCol w:w="3541"/>
        <w:gridCol w:w="146"/>
        <w:gridCol w:w="211"/>
        <w:gridCol w:w="781"/>
        <w:gridCol w:w="166"/>
        <w:gridCol w:w="146"/>
        <w:gridCol w:w="211"/>
        <w:gridCol w:w="676"/>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charges and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nine-month period ended September 30, 2025, net cash provided by operating activities was $116.0 million as compared with $79.7 million in the prior-year period. The principal contributors to the year-over-year change in operating cash flows were: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$34.0 million improvement in net income and non-cash charges and credits, as noted above under “Results of Operations — Three and Nine Months Ended September 30, 2025 and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$2.2 million improvement in cash flows related to operating assets and liabilities resulting from: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cash flows due to changes in inventories due to an increase in equipment revenue and a decrease in 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Partially offset by a decrease in cash flows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accounts payable due to timing of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deferred revenue due to the recognition of revenue where cash was previously collected;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 receivable due to the timing of receipts.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$23.5 million for the nine-month period ended September 30, 2025, due to $34.7 million of capital expenditures noted below and a $1.6 million payment for net working capital adjustments relating to the purchase of Satcom Direct, partially offset by $9.1 million of proceeds from interest rate caps and $3.8 million of proceeds received from the FCC Reimbursement Program associated with the reimbursement of 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$3.2 million for the nine-month period ended September 30, 2024, due to $18.9 million of capital expenditures noted below and a $5.0 million convertible note investment, partially offset by $19.5 million of proceeds from interest rate caps and $1.2 million of proceeds received from the FCC Reimbursement Program associated with the reimbursement of capital expenditures.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for the nine-month period ended September 30, 2025 was $1.1 million due to principal payments on the HPS Term Loan Facility, partially offset by proceeds from stock-based compensation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for the nine-month period ended September 30, 2024 was $38.9 million, due to share repurchases, principal payments on the 2021 Term Loan Facility and stock-based compensation activities.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require capital expenditures associated with the expansion of our ATG network and data centers. We capitalize software development costs related to network technology solutions and new product/service offerings. We also capitalize costs related to the build-out of our office locations.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for the nine-month periods ended September 30, 2025 and 2024 were $34.7 million and $18.9 million, respectively, due to the build out of the Gogo 5G and LTE networks and Gogo Galileo.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capital expenditures will increase in the near term due to the build out of the LTE network related to the FCC Reimbursement Program. This increase related to the LTE network is expected to be partially offset by reimbursements from the FCC. We expect that our capital expenditures will decrease over time as this program is completed.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Other</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Contractual Commitments: </w:t>
      </w:r>
      <w:r>
        <w:rPr>
          <w:rFonts w:ascii="Times New Roman" w:hAnsi="Times New Roman"/>
          <w:color w:val="000000"/>
          <w:sz w:val="20"/>
        </w:rPr>
        <w:t>We have agreements with various vendors under which we have remaining commitments to purchase hardware components and development services. Such commitments will become payable as we receive the hardware components or as development services are provided. See Note 17, “Commitments and Contingencies,” to our Unaudited Condensed Consolidated Financial Statements for additional 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Leases and Cell Site Contracts: </w:t>
      </w:r>
      <w:r>
        <w:rPr>
          <w:rFonts w:ascii="Times New Roman" w:hAnsi="Times New Roman"/>
          <w:color w:val="000000"/>
          <w:sz w:val="20"/>
        </w:rPr>
        <w:t>We have lease agreements relating to certain facilities and equipment, which are considered operating leases. See Note 16, “Leases,” to our Unaudited Condensed Consolidated Financial Statements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September 30, 2025 and December 31, 2024 primarily included amounts in bank deposit accounts, U.S. Treasury securities and money market funds with U.S. Government and U.S. Treasury securities. The primary objective of our investment policy is to preserve capital and maintain liquidity while limiting concentration and counterparty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Interest Rate Risk: </w:t>
      </w:r>
      <w:r>
        <w:rPr>
          <w:rFonts w:ascii="Times New Roman" w:hAnsi="Times New Roman"/>
          <w:color w:val="000000"/>
          <w:sz w:val="20"/>
        </w:rPr>
        <w:t xml:space="preserve">We are exposed to interest rate risk on our variable rate indebtedness, which includes borrowings under each of the 2021 Facilities (if any) and the HPS Term Loan Facility. We assess our market risks based on changes in interest rates utilizing a sensitivity analysis that measures the potential impact on earnings and cash flows based on a hypothetical one percentage point change in interest rates. As of September 30, 2025, we had interest rate cap agreements to hedge a portion of our exposure to interest rate movements of our variable rate debt and to manage our interest expense. Currently, we receive payments in the amounts calculated pursuant to the caps for any period in which the daily compounded SOFR rate plus a credit spread adjustment recommended by the Alternative Reference Rates Committee of 0.26% increases beyond the applicable strike rate. The termination date of the cap agreements is July 31, 2027. Over the life of the interest rate caps, the notional amounts of the caps periodically decrease, while the applicable strike prices increase.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notional amount of outstanding debt associated with interest rate cap agreements as of September 30, 2025 was $250.0 million. Based on our September 30, 2025 outstanding variable rate debt balance, a hypothetical one percentage point change in the applicable interest rate would impact our annual interest expense by approximately $6.1 million for the next twelve-month period, which includes the impact of our interest rate caps at a strike rate of 2.25% and the $50 million reduction in the notional amount and an increase of the strike rate to 2.75% that will occur on July 31, 2026. Excluding the impact of our interest rate caps, a hypothetical one percentage point change in the applicable interest rate would impact our annual interest expense by approximately $8.5 million for the next twelve-month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earnings are affected by changes in interest rates due to the impact those changes have on interest income generated from our cash, cash equivalents and short-term investments. We believe we have minimal interest rate risk as a 10% decrease in the average interest rate on our portfolio would have reduced interest income for the three- and nine-month periods ended September 30, 2025 and 2024 by immaterial amounts.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Inflation: </w:t>
      </w:r>
      <w:r>
        <w:rPr>
          <w:rFonts w:ascii="Times New Roman" w:hAnsi="Times New Roman"/>
          <w:color w:val="000000"/>
          <w:sz w:val="20"/>
        </w:rPr>
        <w:t>We do not believe that inflation has had a material effect on our results of operations. However, there can be no assurance that our business will not be affected by inflation in the future.</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Evaluation of Disclosure Controls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September 30, 2025. Based upon this evaluation, our Chief Executive Officer and the Chief Financial Officer have concluded that our disclosure controls and procedures were not effective as of September 30, 2025 due to material weaknesses in internal control over financial reporting which, as previously disclosed in Part II, Item 9A “Controls and Procedures” in the 2024 10-K, existed as of December 31, 2024 and, as discussed below, continued to exist as of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ineffective disclosure controls and procedures due to the material weaknesses in internal control over financial reporting, our Chief Executive Officer and the Chief Financial Officer have concluded that the consolidated financial statements in this Quarterly Report on Form 10-Q present fairly, in all material respects, our financial position, results of operations and cash flows in conformity with accounting principles generally accepted in the United States of America (“U.S.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assessment of the effectiveness of the Company’s internal control over financial reporting as of September 30, 2025 excludes the acquisition of Satcom Direct which was acquired on December 3, 2024, and whose financial statements constitute approximately 47% of total assets and 55% of total revenue of the consolidated financial statement amounts of the Company as of and for the nine-month period ended September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 exclusion of Satcom Direct from our assessment of the effectiveness of the Company’s internal control over financial reporting as of September 30, 2025, we identified a material weakness in controls over the financial close and reporting process and controls over purchase accounting as a result of the Satcom Direct acquisition. This was the same material weakness that we previously identified as of December 31, 2024. Specifically, there were insufficient effective controls in place to ensure the completeness and accuracy of Satcom Direct’s financial reporting information that is consolidated into Gogo’s financial statements. This material weakness was due to the following deficiencies at Satcom Direct: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Satcom Direct had ineffective general information technology controls (“GITCs”) over relevant information technology (“IT”) systems. Specifically, Satcom Direct management did not design and maintain effective GITCs for information systems and applications that are relevant to the preparation of the consolidated financial statements. Specifically, they did not design and maintain: (i) sufficient user access controls to ensure appropriate segregation of duties and adequately restrict user and privileged access to financial applications, programs and data to appropriate company personnel and (ii) program change management controls to ensure that information technology, or IT, program and data changes affecting financial IT applications and underlying accounting records are identified, tested, authorized and implemented appropriately with appropriate segregation of duties.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Satcom Direct’s management did not design and implement control activities necessary to provide reasonable assurance regarding the reliability of financial reporting and the preparation of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identified a material weakness in controls over the accounting for the Satcom Direct acquisition. Specifically, while management had designed control activities over the accounting for the acquisition and related preliminary purchase price allocation for the acquired assets and liabilities performed by third-party specialists, management did not effectively implement them due to the timing of the acquisition.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Remediation Plan for Material Weaknesses in Internal Control over Financial Reporting</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Remediation of the identified material weaknesses and strengthening our internal control environment will require a substantial effort throughout 2025. Management is continuing its remediation efforts over the material weaknesses described above as follows: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Designing and implementing controls over Satcom Direct’s GITCs relating to user access and program change management over certain IT systems that support financial reporting processes at Satcom Direct.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Designing and implementing internal controls over financial reporting for processes specific to Satcom Direct.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the controls the Company has designed related to complex accounting transactions, including those related to acquisitions, such as, the review of third-party specialists’ work and the reasonableness of key assumptions, methodologies, and underlying data used in the accounting and purchase price allocation.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additional qualified personnel with expertise in public company financial reporting, accounting and internal controls to strengthen our accounting function.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believe the steps taken to date and those planned for continued implementation will improve the effectiveness of our internal control over financial reporting, we have not completed all remediation efforts identified herein. Accordingly, as we continue to monitor the effectiveness of our internal control over financial reporting in the areas affected by the material weaknesses described above, we have performed and will continue to perform additional procedures and to employ additional appropriate tools and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test the ongoing operating effectiveness of the new and existing controls in future periods. The material weaknesses cannot be considered completely remediated until the applicable controls have been implemented and management has concluded, through testing, that these controls are operating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described above, 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part_ii_or_information"/>
      <w:bookmarkEnd w:id="14"/>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lawsuits arising out of the conduct of our business. See Note 17, “Commitments and Contingencies,” to our Unaudited Condensed Consolidated Financial Statements for a discussion of litigation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pStyle w:val="TextBody"/>
        <w:bidi w:val="0"/>
        <w:jc w:val="left"/>
        <w:rPr/>
      </w:pPr>
      <w:r>
        <w:rPr/>
        <w:t> </w:t>
      </w:r>
    </w:p>
    <w:tbl>
      <w:tblPr>
        <w:tblW w:w="2192" w:type="dxa"/>
        <w:jc w:val="left"/>
        <w:tblInd w:w="0" w:type="dxa"/>
        <w:tblLayout w:type="fixed"/>
        <w:tblCellMar>
          <w:top w:w="28" w:type="dxa"/>
          <w:left w:w="28" w:type="dxa"/>
          <w:bottom w:w="28" w:type="dxa"/>
          <w:right w:w="28" w:type="dxa"/>
        </w:tblCellMar>
      </w:tblPr>
      <w:tblGrid>
        <w:gridCol w:w="976"/>
        <w:gridCol w:w="1216"/>
      </w:tblGrid>
      <w:tr>
        <w:trPr/>
        <w:tc>
          <w:tcPr>
            <w:tcW w:w="97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1A.</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bookmarkStart w:id="16" w:name="risk_factors"/>
            <w:bookmarkEnd w:id="16"/>
            <w:r>
              <w:rPr>
                <w:rFonts w:ascii="Times New Roman" w:hAnsi="Times New Roman"/>
                <w:b/>
                <w:color w:val="000000"/>
                <w:sz w:val="20"/>
              </w:rPr>
              <w:t>Risk Factors</w:t>
            </w:r>
          </w:p>
        </w:tc>
      </w:tr>
    </w:tbl>
    <w:p>
      <w:pPr>
        <w:pStyle w:val="TextBody"/>
        <w:bidi w:val="0"/>
        <w:spacing w:before="120" w:after="283"/>
        <w:jc w:val="left"/>
        <w:rPr>
          <w:color w:val="000000"/>
        </w:rPr>
      </w:pPr>
      <w:r>
        <w:rPr>
          <w:color w:val="000000"/>
        </w:rPr>
        <w:t>“</w:t>
      </w:r>
      <w:r>
        <w:rPr>
          <w:rFonts w:ascii="Times New Roman" w:hAnsi="Times New Roman"/>
          <w:color w:val="000000"/>
          <w:sz w:val="20"/>
        </w:rPr>
        <w:t>Item 1A. Risk Factors” of our 2024 10-K includes a discussion of our risk factors. There have been no material changes to the risk factors previously disclosed in our 2024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unregistered_sales_equity_securities_use"/>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Unregistered Securities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b)</w:t>
      </w:r>
    </w:p>
    <w:p>
      <w:pPr>
        <w:pStyle w:val="TextBody"/>
        <w:bidi w:val="0"/>
        <w:jc w:val="left"/>
        <w:rPr>
          <w:rFonts w:ascii="Times New Roman" w:hAnsi="Times New Roman"/>
          <w:b/>
          <w:i/>
          <w:color w:val="000000"/>
          <w:sz w:val="20"/>
        </w:rPr>
      </w:pPr>
      <w:r>
        <w:rPr>
          <w:rFonts w:ascii="Times New Roman" w:hAnsi="Times New Roman"/>
          <w:b/>
          <w:i/>
          <w:color w:val="000000"/>
          <w:sz w:val="20"/>
        </w:rPr>
        <w:t>Use of Proceeds from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Purchases of Equity Securities by the Issuer and Affiliated Purchasers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8" w:name="defaults_upon_senior_securities"/>
      <w:bookmarkEnd w:id="18"/>
      <w:r>
        <w:rPr>
          <w:rFonts w:ascii="Times New Roman" w:hAnsi="Times New Roman"/>
          <w:b/>
          <w:color w:val="000000"/>
          <w:sz w:val="20"/>
        </w:rPr>
        <w:t>ITEM 3. Defaults Upon Senior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rPr>
      </w:pPr>
      <w:bookmarkStart w:id="19" w:name="mine_safety_disclosures"/>
      <w:bookmarkEnd w:id="19"/>
      <w:r>
        <w:rPr>
          <w:rFonts w:ascii="Times New Roman" w:hAnsi="Times New Roman"/>
          <w:b/>
          <w:color w:val="000000"/>
          <w:sz w:val="20"/>
        </w:rPr>
        <w:t>ITEM 4. Mine Safety Disclosures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rPr>
      </w:pPr>
      <w:bookmarkStart w:id="20" w:name="o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September 30, 2025, none of our directors or officers adopted or terminated a “Rule 10b5-1 trading arrangement” or “non-Rule 10b5-1 trading arrangement” as such terms are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
        <w:gridCol w:w="146"/>
        <w:gridCol w:w="9262"/>
      </w:tblGrid>
      <w:tr>
        <w:trPr/>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sz w:val="4"/>
                <w:szCs w:val="4"/>
              </w:rPr>
            </w:pPr>
            <w:r>
              <w:rPr>
                <w:sz w:val="4"/>
                <w:szCs w:val="4"/>
              </w:rPr>
            </w:r>
          </w:p>
        </w:tc>
      </w:tr>
      <w:tr>
        <w:trPr/>
        <w:tc>
          <w:tcPr>
            <w:tcW w:w="79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Exhibits</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gogo-ex31_1.htm">
              <w:r>
                <w:rPr>
                  <w:rStyle w:val="InternetLink"/>
                  <w:rFonts w:ascii="Times New Roman" w:hAnsi="Times New Roman"/>
                  <w:color w:val="0000FF"/>
                  <w:sz w:val="20"/>
                  <w:u w:val="single"/>
                </w:rPr>
                <w:t>Certification of Chief Executive Officer pursuant to Exchange Act Rules 13a-14(a) and 15d-14(a), as adopted pursuant to Section 302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gogo-ex31_2.htm">
              <w:r>
                <w:rPr>
                  <w:rStyle w:val="InternetLink"/>
                  <w:rFonts w:ascii="Times New Roman" w:hAnsi="Times New Roman"/>
                  <w:color w:val="0000FF"/>
                  <w:sz w:val="20"/>
                  <w:u w:val="single"/>
                </w:rPr>
                <w:t>Certification of Chief Financial Officer pursuant to Exchange Act Rules 13a-14(a) and 15d-14(a), as adopted pursuant to Section 302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pPr>
            <w:hyperlink w:anchor="gogo-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gogo-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This certification accompanies the Form 10-Q to which it relates, is not deemed filed with the SEC and is not to be incorporated by reference into any filing of the Registrant under the Securities Act of 1933, as amended, or the Exchange Act (whether made before or after the date of the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688" w:type="dxa"/>
        <w:jc w:val="left"/>
        <w:tblInd w:w="0" w:type="dxa"/>
        <w:tblLayout w:type="fixed"/>
        <w:tblCellMar>
          <w:top w:w="28" w:type="dxa"/>
          <w:left w:w="28" w:type="dxa"/>
          <w:bottom w:w="28" w:type="dxa"/>
          <w:right w:w="28" w:type="dxa"/>
        </w:tblCellMar>
      </w:tblPr>
      <w:tblGrid>
        <w:gridCol w:w="2101"/>
        <w:gridCol w:w="146"/>
        <w:gridCol w:w="444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Gogo Inc.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Christopher Moore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Moore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6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Zachary Cotner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Zachary Cotner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bookmarkStart w:id="23" w:name="gogo-ex31_1.htm"/>
      <w:bookmarkStart w:id="24" w:name="ksgogo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EXCHANGE ACT, AS AMENDED,</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Christopher Moore, certify that:</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Gogo Inc.;</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135" w:type="dxa"/>
        <w:jc w:val="left"/>
        <w:tblInd w:w="0" w:type="dxa"/>
        <w:tblLayout w:type="fixed"/>
        <w:tblCellMar>
          <w:top w:w="28" w:type="dxa"/>
          <w:left w:w="28" w:type="dxa"/>
          <w:bottom w:w="28" w:type="dxa"/>
          <w:right w:w="28" w:type="dxa"/>
        </w:tblCellMar>
      </w:tblPr>
      <w:tblGrid>
        <w:gridCol w:w="551"/>
        <w:gridCol w:w="237"/>
        <w:gridCol w:w="2347"/>
      </w:tblGrid>
      <w:tr>
        <w:trPr/>
        <w:tc>
          <w:tcPr>
            <w:tcW w:w="5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r>
      <w:tr>
        <w:trPr/>
        <w:tc>
          <w:tcPr>
            <w:tcW w:w="78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3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6, 2025</w:t>
            </w:r>
          </w:p>
        </w:tc>
      </w:tr>
      <w:tr>
        <w:trPr/>
        <w:tc>
          <w:tcPr>
            <w:tcW w:w="5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584"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Christopher Moore</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Moore</w:t>
            </w:r>
          </w:p>
        </w:tc>
      </w:tr>
      <w:tr>
        <w:trPr/>
        <w:tc>
          <w:tcPr>
            <w:tcW w:w="3135"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gogo-ex31_2.htm"/>
      <w:bookmarkStart w:id="26" w:name="ksgogo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EXCHANGE ACT, AS AMENDED,</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Zachary Cotner, certify that:</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Gogo Inc.;</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54" w:type="dxa"/>
        <w:jc w:val="left"/>
        <w:tblInd w:w="0" w:type="dxa"/>
        <w:tblLayout w:type="fixed"/>
        <w:tblCellMar>
          <w:top w:w="28" w:type="dxa"/>
          <w:left w:w="28" w:type="dxa"/>
          <w:bottom w:w="28" w:type="dxa"/>
          <w:right w:w="28" w:type="dxa"/>
        </w:tblCellMar>
      </w:tblPr>
      <w:tblGrid>
        <w:gridCol w:w="783"/>
        <w:gridCol w:w="337"/>
        <w:gridCol w:w="3334"/>
      </w:tblGrid>
      <w:tr>
        <w:trPr/>
        <w:tc>
          <w:tcPr>
            <w:tcW w:w="7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11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3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6, 2025</w:t>
            </w:r>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7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3671"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Zachary Cotner</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Zachary Cotner</w:t>
            </w:r>
          </w:p>
        </w:tc>
      </w:tr>
      <w:tr>
        <w:trPr/>
        <w:tc>
          <w:tcPr>
            <w:tcW w:w="4454"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gogo-ex32_1.htm"/>
      <w:bookmarkStart w:id="28" w:name="ksgogo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Christopher Moore, Chief Executive Officer and Director of Gogo Inc. (the “Company”), do hereby certify, pursuant to 18 U.S.C. Section 1350, as adopted pursuant to Section 906 of the Sarbanes-Oxley Act of 2002, that to the best of my knowledge: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Quarterly Report on Form 10-Q of the Company for the quarter ended September 30, 2025 (the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3135" w:type="dxa"/>
        <w:jc w:val="left"/>
        <w:tblInd w:w="0" w:type="dxa"/>
        <w:tblLayout w:type="fixed"/>
        <w:tblCellMar>
          <w:top w:w="28" w:type="dxa"/>
          <w:left w:w="28" w:type="dxa"/>
          <w:bottom w:w="28" w:type="dxa"/>
          <w:right w:w="28" w:type="dxa"/>
        </w:tblCellMar>
      </w:tblPr>
      <w:tblGrid>
        <w:gridCol w:w="551"/>
        <w:gridCol w:w="237"/>
        <w:gridCol w:w="2347"/>
      </w:tblGrid>
      <w:tr>
        <w:trPr/>
        <w:tc>
          <w:tcPr>
            <w:tcW w:w="5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r>
      <w:tr>
        <w:trPr/>
        <w:tc>
          <w:tcPr>
            <w:tcW w:w="78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3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6, 2025</w:t>
            </w:r>
          </w:p>
        </w:tc>
      </w:tr>
      <w:tr>
        <w:trPr/>
        <w:tc>
          <w:tcPr>
            <w:tcW w:w="5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584"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Christopher Moore</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Moore</w:t>
            </w:r>
          </w:p>
        </w:tc>
      </w:tr>
      <w:tr>
        <w:trPr/>
        <w:tc>
          <w:tcPr>
            <w:tcW w:w="3135"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gogo-ex32_2.htm"/>
      <w:bookmarkStart w:id="30" w:name="ksgogoex32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Zachary Cotner, Executive Vice President and Chief Financial Officer of Gogo Inc. (the “Company”), do hereby certify, pursuant to 18 U.S.C. Section 1350, as adopted pursuant to Section 906 of the Sarbanes-Oxley Act of 2002, that to the best of my knowledge: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Quarterly Report on Form 10-Q of the Company for the quarter ended September 30, 2025 (the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4454" w:type="dxa"/>
        <w:jc w:val="left"/>
        <w:tblInd w:w="0" w:type="dxa"/>
        <w:tblLayout w:type="fixed"/>
        <w:tblCellMar>
          <w:top w:w="28" w:type="dxa"/>
          <w:left w:w="28" w:type="dxa"/>
          <w:bottom w:w="28" w:type="dxa"/>
          <w:right w:w="28" w:type="dxa"/>
        </w:tblCellMar>
      </w:tblPr>
      <w:tblGrid>
        <w:gridCol w:w="783"/>
        <w:gridCol w:w="337"/>
        <w:gridCol w:w="3334"/>
      </w:tblGrid>
      <w:tr>
        <w:trPr/>
        <w:tc>
          <w:tcPr>
            <w:tcW w:w="7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11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3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6, 2025</w:t>
            </w:r>
          </w:p>
        </w:tc>
      </w:tr>
      <w:tr>
        <w:trPr/>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7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3671"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Zachary Cotner</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Zachary Cotner</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24720</Words>
  <Characters>138019</Characters>
  <CharactersWithSpaces>164597</CharactersWithSpaces>
  <Paragraphs>8410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