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99060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81915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114300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GOGO INC.</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99060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001-35975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42" w:lineRule="exact"/>
        <w:rPr>
          <w:sz w:val="24"/>
          <w:szCs w:val="24"/>
          <w:color w:val="auto"/>
        </w:rPr>
      </w:pPr>
    </w:p>
    <w:p>
      <w:pPr>
        <w:sectPr>
          <w:pgSz w:w="11900" w:h="16838" w:orient="portrait"/>
          <w:cols w:equalWidth="0" w:num="3">
            <w:col w:w="4520" w:space="720"/>
            <w:col w:w="2860" w:space="720"/>
            <w:col w:w="2320"/>
          </w:cols>
          <w:pgMar w:left="320" w:top="1440" w:right="4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14" w:lineRule="exact"/>
        <w:rPr>
          <w:sz w:val="24"/>
          <w:szCs w:val="24"/>
          <w:color w:val="auto"/>
        </w:rPr>
      </w:pPr>
    </w:p>
    <w:p>
      <w:pPr>
        <w:sectPr>
          <w:pgSz w:w="11900" w:h="16838" w:orient="portrait"/>
          <w:cols w:equalWidth="0" w:num="3">
            <w:col w:w="4080" w:space="720"/>
            <w:col w:w="2680" w:space="720"/>
            <w:col w:w="2940"/>
          </w:cols>
          <w:pgMar w:left="320" w:top="1440" w:right="439" w:bottom="1440" w:gutter="0" w:footer="0" w:header="0"/>
          <w:type w:val="continuous"/>
        </w:sectPr>
      </w:pPr>
    </w:p>
    <w:tbl>
      <w:tblPr>
        <w:tblLayout w:type="fixed"/>
        <w:tblInd w:w="1620" w:type="dxa"/>
        <w:tblCellMar>
          <w:top w:w="0" w:type="dxa"/>
          <w:left w:w="0" w:type="dxa"/>
          <w:bottom w:w="0" w:type="dxa"/>
          <w:right w:w="0" w:type="dxa"/>
        </w:tblCellMar>
      </w:tblPr>
      <w:tr>
        <w:trPr>
          <w:trHeight w:val="216"/>
        </w:trPr>
        <w:tc>
          <w:tcPr>
            <w:tcW w:w="6180" w:type="dxa"/>
            <w:vAlign w:val="bottom"/>
          </w:tcPr>
          <w:p>
            <w:pPr>
              <w:jc w:val="center"/>
              <w:ind w:right="3694"/>
              <w:spacing w:after="0"/>
              <w:rPr>
                <w:sz w:val="20"/>
                <w:szCs w:val="20"/>
                <w:color w:val="auto"/>
              </w:rPr>
            </w:pPr>
            <w:r>
              <w:rPr>
                <w:rFonts w:ascii="Times New Roman" w:cs="Times New Roman" w:eastAsia="Times New Roman" w:hAnsi="Times New Roman"/>
                <w:sz w:val="18"/>
                <w:szCs w:val="18"/>
                <w:b w:val="1"/>
                <w:bCs w:val="1"/>
                <w:color w:val="auto"/>
              </w:rPr>
              <w:t>105 Edgeview Dr., Suite 300</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80021</w:t>
            </w:r>
          </w:p>
        </w:tc>
        <w:tc>
          <w:tcPr>
            <w:tcW w:w="0" w:type="dxa"/>
            <w:vAlign w:val="bottom"/>
          </w:tcPr>
          <w:p>
            <w:pPr>
              <w:spacing w:after="0"/>
              <w:rPr>
                <w:sz w:val="1"/>
                <w:szCs w:val="1"/>
                <w:color w:val="auto"/>
              </w:rPr>
            </w:pPr>
          </w:p>
        </w:tc>
      </w:tr>
      <w:tr>
        <w:trPr>
          <w:trHeight w:val="106"/>
        </w:trPr>
        <w:tc>
          <w:tcPr>
            <w:tcW w:w="6180" w:type="dxa"/>
            <w:vAlign w:val="bottom"/>
            <w:vMerge w:val="restart"/>
          </w:tcPr>
          <w:p>
            <w:pPr>
              <w:jc w:val="center"/>
              <w:ind w:right="3694"/>
              <w:spacing w:after="0"/>
              <w:rPr>
                <w:sz w:val="20"/>
                <w:szCs w:val="20"/>
                <w:color w:val="auto"/>
              </w:rPr>
            </w:pPr>
            <w:r>
              <w:rPr>
                <w:rFonts w:ascii="Times New Roman" w:cs="Times New Roman" w:eastAsia="Times New Roman" w:hAnsi="Times New Roman"/>
                <w:sz w:val="18"/>
                <w:szCs w:val="18"/>
                <w:b w:val="1"/>
                <w:bCs w:val="1"/>
                <w:color w:val="auto"/>
              </w:rPr>
              <w:t>Broomfield, CO</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80" w:type="dxa"/>
            <w:vAlign w:val="bottom"/>
            <w:vMerge w:val="continue"/>
          </w:tcPr>
          <w:p>
            <w:pPr>
              <w:spacing w:after="0"/>
              <w:rPr>
                <w:sz w:val="9"/>
                <w:szCs w:val="9"/>
                <w:color w:val="auto"/>
              </w:rPr>
            </w:pPr>
          </w:p>
        </w:tc>
        <w:tc>
          <w:tcPr>
            <w:tcW w:w="96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6180" w:type="dxa"/>
            <w:vAlign w:val="bottom"/>
            <w:vMerge w:val="restart"/>
          </w:tcPr>
          <w:p>
            <w:pPr>
              <w:jc w:val="center"/>
              <w:ind w:right="37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5"/>
        </w:trPr>
        <w:tc>
          <w:tcPr>
            <w:tcW w:w="61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80" w:type="dxa"/>
            <w:vAlign w:val="bottom"/>
          </w:tcPr>
          <w:p>
            <w:pPr>
              <w:jc w:val="right"/>
              <w:ind w:right="1574"/>
              <w:spacing w:after="0"/>
              <w:rPr>
                <w:sz w:val="20"/>
                <w:szCs w:val="20"/>
                <w:color w:val="auto"/>
              </w:rPr>
            </w:pPr>
            <w:r>
              <w:rPr>
                <w:rFonts w:ascii="Times New Roman" w:cs="Times New Roman" w:eastAsia="Times New Roman" w:hAnsi="Times New Roman"/>
                <w:sz w:val="18"/>
                <w:szCs w:val="18"/>
                <w:b w:val="1"/>
                <w:bCs w:val="1"/>
                <w:color w:val="auto"/>
              </w:rPr>
              <w:t>303-301-3271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0"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395" w:lineRule="auto"/>
        <w:tabs>
          <w:tab w:leader="none" w:pos="2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42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180" w:type="dxa"/>
            <w:vAlign w:val="bottom"/>
          </w:tcPr>
          <w:p>
            <w:pPr>
              <w:spacing w:after="0"/>
              <w:rPr>
                <w:sz w:val="15"/>
                <w:szCs w:val="15"/>
                <w:color w:val="auto"/>
              </w:rPr>
            </w:pPr>
          </w:p>
        </w:tc>
        <w:tc>
          <w:tcPr>
            <w:tcW w:w="22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GOGO</w:t>
            </w:r>
          </w:p>
        </w:tc>
        <w:tc>
          <w:tcPr>
            <w:tcW w:w="180" w:type="dxa"/>
            <w:vAlign w:val="bottom"/>
          </w:tcPr>
          <w:p>
            <w:pPr>
              <w:spacing w:after="0"/>
              <w:rPr>
                <w:sz w:val="15"/>
                <w:szCs w:val="15"/>
                <w:color w:val="auto"/>
              </w:rPr>
            </w:pPr>
          </w:p>
        </w:tc>
        <w:tc>
          <w:tcPr>
            <w:tcW w:w="4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NASDAQ Global Select Market</w:t>
            </w:r>
          </w:p>
        </w:tc>
      </w:tr>
      <w:tr>
        <w:trPr>
          <w:trHeight w:val="210"/>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GOGO</w:t>
            </w:r>
          </w:p>
        </w:tc>
        <w:tc>
          <w:tcPr>
            <w:tcW w:w="18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50"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60" w:firstLine="576"/>
        <w:spacing w:after="0" w:line="266" w:lineRule="auto"/>
        <w:rPr>
          <w:sz w:val="20"/>
          <w:szCs w:val="20"/>
          <w:color w:val="auto"/>
        </w:rPr>
      </w:pPr>
      <w:r>
        <w:rPr>
          <w:rFonts w:ascii="Times New Roman" w:cs="Times New Roman" w:eastAsia="Times New Roman" w:hAnsi="Times New Roman"/>
          <w:sz w:val="18"/>
          <w:szCs w:val="18"/>
          <w:color w:val="auto"/>
        </w:rPr>
        <w:t>As previously disclosed, Gogo Inc. (the “Company”, “we” or “us”) continues to make progress on the ongoing roll-out of its Galileo HDX and FDX antennas and the planned future launch of its 5G network. We expect to have approximately 300 Galileo HDX and FDX antennas shipped by December 31, 2025, and the 5G network ready for customer launch in January 2026.</w:t>
      </w:r>
    </w:p>
    <w:p>
      <w:pPr>
        <w:spacing w:after="0" w:line="68" w:lineRule="exact"/>
        <w:rPr>
          <w:sz w:val="20"/>
          <w:szCs w:val="20"/>
          <w:color w:val="auto"/>
        </w:rPr>
      </w:pPr>
    </w:p>
    <w:p>
      <w:pPr>
        <w:ind w:right="220" w:firstLine="576"/>
        <w:spacing w:after="0" w:line="282" w:lineRule="auto"/>
        <w:rPr>
          <w:sz w:val="20"/>
          <w:szCs w:val="20"/>
          <w:color w:val="auto"/>
        </w:rPr>
      </w:pPr>
      <w:r>
        <w:rPr>
          <w:rFonts w:ascii="Times New Roman" w:cs="Times New Roman" w:eastAsia="Times New Roman" w:hAnsi="Times New Roman"/>
          <w:sz w:val="18"/>
          <w:szCs w:val="18"/>
          <w:color w:val="auto"/>
        </w:rPr>
        <w:t>These business developments take place in a highly competitive landscape, where we vie for new business opportunities regarding both new and existing customers. One of these existing customers is our long-standing business partner NetJets, which has been a customer for over two decades.</w:t>
      </w:r>
    </w:p>
    <w:p>
      <w:pPr>
        <w:spacing w:after="0" w:line="54"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The Company’s contract and existing business with NetJets currently remain fully in place, and the Company looks forward to potential opportunities to keep collaborating and to attract new business from NetJets. NetJets has confirmed continued support of our Gogo Galileo products and 5G.</w:t>
      </w:r>
    </w:p>
    <w:p>
      <w:pPr>
        <w:spacing w:after="0" w:line="68" w:lineRule="exact"/>
        <w:rPr>
          <w:sz w:val="20"/>
          <w:szCs w:val="20"/>
          <w:color w:val="auto"/>
        </w:rPr>
      </w:pPr>
    </w:p>
    <w:p>
      <w:pPr>
        <w:ind w:right="500" w:firstLine="576"/>
        <w:spacing w:after="0" w:line="282" w:lineRule="auto"/>
        <w:rPr>
          <w:sz w:val="20"/>
          <w:szCs w:val="20"/>
          <w:color w:val="auto"/>
        </w:rPr>
      </w:pPr>
      <w:r>
        <w:rPr>
          <w:rFonts w:ascii="Times New Roman" w:cs="Times New Roman" w:eastAsia="Times New Roman" w:hAnsi="Times New Roman"/>
          <w:sz w:val="18"/>
          <w:szCs w:val="18"/>
          <w:color w:val="auto"/>
        </w:rPr>
        <w:t>Fleet operators remain a significant part of business opportunities moving forward, as evidenced by our recent announcements with VistaJet, Avcon Jet, and Lux Aviation, which, together with NetJets, represent an opportunity of more than 1,000 aircraft.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6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Certain disclosures in this current report on Form 8-K (this “report”) include forward-looking statements within the meaning of the Private Securities Litigation Reform Act of 1995. These forward-looking statements include, without limitation, statements regarding our business outlook,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report. Forward-looking statements are based on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 our ability to continue to generate revenue from the provision of our connectivity and other service offerings; our development and fixed-price contracts; our reliance on our key OEMs and dealers for equipment sales; our dependence on single-source, third party satellite network providers; the impact of competition; our ability to maintain high-quality customer support; our reliance on third parties for equipment components and services; our ability to develop and deploy Gogo 5G, Gogo Galileo or other next generation technologies; our ability to maintain our rights to use our licensed 4Mhz of ATG spectrum in the United States and obtain rights to additional spectrum if needed; and other factors listed under the caption “Risk Factors” in our annual report on Form 10-K for the year ended December 31, 2024 as filed with the Securities and Exchange Commission (“SEC”) on March 14, 2025 and in our subsequent quarterly reports on Form 10-Q as filed with the SEC. 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GOGO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-7620</wp:posOffset>
            </wp:positionV>
            <wp:extent cx="1148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Crystal L. Gordon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Chief Administrative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2025-12-10T17:54:47Z</dcterms:created>
  <dcterms:modified xsi:type="dcterms:W3CDTF">2025-12-10T17:54:47Z</dcterms:modified>
</cp:coreProperties>
</file>