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106045</wp:posOffset>
            </wp:positionV>
            <wp:extent cx="1011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340" w:right="3840" w:hanging="332"/>
        <w:spacing w:after="0" w:line="328" w:lineRule="auto"/>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-266065</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340" w:right="3540" w:hanging="332"/>
        <w:spacing w:after="0" w:line="322" w:lineRule="auto"/>
        <w:tabs>
          <w:tab w:leader="none" w:pos="3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 to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-260985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840" w:type="dxa"/>
            <w:vAlign w:val="bottom"/>
          </w:tcPr>
          <w:p>
            <w:pPr>
              <w:spacing w:after="0"/>
              <w:rPr>
                <w:sz w:val="22"/>
                <w:szCs w:val="22"/>
                <w:color w:val="auto"/>
              </w:rPr>
            </w:pPr>
          </w:p>
        </w:tc>
        <w:tc>
          <w:tcPr>
            <w:tcW w:w="2620" w:type="dxa"/>
            <w:vAlign w:val="bottom"/>
          </w:tcPr>
          <w:p>
            <w:pPr>
              <w:jc w:val="center"/>
              <w:ind w:left="888"/>
              <w:spacing w:after="0"/>
              <w:rPr>
                <w:sz w:val="20"/>
                <w:szCs w:val="20"/>
                <w:color w:val="auto"/>
              </w:rPr>
            </w:pPr>
            <w:r>
              <w:rPr>
                <w:rFonts w:ascii="Arial" w:cs="Arial" w:eastAsia="Arial" w:hAnsi="Arial"/>
                <w:sz w:val="22"/>
                <w:szCs w:val="22"/>
                <w:b w:val="1"/>
                <w:bCs w:val="1"/>
                <w:color w:val="auto"/>
                <w:w w:val="88"/>
              </w:rPr>
              <w:t>Gogo Inc.</w:t>
            </w:r>
          </w:p>
        </w:tc>
        <w:tc>
          <w:tcPr>
            <w:tcW w:w="520" w:type="dxa"/>
            <w:vAlign w:val="bottom"/>
          </w:tcPr>
          <w:p>
            <w:pPr>
              <w:spacing w:after="0"/>
              <w:rPr>
                <w:sz w:val="22"/>
                <w:szCs w:val="22"/>
                <w:color w:val="auto"/>
              </w:rPr>
            </w:pPr>
          </w:p>
        </w:tc>
        <w:tc>
          <w:tcPr>
            <w:tcW w:w="4260" w:type="dxa"/>
            <w:vAlign w:val="bottom"/>
          </w:tcPr>
          <w:p>
            <w:pPr>
              <w:spacing w:after="0"/>
              <w:rPr>
                <w:sz w:val="22"/>
                <w:szCs w:val="22"/>
                <w:color w:val="auto"/>
              </w:rPr>
            </w:pPr>
          </w:p>
        </w:tc>
      </w:tr>
      <w:tr>
        <w:trPr>
          <w:trHeight w:val="160"/>
        </w:trPr>
        <w:tc>
          <w:tcPr>
            <w:tcW w:w="3840" w:type="dxa"/>
            <w:vAlign w:val="bottom"/>
          </w:tcPr>
          <w:p>
            <w:pPr>
              <w:spacing w:after="0"/>
              <w:rPr>
                <w:sz w:val="13"/>
                <w:szCs w:val="13"/>
                <w:color w:val="auto"/>
              </w:rPr>
            </w:pPr>
          </w:p>
        </w:tc>
        <w:tc>
          <w:tcPr>
            <w:tcW w:w="3140" w:type="dxa"/>
            <w:vAlign w:val="bottom"/>
            <w:gridSpan w:val="2"/>
          </w:tcPr>
          <w:p>
            <w:pPr>
              <w:jc w:val="center"/>
              <w:ind w:left="348"/>
              <w:spacing w:after="0"/>
              <w:rPr>
                <w:sz w:val="20"/>
                <w:szCs w:val="20"/>
                <w:color w:val="auto"/>
              </w:rPr>
            </w:pPr>
            <w:r>
              <w:rPr>
                <w:rFonts w:ascii="Arial" w:cs="Arial" w:eastAsia="Arial" w:hAnsi="Arial"/>
                <w:sz w:val="13"/>
                <w:szCs w:val="13"/>
                <w:color w:val="auto"/>
                <w:w w:val="87"/>
              </w:rPr>
              <w:t>(Exact name of registrant as specified in its charter)</w:t>
            </w:r>
          </w:p>
        </w:tc>
        <w:tc>
          <w:tcPr>
            <w:tcW w:w="4260" w:type="dxa"/>
            <w:vAlign w:val="bottom"/>
          </w:tcPr>
          <w:p>
            <w:pPr>
              <w:spacing w:after="0"/>
              <w:rPr>
                <w:sz w:val="13"/>
                <w:szCs w:val="13"/>
                <w:color w:val="auto"/>
              </w:rPr>
            </w:pPr>
          </w:p>
        </w:tc>
      </w:tr>
      <w:tr>
        <w:trPr>
          <w:trHeight w:val="199"/>
        </w:trPr>
        <w:tc>
          <w:tcPr>
            <w:tcW w:w="3840" w:type="dxa"/>
            <w:vAlign w:val="bottom"/>
          </w:tcPr>
          <w:p>
            <w:pPr>
              <w:jc w:val="center"/>
              <w:ind w:left="1634"/>
              <w:spacing w:after="0"/>
              <w:rPr>
                <w:sz w:val="20"/>
                <w:szCs w:val="20"/>
                <w:color w:val="auto"/>
              </w:rPr>
            </w:pPr>
            <w:r>
              <w:rPr>
                <w:rFonts w:ascii="Arial" w:cs="Arial" w:eastAsia="Arial" w:hAnsi="Arial"/>
                <w:sz w:val="14"/>
                <w:szCs w:val="14"/>
                <w:b w:val="1"/>
                <w:bCs w:val="1"/>
                <w:color w:val="auto"/>
                <w:w w:val="94"/>
              </w:rPr>
              <w:t>Delaware</w:t>
            </w:r>
          </w:p>
        </w:tc>
        <w:tc>
          <w:tcPr>
            <w:tcW w:w="2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60" w:type="dxa"/>
            <w:vAlign w:val="bottom"/>
          </w:tcPr>
          <w:p>
            <w:pPr>
              <w:ind w:left="1160"/>
              <w:spacing w:after="0"/>
              <w:rPr>
                <w:sz w:val="20"/>
                <w:szCs w:val="20"/>
                <w:color w:val="auto"/>
              </w:rPr>
            </w:pPr>
            <w:r>
              <w:rPr>
                <w:rFonts w:ascii="Arial" w:cs="Arial" w:eastAsia="Arial" w:hAnsi="Arial"/>
                <w:sz w:val="14"/>
                <w:szCs w:val="14"/>
                <w:b w:val="1"/>
                <w:bCs w:val="1"/>
                <w:color w:val="auto"/>
              </w:rPr>
              <w:t>27-1650905</w:t>
            </w:r>
          </w:p>
        </w:tc>
      </w:tr>
      <w:tr>
        <w:trPr>
          <w:trHeight w:val="135"/>
        </w:trPr>
        <w:tc>
          <w:tcPr>
            <w:tcW w:w="3840" w:type="dxa"/>
            <w:vAlign w:val="bottom"/>
          </w:tcPr>
          <w:p>
            <w:pPr>
              <w:jc w:val="center"/>
              <w:ind w:left="1614"/>
              <w:spacing w:after="0" w:line="135" w:lineRule="exact"/>
              <w:rPr>
                <w:sz w:val="20"/>
                <w:szCs w:val="20"/>
                <w:color w:val="auto"/>
              </w:rPr>
            </w:pPr>
            <w:r>
              <w:rPr>
                <w:rFonts w:ascii="Arial" w:cs="Arial" w:eastAsia="Arial" w:hAnsi="Arial"/>
                <w:sz w:val="12"/>
                <w:szCs w:val="12"/>
                <w:color w:val="auto"/>
                <w:w w:val="90"/>
              </w:rPr>
              <w:t>(State or other jurisdiction of</w:t>
            </w:r>
          </w:p>
        </w:tc>
        <w:tc>
          <w:tcPr>
            <w:tcW w:w="2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60" w:type="dxa"/>
            <w:vAlign w:val="bottom"/>
          </w:tcPr>
          <w:p>
            <w:pPr>
              <w:jc w:val="center"/>
              <w:ind w:right="1154"/>
              <w:spacing w:after="0" w:line="135" w:lineRule="exact"/>
              <w:rPr>
                <w:sz w:val="20"/>
                <w:szCs w:val="20"/>
                <w:color w:val="auto"/>
              </w:rPr>
            </w:pPr>
            <w:r>
              <w:rPr>
                <w:rFonts w:ascii="Arial" w:cs="Arial" w:eastAsia="Arial" w:hAnsi="Arial"/>
                <w:sz w:val="12"/>
                <w:szCs w:val="12"/>
                <w:color w:val="auto"/>
                <w:w w:val="90"/>
              </w:rPr>
              <w:t>(I.R.S. Employer</w:t>
            </w:r>
          </w:p>
        </w:tc>
      </w:tr>
      <w:tr>
        <w:trPr>
          <w:trHeight w:val="148"/>
        </w:trPr>
        <w:tc>
          <w:tcPr>
            <w:tcW w:w="3840" w:type="dxa"/>
            <w:vAlign w:val="bottom"/>
          </w:tcPr>
          <w:p>
            <w:pPr>
              <w:jc w:val="center"/>
              <w:ind w:left="1614"/>
              <w:spacing w:after="0"/>
              <w:rPr>
                <w:sz w:val="20"/>
                <w:szCs w:val="20"/>
                <w:color w:val="auto"/>
              </w:rPr>
            </w:pPr>
            <w:r>
              <w:rPr>
                <w:rFonts w:ascii="Arial" w:cs="Arial" w:eastAsia="Arial" w:hAnsi="Arial"/>
                <w:sz w:val="12"/>
                <w:szCs w:val="12"/>
                <w:color w:val="auto"/>
                <w:w w:val="90"/>
              </w:rPr>
              <w:t>Incorporation or Organization)</w:t>
            </w:r>
          </w:p>
        </w:tc>
        <w:tc>
          <w:tcPr>
            <w:tcW w:w="2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60" w:type="dxa"/>
            <w:vAlign w:val="bottom"/>
          </w:tcPr>
          <w:p>
            <w:pPr>
              <w:jc w:val="center"/>
              <w:ind w:right="1174"/>
              <w:spacing w:after="0"/>
              <w:rPr>
                <w:sz w:val="20"/>
                <w:szCs w:val="20"/>
                <w:color w:val="auto"/>
              </w:rPr>
            </w:pPr>
            <w:r>
              <w:rPr>
                <w:rFonts w:ascii="Arial" w:cs="Arial" w:eastAsia="Arial" w:hAnsi="Arial"/>
                <w:sz w:val="12"/>
                <w:szCs w:val="12"/>
                <w:color w:val="auto"/>
                <w:w w:val="92"/>
              </w:rPr>
              <w:t>Identification No.)</w:t>
            </w:r>
          </w:p>
        </w:tc>
      </w:tr>
      <w:tr>
        <w:trPr>
          <w:trHeight w:val="209"/>
        </w:trPr>
        <w:tc>
          <w:tcPr>
            <w:tcW w:w="38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2"/>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r>
      <w:tr>
        <w:trPr>
          <w:trHeight w:val="241"/>
        </w:trPr>
        <w:tc>
          <w:tcPr>
            <w:tcW w:w="3840" w:type="dxa"/>
            <w:vAlign w:val="bottom"/>
          </w:tcPr>
          <w:p>
            <w:pPr>
              <w:spacing w:after="0"/>
              <w:rPr>
                <w:sz w:val="20"/>
                <w:szCs w:val="20"/>
                <w:color w:val="auto"/>
              </w:rPr>
            </w:pPr>
          </w:p>
        </w:tc>
        <w:tc>
          <w:tcPr>
            <w:tcW w:w="314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3"/>
              </w:rPr>
              <w:t>111 North Canal St., Suite 1400</w:t>
            </w:r>
          </w:p>
        </w:tc>
        <w:tc>
          <w:tcPr>
            <w:tcW w:w="4260" w:type="dxa"/>
            <w:vAlign w:val="bottom"/>
          </w:tcPr>
          <w:p>
            <w:pPr>
              <w:spacing w:after="0"/>
              <w:rPr>
                <w:sz w:val="20"/>
                <w:szCs w:val="20"/>
                <w:color w:val="auto"/>
              </w:rPr>
            </w:pPr>
          </w:p>
        </w:tc>
      </w:tr>
      <w:tr>
        <w:trPr>
          <w:trHeight w:val="157"/>
        </w:trPr>
        <w:tc>
          <w:tcPr>
            <w:tcW w:w="3840" w:type="dxa"/>
            <w:vAlign w:val="bottom"/>
          </w:tcPr>
          <w:p>
            <w:pPr>
              <w:spacing w:after="0"/>
              <w:rPr>
                <w:sz w:val="13"/>
                <w:szCs w:val="13"/>
                <w:color w:val="auto"/>
              </w:rPr>
            </w:pPr>
          </w:p>
        </w:tc>
        <w:tc>
          <w:tcPr>
            <w:tcW w:w="2620" w:type="dxa"/>
            <w:vAlign w:val="bottom"/>
          </w:tcPr>
          <w:p>
            <w:pPr>
              <w:jc w:val="center"/>
              <w:ind w:left="868"/>
              <w:spacing w:after="0" w:line="157" w:lineRule="exact"/>
              <w:rPr>
                <w:sz w:val="20"/>
                <w:szCs w:val="20"/>
                <w:color w:val="auto"/>
              </w:rPr>
            </w:pPr>
            <w:r>
              <w:rPr>
                <w:rFonts w:ascii="Arial" w:cs="Arial" w:eastAsia="Arial" w:hAnsi="Arial"/>
                <w:sz w:val="14"/>
                <w:szCs w:val="14"/>
                <w:b w:val="1"/>
                <w:bCs w:val="1"/>
                <w:color w:val="auto"/>
                <w:w w:val="94"/>
              </w:rPr>
              <w:t>Chicago, IL 60606</w:t>
            </w:r>
          </w:p>
        </w:tc>
        <w:tc>
          <w:tcPr>
            <w:tcW w:w="520" w:type="dxa"/>
            <w:vAlign w:val="bottom"/>
          </w:tcPr>
          <w:p>
            <w:pPr>
              <w:spacing w:after="0"/>
              <w:rPr>
                <w:sz w:val="13"/>
                <w:szCs w:val="13"/>
                <w:color w:val="auto"/>
              </w:rPr>
            </w:pPr>
          </w:p>
        </w:tc>
        <w:tc>
          <w:tcPr>
            <w:tcW w:w="4260" w:type="dxa"/>
            <w:vAlign w:val="bottom"/>
          </w:tcPr>
          <w:p>
            <w:pPr>
              <w:spacing w:after="0"/>
              <w:rPr>
                <w:sz w:val="13"/>
                <w:szCs w:val="13"/>
                <w:color w:val="auto"/>
              </w:rPr>
            </w:pPr>
          </w:p>
        </w:tc>
      </w:tr>
      <w:tr>
        <w:trPr>
          <w:trHeight w:val="160"/>
        </w:trPr>
        <w:tc>
          <w:tcPr>
            <w:tcW w:w="3840" w:type="dxa"/>
            <w:vAlign w:val="bottom"/>
          </w:tcPr>
          <w:p>
            <w:pPr>
              <w:spacing w:after="0"/>
              <w:rPr>
                <w:sz w:val="13"/>
                <w:szCs w:val="13"/>
                <w:color w:val="auto"/>
              </w:rPr>
            </w:pPr>
          </w:p>
        </w:tc>
        <w:tc>
          <w:tcPr>
            <w:tcW w:w="3140" w:type="dxa"/>
            <w:vAlign w:val="bottom"/>
            <w:gridSpan w:val="2"/>
          </w:tcPr>
          <w:p>
            <w:pPr>
              <w:jc w:val="center"/>
              <w:ind w:left="348"/>
              <w:spacing w:after="0"/>
              <w:rPr>
                <w:sz w:val="20"/>
                <w:szCs w:val="20"/>
                <w:color w:val="auto"/>
              </w:rPr>
            </w:pPr>
            <w:r>
              <w:rPr>
                <w:rFonts w:ascii="Arial" w:cs="Arial" w:eastAsia="Arial" w:hAnsi="Arial"/>
                <w:sz w:val="13"/>
                <w:szCs w:val="13"/>
                <w:color w:val="auto"/>
                <w:w w:val="89"/>
              </w:rPr>
              <w:t>(Address of principal executive offices)</w:t>
            </w:r>
          </w:p>
        </w:tc>
        <w:tc>
          <w:tcPr>
            <w:tcW w:w="4260" w:type="dxa"/>
            <w:vAlign w:val="bottom"/>
          </w:tcPr>
          <w:p>
            <w:pPr>
              <w:spacing w:after="0"/>
              <w:rPr>
                <w:sz w:val="13"/>
                <w:szCs w:val="13"/>
                <w:color w:val="auto"/>
              </w:rPr>
            </w:pPr>
          </w:p>
        </w:tc>
      </w:tr>
      <w:tr>
        <w:trPr>
          <w:trHeight w:val="191"/>
        </w:trPr>
        <w:tc>
          <w:tcPr>
            <w:tcW w:w="3840" w:type="dxa"/>
            <w:vAlign w:val="bottom"/>
          </w:tcPr>
          <w:p>
            <w:pPr>
              <w:spacing w:after="0"/>
              <w:rPr>
                <w:sz w:val="16"/>
                <w:szCs w:val="16"/>
                <w:color w:val="auto"/>
              </w:rPr>
            </w:pPr>
          </w:p>
        </w:tc>
        <w:tc>
          <w:tcPr>
            <w:tcW w:w="314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3"/>
              </w:rPr>
              <w:t>Telephone Number (303) 301-3271</w:t>
            </w:r>
          </w:p>
        </w:tc>
        <w:tc>
          <w:tcPr>
            <w:tcW w:w="4260" w:type="dxa"/>
            <w:vAlign w:val="bottom"/>
          </w:tcPr>
          <w:p>
            <w:pPr>
              <w:spacing w:after="0"/>
              <w:rPr>
                <w:sz w:val="16"/>
                <w:szCs w:val="16"/>
                <w:color w:val="auto"/>
              </w:rPr>
            </w:pPr>
          </w:p>
        </w:tc>
      </w:tr>
      <w:tr>
        <w:trPr>
          <w:trHeight w:val="160"/>
        </w:trPr>
        <w:tc>
          <w:tcPr>
            <w:tcW w:w="3840" w:type="dxa"/>
            <w:vAlign w:val="bottom"/>
          </w:tcPr>
          <w:p>
            <w:pPr>
              <w:spacing w:after="0"/>
              <w:rPr>
                <w:sz w:val="13"/>
                <w:szCs w:val="13"/>
                <w:color w:val="auto"/>
              </w:rPr>
            </w:pPr>
          </w:p>
        </w:tc>
        <w:tc>
          <w:tcPr>
            <w:tcW w:w="3140" w:type="dxa"/>
            <w:vAlign w:val="bottom"/>
            <w:gridSpan w:val="2"/>
          </w:tcPr>
          <w:p>
            <w:pPr>
              <w:jc w:val="center"/>
              <w:ind w:left="368"/>
              <w:spacing w:after="0"/>
              <w:rPr>
                <w:sz w:val="20"/>
                <w:szCs w:val="20"/>
                <w:color w:val="auto"/>
              </w:rPr>
            </w:pPr>
            <w:r>
              <w:rPr>
                <w:rFonts w:ascii="Arial" w:cs="Arial" w:eastAsia="Arial" w:hAnsi="Arial"/>
                <w:sz w:val="13"/>
                <w:szCs w:val="13"/>
                <w:color w:val="auto"/>
                <w:w w:val="87"/>
              </w:rPr>
              <w:t>(Registrant’s telephone number, including area code)</w:t>
            </w:r>
          </w:p>
        </w:tc>
        <w:tc>
          <w:tcPr>
            <w:tcW w:w="4260" w:type="dxa"/>
            <w:vAlign w:val="bottom"/>
          </w:tcPr>
          <w:p>
            <w:pPr>
              <w:spacing w:after="0"/>
              <w:rPr>
                <w:sz w:val="13"/>
                <w:szCs w:val="13"/>
                <w:color w:val="auto"/>
              </w:rPr>
            </w:pPr>
          </w:p>
        </w:tc>
      </w:tr>
      <w:tr>
        <w:trPr>
          <w:trHeight w:val="56"/>
        </w:trPr>
        <w:tc>
          <w:tcPr>
            <w:tcW w:w="3840" w:type="dxa"/>
            <w:vAlign w:val="bottom"/>
            <w:tcBorders>
              <w:bottom w:val="single" w:sz="8" w:color="auto"/>
            </w:tcBorders>
          </w:tcPr>
          <w:p>
            <w:pPr>
              <w:spacing w:after="0"/>
              <w:rPr>
                <w:sz w:val="4"/>
                <w:szCs w:val="4"/>
                <w:color w:val="auto"/>
              </w:rPr>
            </w:pPr>
          </w:p>
        </w:tc>
        <w:tc>
          <w:tcPr>
            <w:tcW w:w="7400" w:type="dxa"/>
            <w:vAlign w:val="bottom"/>
            <w:tcBorders>
              <w:bottom w:val="single" w:sz="8" w:color="auto"/>
            </w:tcBorders>
            <w:gridSpan w:val="3"/>
          </w:tcPr>
          <w:p>
            <w:pPr>
              <w:spacing w:after="0"/>
              <w:rPr>
                <w:sz w:val="4"/>
                <w:szCs w:val="4"/>
                <w:color w:val="auto"/>
              </w:rPr>
            </w:pPr>
          </w:p>
        </w:tc>
      </w:tr>
      <w:tr>
        <w:trPr>
          <w:trHeight w:val="207"/>
        </w:trPr>
        <w:tc>
          <w:tcPr>
            <w:tcW w:w="3840" w:type="dxa"/>
            <w:vAlign w:val="bottom"/>
          </w:tcPr>
          <w:p>
            <w:pPr>
              <w:spacing w:after="0"/>
              <w:rPr>
                <w:sz w:val="18"/>
                <w:szCs w:val="18"/>
                <w:color w:val="auto"/>
              </w:rPr>
            </w:pPr>
          </w:p>
        </w:tc>
        <w:tc>
          <w:tcPr>
            <w:tcW w:w="7400" w:type="dxa"/>
            <w:vAlign w:val="bottom"/>
            <w:gridSpan w:val="3"/>
          </w:tcPr>
          <w:p>
            <w:pPr>
              <w:jc w:val="center"/>
              <w:ind w:right="3734"/>
              <w:spacing w:after="0"/>
              <w:rPr>
                <w:sz w:val="20"/>
                <w:szCs w:val="20"/>
                <w:color w:val="auto"/>
              </w:rPr>
            </w:pPr>
            <w:r>
              <w:rPr>
                <w:rFonts w:ascii="Arial" w:cs="Arial" w:eastAsia="Arial" w:hAnsi="Arial"/>
                <w:sz w:val="13"/>
                <w:szCs w:val="13"/>
                <w:color w:val="auto"/>
                <w:w w:val="88"/>
              </w:rPr>
              <w:t>Securities registered pursuant to Section 12(b) of the Act:</w:t>
            </w:r>
          </w:p>
        </w:tc>
      </w:tr>
      <w:tr>
        <w:trPr>
          <w:trHeight w:val="57"/>
        </w:trPr>
        <w:tc>
          <w:tcPr>
            <w:tcW w:w="38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60" w:type="dxa"/>
            <w:vAlign w:val="bottom"/>
          </w:tcPr>
          <w:p>
            <w:pPr>
              <w:spacing w:after="0"/>
              <w:rPr>
                <w:sz w:val="4"/>
                <w:szCs w:val="4"/>
                <w:color w:val="auto"/>
              </w:rPr>
            </w:pPr>
          </w:p>
        </w:tc>
      </w:tr>
      <w:tr>
        <w:trPr>
          <w:trHeight w:val="130"/>
        </w:trPr>
        <w:tc>
          <w:tcPr>
            <w:tcW w:w="3840" w:type="dxa"/>
            <w:vAlign w:val="bottom"/>
            <w:shd w:val="clear" w:color="auto" w:fill="FFFFFE"/>
          </w:tcPr>
          <w:p>
            <w:pPr>
              <w:jc w:val="center"/>
              <w:ind w:left="354"/>
              <w:spacing w:after="0" w:line="130" w:lineRule="exact"/>
              <w:rPr>
                <w:sz w:val="20"/>
                <w:szCs w:val="20"/>
                <w:color w:val="auto"/>
              </w:rPr>
            </w:pPr>
            <w:r>
              <w:rPr>
                <w:rFonts w:ascii="Arial" w:cs="Arial" w:eastAsia="Arial" w:hAnsi="Arial"/>
                <w:sz w:val="14"/>
                <w:szCs w:val="14"/>
                <w:color w:val="auto"/>
                <w:w w:val="96"/>
              </w:rPr>
              <w:t>Title of Class</w:t>
            </w:r>
          </w:p>
        </w:tc>
        <w:tc>
          <w:tcPr>
            <w:tcW w:w="2620" w:type="dxa"/>
            <w:vAlign w:val="bottom"/>
            <w:shd w:val="clear" w:color="auto" w:fill="FFFFFE"/>
          </w:tcPr>
          <w:p>
            <w:pPr>
              <w:jc w:val="center"/>
              <w:ind w:left="848"/>
              <w:spacing w:after="0" w:line="130" w:lineRule="exact"/>
              <w:rPr>
                <w:sz w:val="20"/>
                <w:szCs w:val="20"/>
                <w:color w:val="auto"/>
              </w:rPr>
            </w:pPr>
            <w:r>
              <w:rPr>
                <w:rFonts w:ascii="Arial" w:cs="Arial" w:eastAsia="Arial" w:hAnsi="Arial"/>
                <w:sz w:val="14"/>
                <w:szCs w:val="14"/>
                <w:color w:val="auto"/>
                <w:w w:val="95"/>
              </w:rPr>
              <w:t>Trading Symbol</w:t>
            </w:r>
          </w:p>
        </w:tc>
        <w:tc>
          <w:tcPr>
            <w:tcW w:w="520" w:type="dxa"/>
            <w:vAlign w:val="bottom"/>
            <w:shd w:val="clear" w:color="auto" w:fill="FFFFFE"/>
          </w:tcPr>
          <w:p>
            <w:pPr>
              <w:spacing w:after="0"/>
              <w:rPr>
                <w:sz w:val="11"/>
                <w:szCs w:val="11"/>
                <w:color w:val="auto"/>
              </w:rPr>
            </w:pPr>
          </w:p>
        </w:tc>
        <w:tc>
          <w:tcPr>
            <w:tcW w:w="4260" w:type="dxa"/>
            <w:vAlign w:val="bottom"/>
            <w:shd w:val="clear" w:color="auto" w:fill="FFFFFE"/>
          </w:tcPr>
          <w:p>
            <w:pPr>
              <w:ind w:left="780"/>
              <w:spacing w:after="0" w:line="130" w:lineRule="exact"/>
              <w:rPr>
                <w:sz w:val="20"/>
                <w:szCs w:val="20"/>
                <w:color w:val="auto"/>
              </w:rPr>
            </w:pPr>
            <w:r>
              <w:rPr>
                <w:rFonts w:ascii="Arial" w:cs="Arial" w:eastAsia="Arial" w:hAnsi="Arial"/>
                <w:sz w:val="14"/>
                <w:szCs w:val="14"/>
                <w:color w:val="auto"/>
              </w:rPr>
              <w:t>Name of Each Exchange on Which Registered</w:t>
            </w:r>
          </w:p>
        </w:tc>
      </w:tr>
      <w:tr>
        <w:trPr>
          <w:trHeight w:val="148"/>
        </w:trPr>
        <w:tc>
          <w:tcPr>
            <w:tcW w:w="3840" w:type="dxa"/>
            <w:vAlign w:val="bottom"/>
            <w:shd w:val="clear" w:color="auto" w:fill="FFFFFE"/>
          </w:tcPr>
          <w:p>
            <w:pPr>
              <w:jc w:val="center"/>
              <w:ind w:left="354"/>
              <w:spacing w:after="0" w:line="149" w:lineRule="exact"/>
              <w:rPr>
                <w:sz w:val="20"/>
                <w:szCs w:val="20"/>
                <w:color w:val="auto"/>
              </w:rPr>
            </w:pPr>
            <w:r>
              <w:rPr>
                <w:rFonts w:ascii="Arial" w:cs="Arial" w:eastAsia="Arial" w:hAnsi="Arial"/>
                <w:sz w:val="14"/>
                <w:szCs w:val="14"/>
                <w:color w:val="auto"/>
                <w:w w:val="91"/>
              </w:rPr>
              <w:t>Common stock, par value $0.0001 per share</w:t>
            </w:r>
          </w:p>
        </w:tc>
        <w:tc>
          <w:tcPr>
            <w:tcW w:w="2620" w:type="dxa"/>
            <w:vAlign w:val="bottom"/>
            <w:shd w:val="clear" w:color="auto" w:fill="FFFFFE"/>
          </w:tcPr>
          <w:p>
            <w:pPr>
              <w:jc w:val="center"/>
              <w:ind w:left="848"/>
              <w:spacing w:after="0" w:line="149" w:lineRule="exact"/>
              <w:rPr>
                <w:sz w:val="20"/>
                <w:szCs w:val="20"/>
                <w:color w:val="auto"/>
              </w:rPr>
            </w:pPr>
            <w:r>
              <w:rPr>
                <w:rFonts w:ascii="Arial" w:cs="Arial" w:eastAsia="Arial" w:hAnsi="Arial"/>
                <w:sz w:val="14"/>
                <w:szCs w:val="14"/>
                <w:color w:val="auto"/>
                <w:w w:val="96"/>
              </w:rPr>
              <w:t>GOGO</w:t>
            </w:r>
          </w:p>
        </w:tc>
        <w:tc>
          <w:tcPr>
            <w:tcW w:w="520" w:type="dxa"/>
            <w:vAlign w:val="bottom"/>
            <w:shd w:val="clear" w:color="auto" w:fill="FFFFFE"/>
          </w:tcPr>
          <w:p>
            <w:pPr>
              <w:spacing w:after="0"/>
              <w:rPr>
                <w:sz w:val="12"/>
                <w:szCs w:val="12"/>
                <w:color w:val="auto"/>
              </w:rPr>
            </w:pPr>
          </w:p>
        </w:tc>
        <w:tc>
          <w:tcPr>
            <w:tcW w:w="4260" w:type="dxa"/>
            <w:vAlign w:val="bottom"/>
            <w:shd w:val="clear" w:color="auto" w:fill="FFFFFE"/>
          </w:tcPr>
          <w:p>
            <w:pPr>
              <w:ind w:left="1180"/>
              <w:spacing w:after="0" w:line="149" w:lineRule="exact"/>
              <w:rPr>
                <w:sz w:val="20"/>
                <w:szCs w:val="20"/>
                <w:color w:val="auto"/>
              </w:rPr>
            </w:pPr>
            <w:r>
              <w:rPr>
                <w:rFonts w:ascii="Arial" w:cs="Arial" w:eastAsia="Arial" w:hAnsi="Arial"/>
                <w:sz w:val="14"/>
                <w:szCs w:val="14"/>
                <w:color w:val="auto"/>
              </w:rPr>
              <w:t>NASDAQ Global Select Market</w:t>
            </w:r>
          </w:p>
        </w:tc>
      </w:tr>
      <w:tr>
        <w:trPr>
          <w:trHeight w:val="167"/>
        </w:trPr>
        <w:tc>
          <w:tcPr>
            <w:tcW w:w="3840" w:type="dxa"/>
            <w:vAlign w:val="bottom"/>
            <w:shd w:val="clear" w:color="auto" w:fill="FFFFFE"/>
          </w:tcPr>
          <w:p>
            <w:pPr>
              <w:jc w:val="center"/>
              <w:ind w:left="354"/>
              <w:spacing w:after="0"/>
              <w:rPr>
                <w:sz w:val="20"/>
                <w:szCs w:val="20"/>
                <w:color w:val="auto"/>
              </w:rPr>
            </w:pPr>
            <w:r>
              <w:rPr>
                <w:rFonts w:ascii="Arial" w:cs="Arial" w:eastAsia="Arial" w:hAnsi="Arial"/>
                <w:sz w:val="14"/>
                <w:szCs w:val="14"/>
                <w:color w:val="auto"/>
                <w:w w:val="91"/>
              </w:rPr>
              <w:t>Preferred Stock Purchase Rights</w:t>
            </w:r>
          </w:p>
        </w:tc>
        <w:tc>
          <w:tcPr>
            <w:tcW w:w="2620" w:type="dxa"/>
            <w:vAlign w:val="bottom"/>
            <w:shd w:val="clear" w:color="auto" w:fill="FFFFFE"/>
          </w:tcPr>
          <w:p>
            <w:pPr>
              <w:jc w:val="center"/>
              <w:ind w:left="848"/>
              <w:spacing w:after="0"/>
              <w:rPr>
                <w:sz w:val="20"/>
                <w:szCs w:val="20"/>
                <w:color w:val="auto"/>
              </w:rPr>
            </w:pPr>
            <w:r>
              <w:rPr>
                <w:rFonts w:ascii="Arial" w:cs="Arial" w:eastAsia="Arial" w:hAnsi="Arial"/>
                <w:sz w:val="14"/>
                <w:szCs w:val="14"/>
                <w:color w:val="auto"/>
                <w:w w:val="96"/>
              </w:rPr>
              <w:t>GOGO</w:t>
            </w:r>
          </w:p>
        </w:tc>
        <w:tc>
          <w:tcPr>
            <w:tcW w:w="520" w:type="dxa"/>
            <w:vAlign w:val="bottom"/>
            <w:shd w:val="clear" w:color="auto" w:fill="FFFFFE"/>
          </w:tcPr>
          <w:p>
            <w:pPr>
              <w:spacing w:after="0"/>
              <w:rPr>
                <w:sz w:val="14"/>
                <w:szCs w:val="14"/>
                <w:color w:val="auto"/>
              </w:rPr>
            </w:pPr>
          </w:p>
        </w:tc>
        <w:tc>
          <w:tcPr>
            <w:tcW w:w="4260" w:type="dxa"/>
            <w:vAlign w:val="bottom"/>
            <w:shd w:val="clear" w:color="auto" w:fill="FFFFFE"/>
          </w:tcPr>
          <w:p>
            <w:pPr>
              <w:ind w:left="1180"/>
              <w:spacing w:after="0"/>
              <w:rPr>
                <w:sz w:val="20"/>
                <w:szCs w:val="20"/>
                <w:color w:val="auto"/>
              </w:rPr>
            </w:pPr>
            <w:r>
              <w:rPr>
                <w:rFonts w:ascii="Arial" w:cs="Arial" w:eastAsia="Arial" w:hAnsi="Arial"/>
                <w:sz w:val="14"/>
                <w:szCs w:val="14"/>
                <w:color w:val="auto"/>
              </w:rPr>
              <w:t>NASDAQ Global Select Market</w:t>
            </w:r>
          </w:p>
        </w:tc>
      </w:tr>
      <w:tr>
        <w:trPr>
          <w:trHeight w:val="295"/>
        </w:trPr>
        <w:tc>
          <w:tcPr>
            <w:tcW w:w="6460" w:type="dxa"/>
            <w:vAlign w:val="bottom"/>
            <w:gridSpan w:val="2"/>
          </w:tcPr>
          <w:p>
            <w:pPr>
              <w:ind w:left="400"/>
              <w:spacing w:after="0"/>
              <w:rPr>
                <w:sz w:val="20"/>
                <w:szCs w:val="20"/>
                <w:color w:val="auto"/>
              </w:rPr>
            </w:pPr>
            <w:r>
              <w:rPr>
                <w:rFonts w:ascii="Arial" w:cs="Arial" w:eastAsia="Arial" w:hAnsi="Arial"/>
                <w:sz w:val="13"/>
                <w:szCs w:val="13"/>
                <w:color w:val="auto"/>
                <w:w w:val="89"/>
              </w:rPr>
              <w:t>Indicate by check mark if the registrant is a well-known seasoned issuer, as defined in Rule 405 of the Securities Act.</w:t>
            </w:r>
          </w:p>
        </w:tc>
        <w:tc>
          <w:tcPr>
            <w:tcW w:w="52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4260" w:type="dxa"/>
            <w:vAlign w:val="bottom"/>
          </w:tcPr>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03"/>
        </w:trPr>
        <w:tc>
          <w:tcPr>
            <w:tcW w:w="6460" w:type="dxa"/>
            <w:vAlign w:val="bottom"/>
            <w:gridSpan w:val="2"/>
          </w:tcPr>
          <w:p>
            <w:pPr>
              <w:ind w:left="400"/>
              <w:spacing w:after="0"/>
              <w:rPr>
                <w:sz w:val="20"/>
                <w:szCs w:val="20"/>
                <w:color w:val="auto"/>
              </w:rPr>
            </w:pPr>
            <w:r>
              <w:rPr>
                <w:rFonts w:ascii="Arial" w:cs="Arial" w:eastAsia="Arial" w:hAnsi="Arial"/>
                <w:sz w:val="13"/>
                <w:szCs w:val="13"/>
                <w:color w:val="auto"/>
                <w:w w:val="88"/>
              </w:rPr>
              <w:t>Indicate by check mark if the registrant is not required to file reports pursuant to Section 13 or Section 15(d) of the Act.</w:t>
            </w:r>
          </w:p>
        </w:tc>
        <w:tc>
          <w:tcPr>
            <w:tcW w:w="520" w:type="dxa"/>
            <w:vAlign w:val="bottom"/>
          </w:tcPr>
          <w:p>
            <w:pPr>
              <w:ind w:left="140"/>
              <w:spacing w:after="0" w:line="150" w:lineRule="exact"/>
              <w:rPr>
                <w:sz w:val="20"/>
                <w:szCs w:val="20"/>
                <w:color w:val="auto"/>
              </w:rPr>
            </w:pPr>
            <w:r>
              <w:rPr>
                <w:rFonts w:ascii="Arial" w:cs="Arial" w:eastAsia="Arial" w:hAnsi="Arial"/>
                <w:sz w:val="13"/>
                <w:szCs w:val="13"/>
                <w:color w:val="auto"/>
                <w:w w:val="92"/>
              </w:rPr>
              <w:t xml:space="preserve">Yes </w:t>
            </w:r>
            <w:r>
              <w:rPr>
                <w:rFonts w:ascii="MS PGothic" w:cs="MS PGothic" w:eastAsia="MS PGothic" w:hAnsi="MS PGothic"/>
                <w:sz w:val="13"/>
                <w:szCs w:val="13"/>
                <w:color w:val="auto"/>
                <w:w w:val="92"/>
              </w:rPr>
              <w:t>☐</w:t>
            </w:r>
          </w:p>
        </w:tc>
        <w:tc>
          <w:tcPr>
            <w:tcW w:w="4260" w:type="dxa"/>
            <w:vAlign w:val="bottom"/>
          </w:tcPr>
          <w:p>
            <w:pPr>
              <w:ind w:left="1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15" w:lineRule="exact"/>
        <w:rPr>
          <w:sz w:val="24"/>
          <w:szCs w:val="24"/>
          <w:color w:val="auto"/>
        </w:rPr>
      </w:pPr>
    </w:p>
    <w:p>
      <w:pPr>
        <w:ind w:right="180" w:firstLine="401"/>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firstLine="401"/>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0" w:firstLine="401"/>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9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ind w:left="3440"/>
              <w:spacing w:after="0"/>
              <w:rPr>
                <w:sz w:val="20"/>
                <w:szCs w:val="20"/>
                <w:color w:val="auto"/>
              </w:rPr>
            </w:pPr>
            <w:r>
              <w:rPr>
                <w:rFonts w:ascii="Arial" w:cs="Arial" w:eastAsia="Arial" w:hAnsi="Arial"/>
                <w:sz w:val="13"/>
                <w:szCs w:val="13"/>
                <w:color w:val="auto"/>
              </w:rPr>
              <w:t>Accelerated filer</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500" w:type="dxa"/>
            <w:vAlign w:val="bottom"/>
          </w:tcPr>
          <w:p>
            <w:pPr>
              <w:spacing w:after="0"/>
              <w:rPr>
                <w:sz w:val="20"/>
                <w:szCs w:val="20"/>
                <w:color w:val="auto"/>
              </w:rPr>
            </w:pPr>
            <w:r>
              <w:rPr>
                <w:rFonts w:ascii="Arial" w:cs="Arial" w:eastAsia="Arial" w:hAnsi="Arial"/>
                <w:sz w:val="13"/>
                <w:szCs w:val="13"/>
                <w:color w:val="auto"/>
              </w:rPr>
              <w:t>Non-accelerated filer</w:t>
            </w:r>
          </w:p>
        </w:tc>
        <w:tc>
          <w:tcPr>
            <w:tcW w:w="39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ind w:left="3440"/>
              <w:spacing w:after="0"/>
              <w:rPr>
                <w:sz w:val="20"/>
                <w:szCs w:val="20"/>
                <w:color w:val="auto"/>
              </w:rPr>
            </w:pPr>
            <w:r>
              <w:rPr>
                <w:rFonts w:ascii="Arial" w:cs="Arial" w:eastAsia="Arial" w:hAnsi="Arial"/>
                <w:sz w:val="13"/>
                <w:szCs w:val="13"/>
                <w:color w:val="auto"/>
              </w:rPr>
              <w:t>Smaller reporting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5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140" w:type="dxa"/>
            <w:vAlign w:val="bottom"/>
          </w:tcPr>
          <w:p>
            <w:pPr>
              <w:ind w:left="3440"/>
              <w:spacing w:after="0"/>
              <w:rPr>
                <w:sz w:val="20"/>
                <w:szCs w:val="20"/>
                <w:color w:val="auto"/>
              </w:rPr>
            </w:pPr>
            <w:r>
              <w:rPr>
                <w:rFonts w:ascii="Arial" w:cs="Arial" w:eastAsia="Arial" w:hAnsi="Arial"/>
                <w:sz w:val="13"/>
                <w:szCs w:val="13"/>
                <w:color w:val="auto"/>
              </w:rPr>
              <w:t>Emerging growth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82" w:lineRule="exact"/>
        <w:rPr>
          <w:sz w:val="24"/>
          <w:szCs w:val="24"/>
          <w:color w:val="auto"/>
        </w:rPr>
      </w:pPr>
    </w:p>
    <w:p>
      <w:pPr>
        <w:ind w:right="40" w:firstLine="401"/>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 w:lineRule="exact"/>
        <w:rPr>
          <w:sz w:val="24"/>
          <w:szCs w:val="24"/>
          <w:color w:val="auto"/>
        </w:rPr>
      </w:pPr>
    </w:p>
    <w:p>
      <w:pPr>
        <w:ind w:left="400"/>
        <w:spacing w:after="0" w:line="150" w:lineRule="exact"/>
        <w:tabs>
          <w:tab w:leader="none" w:pos="6260" w:val="left"/>
          <w:tab w:leader="none" w:pos="67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64" w:lineRule="exact"/>
        <w:rPr>
          <w:sz w:val="24"/>
          <w:szCs w:val="24"/>
          <w:color w:val="auto"/>
        </w:rPr>
      </w:pPr>
    </w:p>
    <w:p>
      <w:pPr>
        <w:ind w:right="360" w:firstLine="401"/>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120" w:firstLine="401"/>
        <w:spacing w:after="0" w:line="236" w:lineRule="auto"/>
        <w:rPr>
          <w:sz w:val="20"/>
          <w:szCs w:val="20"/>
          <w:color w:val="auto"/>
        </w:rPr>
      </w:pPr>
      <w:r>
        <w:rPr>
          <w:rFonts w:ascii="Arial" w:cs="Arial" w:eastAsia="Arial" w:hAnsi="Arial"/>
          <w:sz w:val="13"/>
          <w:szCs w:val="13"/>
          <w:color w:val="auto"/>
        </w:rPr>
        <w:t>The aggregate market value of the voting and non-voting stock held by non-affiliates of the registrant as of June 30, 2020, the last business day of the registrant's most recently completed second fiscal quarter, was $164,358,666 based upon the closing price reported for such date on the NASDAQ Global Select Market.</w:t>
      </w:r>
    </w:p>
    <w:p>
      <w:pPr>
        <w:spacing w:after="0" w:line="30" w:lineRule="exact"/>
        <w:rPr>
          <w:sz w:val="24"/>
          <w:szCs w:val="24"/>
          <w:color w:val="auto"/>
        </w:rPr>
      </w:pPr>
    </w:p>
    <w:p>
      <w:pPr>
        <w:ind w:left="400"/>
        <w:spacing w:after="0"/>
        <w:rPr>
          <w:sz w:val="20"/>
          <w:szCs w:val="20"/>
          <w:color w:val="auto"/>
        </w:rPr>
      </w:pPr>
      <w:r>
        <w:rPr>
          <w:rFonts w:ascii="Arial" w:cs="Arial" w:eastAsia="Arial" w:hAnsi="Arial"/>
          <w:sz w:val="13"/>
          <w:szCs w:val="13"/>
          <w:color w:val="auto"/>
        </w:rPr>
        <w:t>As of March 4, 2021, 86,395,670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44" w:lineRule="exact"/>
        <w:rPr>
          <w:sz w:val="20"/>
          <w:szCs w:val="20"/>
          <w:color w:val="auto"/>
        </w:rPr>
      </w:pPr>
    </w:p>
    <w:p>
      <w:pPr>
        <w:ind w:right="80" w:firstLine="401"/>
        <w:spacing w:after="0" w:line="236" w:lineRule="auto"/>
        <w:rPr>
          <w:sz w:val="20"/>
          <w:szCs w:val="20"/>
          <w:color w:val="auto"/>
        </w:rPr>
      </w:pPr>
      <w:r>
        <w:rPr>
          <w:rFonts w:ascii="Arial" w:cs="Arial" w:eastAsia="Arial" w:hAnsi="Arial"/>
          <w:sz w:val="13"/>
          <w:szCs w:val="13"/>
          <w:color w:val="auto"/>
        </w:rPr>
        <w:t>Portions of the registrant’s definitive Proxy Statement for its Annual Meeting of Stockholders scheduled to be held May 27, 2021 are incorporated by reference into Part III of this Form 10-K. Such proxy statement will be filed with the Securities and Exchange Commission within 120 days of the registrant’s fiscal year ended December 31,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9500" w:type="dxa"/>
            <w:vAlign w:val="bottom"/>
          </w:tcPr>
          <w:p>
            <w:pPr>
              <w:ind w:left="4440"/>
              <w:spacing w:after="0"/>
              <w:rPr>
                <w:sz w:val="20"/>
                <w:szCs w:val="20"/>
                <w:color w:val="auto"/>
              </w:rPr>
            </w:pPr>
            <w:r>
              <w:rPr>
                <w:rFonts w:ascii="Arial" w:cs="Arial" w:eastAsia="Arial" w:hAnsi="Arial"/>
                <w:sz w:val="18"/>
                <w:szCs w:val="18"/>
                <w:b w:val="1"/>
                <w:bCs w:val="1"/>
                <w:color w:val="auto"/>
              </w:rPr>
              <w:t>Gogo 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9500" w:type="dxa"/>
            <w:vAlign w:val="bottom"/>
          </w:tcPr>
          <w:p>
            <w:pPr>
              <w:ind w:left="4540"/>
              <w:spacing w:after="0"/>
              <w:rPr>
                <w:sz w:val="20"/>
                <w:szCs w:val="20"/>
                <w:color w:val="auto"/>
              </w:rPr>
            </w:pPr>
            <w:r>
              <w:rPr>
                <w:rFonts w:ascii="Arial" w:cs="Arial" w:eastAsia="Arial" w:hAnsi="Arial"/>
                <w:sz w:val="18"/>
                <w:szCs w:val="18"/>
                <w:b w:val="1"/>
                <w:bCs w:val="1"/>
                <w:color w:val="auto"/>
              </w:rPr>
              <w:t>INDEX</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tcPr>
          <w:p>
            <w:pPr>
              <w:spacing w:after="0"/>
              <w:rPr>
                <w:sz w:val="24"/>
                <w:szCs w:val="24"/>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5"/>
        </w:trPr>
        <w:tc>
          <w:tcPr>
            <w:tcW w:w="800" w:type="dxa"/>
            <w:vAlign w:val="bottom"/>
            <w:vMerge w:val="continue"/>
          </w:tcPr>
          <w:p>
            <w:pPr>
              <w:spacing w:after="0"/>
              <w:rPr>
                <w:sz w:val="16"/>
                <w:szCs w:val="16"/>
                <w:color w:val="auto"/>
              </w:rPr>
            </w:pPr>
          </w:p>
        </w:tc>
        <w:tc>
          <w:tcPr>
            <w:tcW w:w="9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1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500" w:type="dxa"/>
            <w:vAlign w:val="bottom"/>
          </w:tcPr>
          <w:p>
            <w:pPr>
              <w:ind w:left="1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1B.</w:t>
            </w:r>
          </w:p>
        </w:tc>
        <w:tc>
          <w:tcPr>
            <w:tcW w:w="9500" w:type="dxa"/>
            <w:vAlign w:val="bottom"/>
          </w:tcPr>
          <w:p>
            <w:pPr>
              <w:ind w:left="1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Unresolved Staff Comments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tcPr>
          <w:p>
            <w:pPr>
              <w:ind w:left="1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Properties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tcPr>
          <w:p>
            <w:pPr>
              <w:ind w:left="1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Legal Proceedings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2"/>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tcPr>
          <w:p>
            <w:pPr>
              <w:ind w:left="1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Mine Safety Disclosures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0"/>
        </w:trPr>
        <w:tc>
          <w:tcPr>
            <w:tcW w:w="8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9500" w:type="dxa"/>
            <w:vAlign w:val="bottom"/>
          </w:tcPr>
          <w:p>
            <w:pPr>
              <w:ind w:left="1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tcPr>
          <w:p>
            <w:pPr>
              <w:ind w:left="1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Selected Financial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7.</w:t>
            </w:r>
          </w:p>
        </w:tc>
        <w:tc>
          <w:tcPr>
            <w:tcW w:w="9500" w:type="dxa"/>
            <w:vAlign w:val="bottom"/>
          </w:tcPr>
          <w:p>
            <w:pPr>
              <w:ind w:left="1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7A.</w:t>
            </w:r>
          </w:p>
        </w:tc>
        <w:tc>
          <w:tcPr>
            <w:tcW w:w="9500" w:type="dxa"/>
            <w:vAlign w:val="bottom"/>
          </w:tcPr>
          <w:p>
            <w:pPr>
              <w:ind w:left="16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Quantitative and Qualitative Disclosures About Market Risk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8.</w:t>
            </w:r>
          </w:p>
        </w:tc>
        <w:tc>
          <w:tcPr>
            <w:tcW w:w="9500" w:type="dxa"/>
            <w:vAlign w:val="bottom"/>
          </w:tcPr>
          <w:p>
            <w:pPr>
              <w:ind w:left="16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Financial Statements and Supplementary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9.</w:t>
            </w:r>
          </w:p>
        </w:tc>
        <w:tc>
          <w:tcPr>
            <w:tcW w:w="9500" w:type="dxa"/>
            <w:vAlign w:val="bottom"/>
          </w:tcPr>
          <w:p>
            <w:pPr>
              <w:ind w:left="16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Changes in and Disagreements With Accountants on Accounting and Financial Disclosure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9A.</w:t>
            </w:r>
          </w:p>
        </w:tc>
        <w:tc>
          <w:tcPr>
            <w:tcW w:w="9500" w:type="dxa"/>
            <w:vAlign w:val="bottom"/>
          </w:tcPr>
          <w:p>
            <w:pPr>
              <w:ind w:left="16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2"/>
        </w:trPr>
        <w:tc>
          <w:tcPr>
            <w:tcW w:w="800" w:type="dxa"/>
            <w:vAlign w:val="bottom"/>
          </w:tcPr>
          <w:p>
            <w:pPr>
              <w:spacing w:after="0"/>
              <w:rPr>
                <w:sz w:val="20"/>
                <w:szCs w:val="20"/>
                <w:color w:val="auto"/>
              </w:rPr>
            </w:pPr>
            <w:r>
              <w:rPr>
                <w:rFonts w:ascii="Arial" w:cs="Arial" w:eastAsia="Arial" w:hAnsi="Arial"/>
                <w:sz w:val="18"/>
                <w:szCs w:val="18"/>
                <w:color w:val="auto"/>
              </w:rPr>
              <w:t>Item 9B.</w:t>
            </w:r>
          </w:p>
        </w:tc>
        <w:tc>
          <w:tcPr>
            <w:tcW w:w="9500" w:type="dxa"/>
            <w:vAlign w:val="bottom"/>
          </w:tcPr>
          <w:p>
            <w:pPr>
              <w:ind w:left="16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Other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0"/>
        </w:trPr>
        <w:tc>
          <w:tcPr>
            <w:tcW w:w="8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10.</w:t>
            </w:r>
          </w:p>
        </w:tc>
        <w:tc>
          <w:tcPr>
            <w:tcW w:w="9500" w:type="dxa"/>
            <w:vAlign w:val="bottom"/>
          </w:tcPr>
          <w:p>
            <w:pPr>
              <w:ind w:left="16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Directors, Executive Officers and Corporate Governance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11.</w:t>
            </w:r>
          </w:p>
        </w:tc>
        <w:tc>
          <w:tcPr>
            <w:tcW w:w="9500" w:type="dxa"/>
            <w:vAlign w:val="bottom"/>
          </w:tcPr>
          <w:p>
            <w:pPr>
              <w:ind w:left="16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Executive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12.</w:t>
            </w:r>
          </w:p>
        </w:tc>
        <w:tc>
          <w:tcPr>
            <w:tcW w:w="9500" w:type="dxa"/>
            <w:vAlign w:val="bottom"/>
          </w:tcPr>
          <w:p>
            <w:pPr>
              <w:ind w:left="16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Security Ownership of Certain Beneficial Owners and Management and Related Stockholder Matters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13.</w:t>
            </w:r>
          </w:p>
        </w:tc>
        <w:tc>
          <w:tcPr>
            <w:tcW w:w="9500" w:type="dxa"/>
            <w:vAlign w:val="bottom"/>
          </w:tcPr>
          <w:p>
            <w:pPr>
              <w:ind w:left="16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Certain Relationships and Related Transactions, and Director Independence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2"/>
        </w:trPr>
        <w:tc>
          <w:tcPr>
            <w:tcW w:w="800" w:type="dxa"/>
            <w:vAlign w:val="bottom"/>
          </w:tcPr>
          <w:p>
            <w:pPr>
              <w:spacing w:after="0"/>
              <w:rPr>
                <w:sz w:val="20"/>
                <w:szCs w:val="20"/>
                <w:color w:val="auto"/>
              </w:rPr>
            </w:pPr>
            <w:r>
              <w:rPr>
                <w:rFonts w:ascii="Arial" w:cs="Arial" w:eastAsia="Arial" w:hAnsi="Arial"/>
                <w:sz w:val="18"/>
                <w:szCs w:val="18"/>
                <w:color w:val="auto"/>
              </w:rPr>
              <w:t>Item 14.</w:t>
            </w:r>
          </w:p>
        </w:tc>
        <w:tc>
          <w:tcPr>
            <w:tcW w:w="9500" w:type="dxa"/>
            <w:vAlign w:val="bottom"/>
          </w:tcPr>
          <w:p>
            <w:pPr>
              <w:ind w:left="16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Principal Accounting Fees and Services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0"/>
        </w:trPr>
        <w:tc>
          <w:tcPr>
            <w:tcW w:w="8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15.</w:t>
            </w:r>
          </w:p>
        </w:tc>
        <w:tc>
          <w:tcPr>
            <w:tcW w:w="9500" w:type="dxa"/>
            <w:vAlign w:val="bottom"/>
          </w:tcPr>
          <w:p>
            <w:pPr>
              <w:ind w:left="16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Exhibits, Financial Statement Schedules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16.</w:t>
            </w:r>
          </w:p>
        </w:tc>
        <w:tc>
          <w:tcPr>
            <w:tcW w:w="9500" w:type="dxa"/>
            <w:vAlign w:val="bottom"/>
          </w:tcPr>
          <w:p>
            <w:pPr>
              <w:ind w:left="16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Form 10-K Summary</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right="80" w:firstLine="546"/>
        <w:spacing w:after="0" w:line="273" w:lineRule="auto"/>
        <w:rPr>
          <w:sz w:val="20"/>
          <w:szCs w:val="20"/>
          <w:color w:val="auto"/>
        </w:rPr>
      </w:pPr>
      <w:r>
        <w:rPr>
          <w:rFonts w:ascii="Arial" w:cs="Arial" w:eastAsia="Arial" w:hAnsi="Arial"/>
          <w:sz w:val="17"/>
          <w:szCs w:val="17"/>
          <w:i w:val="1"/>
          <w:iCs w:val="1"/>
          <w:color w:val="auto"/>
        </w:rPr>
        <w:t>Unless the context otherwise indicates or requires, as used in this Annual Report on Form 10-K for the fiscal year ended December 31, 2020, references to: (i) “we,” “us,” “our,” “Gogo,” or the “Company” refer to Gogo Inc. and its directly and indirectly owned subsidiaries as a combined entity, except where otherwise stated or where it is clear that the term means only Gogo Inc. exclusive of its subsidiaries; and (ii) “fiscal,” when used in reference to any twelve-month period ended December 31, refers to our fiscal year ended December 31. Unless otherwise indicated, information contained in this Annual Report is as of December 31, 2020. We have made rounding adjustments to reach some of the figures included in this Annual Report and, unless otherwise indicated, percentages presented in this Annual Report are approximate.</w:t>
      </w:r>
    </w:p>
    <w:p>
      <w:pPr>
        <w:spacing w:after="0" w:line="178"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i w:val="1"/>
          <w:iCs w:val="1"/>
          <w:color w:val="auto"/>
        </w:rPr>
        <w:t>On December 1, 2020, we completed the previously announced sale of our commercial aviation (“CA”) business to a subsidiary of Intelsat Jackson Holdings S.A. (“Intelsat”) for a purchase price of $400 million in cash, subject to certain adjustments (the “Transaction”). As a result, all periods presented in this Form 10-K have been conformed to present the CA business as discontinued operations.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546"/>
        <w:spacing w:after="0" w:line="288" w:lineRule="auto"/>
        <w:rPr>
          <w:sz w:val="20"/>
          <w:szCs w:val="20"/>
          <w:color w:val="auto"/>
        </w:rPr>
      </w:pPr>
      <w:r>
        <w:rPr>
          <w:rFonts w:ascii="Arial" w:cs="Arial" w:eastAsia="Arial" w:hAnsi="Arial"/>
          <w:sz w:val="16"/>
          <w:szCs w:val="16"/>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Annual Report on Form 10-K. Forward-looking statements are based on current expectations and assumptions that are subject to risks and uncertainties that may cause actual results to differ materially. We describe risks and uncertainties that could cause actual results and events to differ materially under “Risk Factors,” “Quantitative and Qualitative Disclosures about Market Risk,” and “Management’s Discussion and Analysis” in this report. We undertake no obligation to update or revise publicly any forward-looking statements, whether because of new information, future events, or otherwise.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The following summarizes the principal factors that make an investment in our company speculative or risky, all of which are more fully described in the Risk Factors section below. This summary should be read in conjunction with the Risk Factors section and should not be relied upon as an exhaustive summary of the material risks facing our business. The following factors could result in harm to our business, reputation, revenue, financial results and prospects, among other impacts: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Risks Related to Our Business</w:t>
      </w:r>
    </w:p>
    <w:p>
      <w:pPr>
        <w:spacing w:after="0" w:line="117"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generate revenue from the provision of our connectivity services;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our key OEMs and dealers for equipment sales;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the measures implemented to combat it;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the anticipated benefits of the sale of the CA business;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to support our business strategy;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evaluate or pursue strategic opportunities;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for components, equipment and services;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train and retain highly skilled employees; and</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adverse economic conditions.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Risks Related to Our Technology and Intellectual Property</w:t>
      </w:r>
    </w:p>
    <w:p>
      <w:pPr>
        <w:spacing w:after="0" w:line="117"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deploy Gogo 5G;</w:t>
      </w:r>
    </w:p>
    <w:p>
      <w:pPr>
        <w:spacing w:after="0" w:line="117"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rights to use our licensed 3Mhz of ATG spectrum in the United States and obtain rights to additional spectrum if needed;</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disruptions and equipment or software defects or other errors;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assertions by third parties of infringement, misappropriation or other violations;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innovate and provide products and services;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our use of open source software.</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Risks Related to Litigation and Regulation</w:t>
      </w:r>
    </w:p>
    <w:p>
      <w:pPr>
        <w:spacing w:after="0" w:line="117"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applicable foreign ownership limitations;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government regulation of the internet and conflict minerals;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possession and use of personal information; and</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of expenses or liabilities resulting from litigation.</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Risks Related to Our Indebtedness</w:t>
      </w:r>
    </w:p>
    <w:p>
      <w:pPr>
        <w:spacing w:after="0" w:line="117"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our substantial indebtedness;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additional financing to refinance or repay our existing indebtedness;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restrictions and limitations in the agreements and instruments governing our debt;</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 substantial portion of our indebtedness being secured by substantially all of our assets;</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 downgrade, suspension or withdrawal of the rating assigned by a rating agency.</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Risks Related to Our Common Stock</w:t>
      </w:r>
    </w:p>
    <w:p>
      <w:pPr>
        <w:spacing w:after="0" w:line="117"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volatility of our stock price;</w:t>
      </w:r>
    </w:p>
    <w:p>
      <w:pPr>
        <w:spacing w:after="0" w:line="117" w:lineRule="exact"/>
        <w:rPr>
          <w:rFonts w:ascii="Arial" w:cs="Arial" w:eastAsia="Arial" w:hAnsi="Arial"/>
          <w:sz w:val="18"/>
          <w:szCs w:val="18"/>
          <w:color w:val="auto"/>
        </w:rPr>
      </w:pPr>
    </w:p>
    <w:p>
      <w:pPr>
        <w:ind w:left="580" w:right="600" w:hanging="572"/>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adjustments by holders of our convertible debt of their hedging positions in our common stock and the forward stock purchase transactions;</w:t>
      </w:r>
    </w:p>
    <w:p>
      <w:pPr>
        <w:spacing w:after="0" w:line="62"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dilutive impact of future stock issuances, including upon conversion of our convertible debt;</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President, CEO and Chairman of the Board being a significant stockholder;</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fulfill our obligations associated with being a public company;</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utilization of our tax losses; and</w:t>
      </w:r>
    </w:p>
    <w:p>
      <w:pPr>
        <w:spacing w:after="0" w:line="117" w:lineRule="exact"/>
        <w:rPr>
          <w:rFonts w:ascii="Arial" w:cs="Arial" w:eastAsia="Arial" w:hAnsi="Arial"/>
          <w:sz w:val="18"/>
          <w:szCs w:val="18"/>
          <w:color w:val="auto"/>
        </w:rPr>
      </w:pPr>
    </w:p>
    <w:p>
      <w:pPr>
        <w:ind w:left="580" w:right="280" w:hanging="572"/>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anti-takeover provisions, ownership provisions and certain other provisions in our charter, bylaws, Delaware law, and our existing and any future credit facilities.</w:t>
      </w:r>
    </w:p>
    <w:p>
      <w:pPr>
        <w:spacing w:after="0" w:line="17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00" w:top="449" w:right="399" w:bottom="1440" w:gutter="0" w:footer="0" w:header="0"/>
        </w:sectPr>
      </w:pPr>
    </w:p>
    <w:bookmarkStart w:id="4" w:name="page5"/>
    <w:bookmarkEnd w:id="4"/>
    <w:p>
      <w:pPr>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Gogo is the world’s largest provider of broadband connectivity services for the business aviation market. We have served this market for more than 20 years. Our mission is to provide ground-like connectivity to every passenger on every business aviation flight around the globe, enabling superior passenger experiences and efficient flight operations. To accomplish our mission, we design, build and operate dedicated air-to-ground (“ATG”) networks and engineer, install and maintain in-flight systems of proprietary hardware and software. We hold the exclusive license to 4MHz of U.S. nationwide spectrum dedicated to air-to-ground use, as well as exclusive rights to the same spectrum in Canada. We offer our customers a broad suite of integrated equipment, network and Internet connectivity products and services as well as global support capabilities. Our offerings include a customizable suite of smart cabin systems for highly integrated connectivity, in-flight entertainment and voice solutions.</w:t>
      </w:r>
    </w:p>
    <w:p>
      <w:pPr>
        <w:spacing w:after="0" w:line="17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As of December 31, 2020, we had approximately 5,800 ATG business aircraft online of which approximately 1,700 were equipped with our AVANCE platform and approximately 4,100 with Gogo Biz, our legacy ATG broadband system. AVANCE is a software-centric platform that enables us to offer a broad range of products and features and employ multiple spectrum frequencies and networks as new technologies emerge. Of the AVANCE aircraft online at December 31, 2020, approximately 1,200 were equipped with AVANCE L5</w:t>
      </w:r>
      <w:r>
        <w:rPr>
          <w:rFonts w:ascii="Arial" w:cs="Arial" w:eastAsia="Arial" w:hAnsi="Arial"/>
          <w:sz w:val="14"/>
          <w:szCs w:val="14"/>
          <w:color w:val="auto"/>
        </w:rPr>
        <w:t>TM</w:t>
      </w:r>
      <w:r>
        <w:rPr>
          <w:rFonts w:ascii="Arial" w:cs="Arial" w:eastAsia="Arial" w:hAnsi="Arial"/>
          <w:sz w:val="17"/>
          <w:szCs w:val="17"/>
          <w:color w:val="auto"/>
        </w:rPr>
        <w:t xml:space="preserve"> and approximately 500 with AVANCE L3™, a compact version of AVANCE L5 modified for small business aircraft. As of December 31, 2020, we had approximately 700 paid subscribers to Gogo Vision, our in-flight video on demand entertainment service. As of such date, we also had approximately 4,700 aircraft online equipped with narrow band satellite solutions that we provide pursuant to distribution agreements with satellite providers.</w:t>
      </w:r>
    </w:p>
    <w:p>
      <w:pPr>
        <w:spacing w:after="0" w:line="177"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We continually innovate to maintain our leading global market share and support our customers’ needs, and in May 2019, we announced our plans to build our Gogo 5G network for use on business aviation aircraft, commercial regional jets and smaller mainline jets operating within the continental United States and Canada. We expect the new network to be deployed on a nationwide basis in 2022. Gogo 5G will support licensed and unlicensed spectrum and allow us to take advantage of new advances in technology as they are developed. We will continue to provide 3G and 4G service over our ATG networks in North America to augment performance and provide redundancy to the Gogo 5G network. Our technology roadmap includes plans for continued rapid improvement in the performance of our in-flight systems.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and Distribution Partners</w:t>
      </w:r>
    </w:p>
    <w:p>
      <w:pPr>
        <w:spacing w:after="0" w:line="121"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Our end users are primarily aircraft owners/operators in the business aviation market. As of December 31, 2020, our market was comprised of approximately 23,800 business aircraft in North America, of which approximately 30% have broadband connectivity, and approximately 14,500 business aircraft in the rest of the world, of which fewer than 6% have broadband connectivity.</w:t>
      </w:r>
    </w:p>
    <w:p>
      <w:pPr>
        <w:spacing w:after="0" w:line="184"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We sell directly to every Original Equipment Manufacturer (“OEM”) of business aviation aircraft including Bombardier, Dassault Falcon, Embraer, Gulfstream, Pilatus and Textron Aviation. In the aftermarket, we sell through a global distribution network of approximately 120 independent dealers who are certified by the Federal Aviation Administration (“FAA”) as aircraft Maintenance and Repair Organizations (“MROs”). Our dealers market, resell and obtain FAA-required Supplemental Type Certificates (“STCs”) for our equipment. Our customers also include fractional jet operators such as Flexjet and NetJets, charter operators such as Wheels Up, corporate flight departments, and individuals. As of December 31, 2020, we had approximately 4,000 customers, none of which accounted for more than 5% of our revenue from continuing operations in 2020.</w:t>
      </w:r>
    </w:p>
    <w:p>
      <w:pPr>
        <w:spacing w:after="0" w:line="178"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Upon the closing of the Transaction, we and Intelsat entered into a network sharing agreement (the “ATG Network Sharing Agreement”), pursuant to which we provide certain inflight connectivity services on our ATG network to Intelsat, subject to certain revenue sharing obligations, and pursuant to which Intelsat has exclusive commercial aviation access to the ATG network in North America, subject to certain revenue guarantees. As of December 31, 2020, our ATG network was accessible to more than 1,300 commercial aircraft, primarily regional jets, operated by Intelsat’s airline customers.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In-flight Internet Portfolio</w:t>
      </w:r>
    </w:p>
    <w:p>
      <w:pPr>
        <w:spacing w:after="0" w:line="121"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We focus exclusively on aviation and implement our value proposition of offering the best products and services through a comprehensive portfolio consisting of our in-flight network, in-flight systems, in-flight services, aviation partner support and production operations functions.</w:t>
      </w:r>
    </w:p>
    <w:p>
      <w:pPr>
        <w:spacing w:after="0" w:line="146"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u w:val="single" w:color="auto"/>
          <w:color w:val="auto"/>
        </w:rPr>
        <w:t>In-flight Network</w:t>
      </w:r>
      <w:r>
        <w:rPr>
          <w:rFonts w:ascii="Arial" w:cs="Arial" w:eastAsia="Arial" w:hAnsi="Arial"/>
          <w:sz w:val="17"/>
          <w:szCs w:val="17"/>
          <w:color w:val="auto"/>
        </w:rPr>
        <w:t>. Our network solutions are engineered to provide industry-leading cost, capacity, coverage, reliability and aero-performance. We offer business aviation partners a variety of network solutions suitable for operation on most of the world’s business aircraft and one or more of our systems are line fit offerable on the vast majority of aircraft models manufactured by our OEM distribution partners. Our terrestrial network targets approximately 23,800 business aircraft based in North America. Such aircraft generally fly over land and are well-suited for our ATG solutions given their need for smaller antennas, lighter weight equipment and reduced equipment and operating costs.</w:t>
      </w:r>
    </w:p>
    <w:p>
      <w:pPr>
        <w:spacing w:after="0" w:line="68" w:lineRule="exact"/>
        <w:rPr>
          <w:sz w:val="20"/>
          <w:szCs w:val="20"/>
          <w:color w:val="auto"/>
        </w:rPr>
      </w:pPr>
    </w:p>
    <w:p>
      <w:pPr>
        <w:ind w:left="1160" w:right="200" w:hanging="572"/>
        <w:spacing w:after="0" w:line="279"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i w:val="1"/>
          <w:iCs w:val="1"/>
          <w:u w:val="single" w:color="auto"/>
          <w:color w:val="auto"/>
        </w:rPr>
        <w:t>North American Terrestrial Network</w:t>
      </w:r>
      <w:r>
        <w:rPr>
          <w:rFonts w:ascii="Arial" w:cs="Arial" w:eastAsia="Arial" w:hAnsi="Arial"/>
          <w:sz w:val="17"/>
          <w:szCs w:val="17"/>
          <w:color w:val="auto"/>
        </w:rPr>
        <w:t>: We operate a terrestrial network using 3 MHz of licensed spectrum in the 800 MHz band and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260 terrestrial cell sites in the lower 48 states and parts of Alaska and Canada. All but one of our cell sites are leased from tower operators. As of December 31, 2020, this network supported 3.1 Mbps 3G service and 9.8 Mbps 4G service. We are currently building our Gogo 5G network, which we expect to be deployed on a nationwide basis in 2022.</w:t>
      </w:r>
    </w:p>
    <w:p>
      <w:pPr>
        <w:spacing w:after="0" w:line="63" w:lineRule="exact"/>
        <w:rPr>
          <w:rFonts w:ascii="Arial" w:cs="Arial" w:eastAsia="Arial" w:hAnsi="Arial"/>
          <w:sz w:val="17"/>
          <w:szCs w:val="17"/>
          <w:color w:val="auto"/>
        </w:rPr>
      </w:pPr>
    </w:p>
    <w:p>
      <w:pPr>
        <w:ind w:left="1160" w:right="200" w:hanging="572"/>
        <w:spacing w:after="0" w:line="255"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i w:val="1"/>
          <w:iCs w:val="1"/>
          <w:u w:val="single" w:color="auto"/>
          <w:color w:val="auto"/>
        </w:rPr>
        <w:t>Ground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We lease an extensive, predominantly fiber-optic network to connect our approximately 260 cell sites to our two data</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the Internet and cloud-based services, and our network operations center (“NOC”). Our data centers and cloud-based services provide redundant telecommunications connections to the Internet and contain numerous servers that enable the expansive set of features that we offer. The NOC monitors daily network operations, conducts network diagnostics and coordinates responses to any performance issues. We augment our ability to monitor, maintain and update our in-flight systems while aircraft are on the ground with a terrestrial modem utilizing 3G, 4G and Wi-Fi wireless service.</w:t>
      </w:r>
    </w:p>
    <w:p>
      <w:pPr>
        <w:spacing w:after="0" w:line="192"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u w:val="single" w:color="auto"/>
          <w:color w:val="auto"/>
        </w:rPr>
        <w:t>In-flight Systems</w:t>
      </w:r>
      <w:r>
        <w:rPr>
          <w:rFonts w:ascii="Arial" w:cs="Arial" w:eastAsia="Arial" w:hAnsi="Arial"/>
          <w:sz w:val="16"/>
          <w:szCs w:val="16"/>
          <w:color w:val="auto"/>
        </w:rPr>
        <w:t>. To utilize our in-flight network and provide our in-flight services, we have developed proprietary systems of airborne equipment and software. Our in-flight systems are designed for superior performance, future adaptability and ease of certification, installation and maintenance. Each system consists of: (i) an antenna specifically designed for the network and technology being used to provide the service; (ii) a modular in-cabin Wi-Fi network that includes state-of-the art servers, modems and wireless access points; and (iii) system software designed to reliably support a variety of in-flight services provided by Gogo, our aviation partners and third parties. The flexibility of the AVANCE platform provides significant benefits both to customers and Gogo operations. AVANCE provides customers with a common software platform that operates across all Gogo networks and allows aviation partners to customize their passengers’ in-flight experiences by selecting from a variety of offerings that include various levels of connectivity; on-demand entertainment; information and applications; smart cabin customization; and real-time support and tools. The flexibility of the AVANCE platform enables aircraft owners and operators to add or reduce system capabilities as their needs change. AVANCE is designed with a flexible architecture and common componentry across all devices to facilitate equipment standardization and allow Gogo to add multiple products and features, augment spectrum and employ multiple ATG or satellite networks with minimal or no changes to installed hardware or the aircraft.</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In-flight Services</w:t>
      </w:r>
      <w:r>
        <w:rPr>
          <w:rFonts w:ascii="Arial" w:cs="Arial" w:eastAsia="Arial" w:hAnsi="Arial"/>
          <w:sz w:val="16"/>
          <w:szCs w:val="16"/>
          <w:color w:val="auto"/>
        </w:rPr>
        <w:t>. We provide a wide range of in-flight services for passengers, flight and cabin crews and operational use by our aviation partners.</w:t>
      </w:r>
    </w:p>
    <w:p>
      <w:pPr>
        <w:spacing w:after="0" w:line="140" w:lineRule="exact"/>
        <w:rPr>
          <w:sz w:val="20"/>
          <w:szCs w:val="20"/>
          <w:color w:val="auto"/>
        </w:rPr>
      </w:pPr>
    </w:p>
    <w:p>
      <w:pPr>
        <w:ind w:left="1160" w:right="40" w:hanging="572"/>
        <w:spacing w:after="0" w:line="311"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i w:val="1"/>
          <w:iCs w:val="1"/>
          <w:u w:val="single" w:color="auto"/>
          <w:color w:val="auto"/>
        </w:rPr>
        <w:t>Passenger Connectivity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Passengers connect to the Internet from their personal electronic devices, as they would on the ground, to</w:t>
      </w:r>
      <w:r>
        <w:rPr>
          <w:rFonts w:ascii="Arial" w:cs="Arial" w:eastAsia="Arial" w:hAnsi="Arial"/>
          <w:sz w:val="16"/>
          <w:szCs w:val="16"/>
          <w:i w:val="1"/>
          <w:iCs w:val="1"/>
          <w:color w:val="auto"/>
        </w:rPr>
        <w:t xml:space="preserve"> </w:t>
      </w:r>
      <w:r>
        <w:rPr>
          <w:rFonts w:ascii="Arial" w:cs="Arial" w:eastAsia="Arial" w:hAnsi="Arial"/>
          <w:sz w:val="16"/>
          <w:szCs w:val="16"/>
          <w:color w:val="auto"/>
        </w:rPr>
        <w:t>access corporate and personal applications that include streaming services on our higher capacity networks. We offer a variety of connectivity services tailored to our various networks and technologies that are generally priced on a per aircraft per month basis.</w:t>
      </w:r>
    </w:p>
    <w:p>
      <w:pPr>
        <w:spacing w:after="0" w:line="40" w:lineRule="exact"/>
        <w:rPr>
          <w:rFonts w:ascii="Arial" w:cs="Arial" w:eastAsia="Arial" w:hAnsi="Arial"/>
          <w:sz w:val="16"/>
          <w:szCs w:val="16"/>
          <w:color w:val="auto"/>
        </w:rPr>
      </w:pPr>
    </w:p>
    <w:p>
      <w:pPr>
        <w:jc w:val="both"/>
        <w:ind w:left="1160" w:right="200" w:hanging="572"/>
        <w:spacing w:after="0" w:line="311"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i w:val="1"/>
          <w:iCs w:val="1"/>
          <w:u w:val="single" w:color="auto"/>
          <w:color w:val="auto"/>
        </w:rPr>
        <w:t>Passenger Entertainment Services</w:t>
      </w:r>
      <w:r>
        <w:rPr>
          <w:rFonts w:ascii="Arial" w:cs="Arial" w:eastAsia="Arial" w:hAnsi="Arial"/>
          <w:sz w:val="16"/>
          <w:szCs w:val="16"/>
          <w:color w:val="auto"/>
        </w:rPr>
        <w:t>: Through Gogo Vision, our video-on-demand product accessible from passengers’ personal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devices, passengers can access a large library of entertainment options, which currently include on-demand movies and television shows. Content is wirelessly updated each month through Gogo Cloudport, either in the customer’s own hanger or at Gogo Cloud locations in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ind w:left="1160" w:right="280"/>
        <w:spacing w:after="0" w:line="263" w:lineRule="auto"/>
        <w:rPr>
          <w:sz w:val="20"/>
          <w:szCs w:val="20"/>
          <w:color w:val="auto"/>
        </w:rPr>
      </w:pPr>
      <w:r>
        <w:rPr>
          <w:rFonts w:ascii="Arial" w:cs="Arial" w:eastAsia="Arial" w:hAnsi="Arial"/>
          <w:sz w:val="18"/>
          <w:szCs w:val="18"/>
          <w:color w:val="auto"/>
        </w:rPr>
        <w:t>the Unites States and Europe. In December 2020, we launched Gogo Vision 360, a premium IFE service that includes unlimited on-demand movies and television shows along with digital magazines and a state-of-the art 3D moving map. As of December 31, 2020, we had approximately 700 paid subscribers to Gogo 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Partner Support</w:t>
      </w:r>
      <w:r>
        <w:rPr>
          <w:rFonts w:ascii="Arial" w:cs="Arial" w:eastAsia="Arial" w:hAnsi="Arial"/>
          <w:sz w:val="18"/>
          <w:szCs w:val="18"/>
          <w:color w:val="auto"/>
        </w:rPr>
        <w:t>.</w:t>
      </w:r>
    </w:p>
    <w:p>
      <w:pPr>
        <w:spacing w:after="0" w:line="117" w:lineRule="exact"/>
        <w:rPr>
          <w:sz w:val="20"/>
          <w:szCs w:val="20"/>
          <w:color w:val="auto"/>
        </w:rPr>
      </w:pPr>
    </w:p>
    <w:p>
      <w:pPr>
        <w:ind w:left="1160" w:right="120" w:hanging="572"/>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i w:val="1"/>
          <w:iCs w:val="1"/>
          <w:u w:val="single" w:color="auto"/>
          <w:color w:val="auto"/>
        </w:rPr>
        <w:t>Account Team</w:t>
      </w:r>
      <w:r>
        <w:rPr>
          <w:rFonts w:ascii="Arial" w:cs="Arial" w:eastAsia="Arial" w:hAnsi="Arial"/>
          <w:sz w:val="18"/>
          <w:szCs w:val="18"/>
          <w:color w:val="auto"/>
        </w:rPr>
        <w:t>. We have a customer operations team that assists our dealers with installation, troubleshooting and system activations,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flight departments are supported by field service engineering teams located at key locations across the United States and Europe. Both the dealer network and customer flight departments have access to our technical and logistical support 24 hours a day, seven days a week.</w:t>
      </w:r>
    </w:p>
    <w:p>
      <w:pPr>
        <w:spacing w:after="0" w:line="78" w:lineRule="exact"/>
        <w:rPr>
          <w:rFonts w:ascii="Arial" w:cs="Arial" w:eastAsia="Arial" w:hAnsi="Arial"/>
          <w:sz w:val="18"/>
          <w:szCs w:val="18"/>
          <w:color w:val="auto"/>
        </w:rPr>
      </w:pPr>
    </w:p>
    <w:p>
      <w:pPr>
        <w:ind w:left="1160" w:right="180" w:hanging="572"/>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i w:val="1"/>
          <w:iCs w:val="1"/>
          <w:u w:val="single" w:color="auto"/>
          <w:color w:val="auto"/>
        </w:rPr>
        <w:t>Operational Support</w:t>
      </w:r>
      <w:r>
        <w:rPr>
          <w:rFonts w:ascii="Arial" w:cs="Arial" w:eastAsia="Arial" w:hAnsi="Arial"/>
          <w:sz w:val="18"/>
          <w:szCs w:val="18"/>
          <w:color w:val="auto"/>
        </w:rPr>
        <w:t>. We provide a variety of services required to install and maintain our in-flight systems. Our OEM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and our dealers are responsible for obtaining the FAA certifications required for installation of our equipment on aircraft, and we support them in obtaining such certifications and installing the equipment. Following installation, our NOC continually monitors the network and its usage and performance.</w:t>
      </w:r>
    </w:p>
    <w:p>
      <w:pPr>
        <w:spacing w:after="0" w:line="78" w:lineRule="exact"/>
        <w:rPr>
          <w:rFonts w:ascii="Arial" w:cs="Arial" w:eastAsia="Arial" w:hAnsi="Arial"/>
          <w:sz w:val="18"/>
          <w:szCs w:val="18"/>
          <w:color w:val="auto"/>
        </w:rPr>
      </w:pPr>
    </w:p>
    <w:p>
      <w:pPr>
        <w:ind w:left="1160" w:right="60" w:hanging="572"/>
        <w:spacing w:after="0" w:line="286"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i w:val="1"/>
          <w:iCs w:val="1"/>
          <w:u w:val="single" w:color="auto"/>
          <w:color w:val="auto"/>
        </w:rPr>
        <w:t>Comprehensive Analytics</w:t>
      </w:r>
      <w:r>
        <w:rPr>
          <w:rFonts w:ascii="Arial" w:cs="Arial" w:eastAsia="Arial" w:hAnsi="Arial"/>
          <w:sz w:val="17"/>
          <w:szCs w:val="17"/>
          <w:color w:val="auto"/>
        </w:rPr>
        <w:t>. We have extensive databases, a big data platform and analytical capabilities to evaluate our system and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operational performance. Our analytical capabilities are used by us, our aviation partners and our vendors in designing, manufacturing, and operating our systems to maximize performance and minimize disruptions and system downtime.</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Engineering, Design and Development</w:t>
      </w:r>
      <w:r>
        <w:rPr>
          <w:rFonts w:ascii="Arial" w:cs="Arial" w:eastAsia="Arial" w:hAnsi="Arial"/>
          <w:sz w:val="16"/>
          <w:szCs w:val="16"/>
          <w:color w:val="auto"/>
        </w:rPr>
        <w:t>. We employ a large in-house Engineering, Design and Development (“ED&amp;D”) organization. ED&amp;D is responsible for translating business requirements into products that comply with rigorous avionics certification requirements. Its capabilities include: (i) a radiofrequency engineering team with expertise in antenna specifications, radio technology, spectrum analysis, network design and regulatory requirements; (ii) an airborne platform development team which manages the design, development and testing of airborne equipment and its integration with ground systems and leads FAA certification efforts; (iii) a product management and systems engineering team that manages all aspects of turning business requirements into technical specifications and is responsible for our program management process; (iv) an application development and business systems organization team that manages development of our internal business systems and the product extensions that sit on the AVANCE platform; and (v) a network engineering team that designs, implements and manages our network and data center infrastructure, security and core network functions.</w:t>
      </w:r>
    </w:p>
    <w:p>
      <w:pPr>
        <w:spacing w:after="0" w:line="16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u w:val="single" w:color="auto"/>
          <w:color w:val="auto"/>
        </w:rPr>
        <w:t>Production Operations</w:t>
      </w:r>
      <w:r>
        <w:rPr>
          <w:rFonts w:ascii="Arial" w:cs="Arial" w:eastAsia="Arial" w:hAnsi="Arial"/>
          <w:sz w:val="17"/>
          <w:szCs w:val="17"/>
          <w:color w:val="auto"/>
        </w:rPr>
        <w:t>. Our manufacturing objective is to produce superior quality products that conform to avionics specifications while providing the best value to our customers. Given our highly specialized technology and required production levels, we design, assemble and test our airborne line replaceable units in-house, while relying on third parties to manufacture specific components based on our design specifications to maximize production efficiencies. We retain the intellectual property associated with the airborne equipment. We also rely on third parties to manufacture our antennas and we generally share antenna design responsibilities and intellectual property with these vendors. Our manufacturing processes include internally designed test fixtures and software that we and our third-party manufacturers employ at all levels of manufacturing. Our manufacturing-related business processes – from sales forecasts to supply chain activities to shipping – are integrated and automated within our enterprise resource planning tools. Our manufacturing and repair facilities are FAA-certified.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We maintain the leading global market position in connectivity for the business aviation market. We have designed our value proposition to align with our aviation partners’ priorities and we believe that our comprehensive product and service portfolio sets us apart from competitors by better meeting customer needs through:</w:t>
      </w:r>
    </w:p>
    <w:p>
      <w:pPr>
        <w:spacing w:after="0" w:line="76" w:lineRule="exact"/>
        <w:rPr>
          <w:sz w:val="20"/>
          <w:szCs w:val="20"/>
          <w:color w:val="auto"/>
        </w:rPr>
      </w:pPr>
    </w:p>
    <w:p>
      <w:pPr>
        <w:jc w:val="both"/>
        <w:ind w:left="1160" w:right="80" w:hanging="572"/>
        <w:spacing w:after="0" w:line="311" w:lineRule="auto"/>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Our Proprietary Networks and Exclusive Spectrum.</w:t>
      </w:r>
      <w:r>
        <w:rPr>
          <w:rFonts w:ascii="Arial" w:cs="Arial" w:eastAsia="Arial" w:hAnsi="Arial"/>
          <w:sz w:val="16"/>
          <w:szCs w:val="16"/>
          <w:color w:val="auto"/>
        </w:rPr>
        <w:t xml:space="preserve"> We have developed, deployed and operated our own networks for more than 20 years, resulting in know-how and experience that we believe is unmatched by any other provider in our industry. We hold the exclusive license to the only nationwide broadband radiofrequency spectrum dedicated to air-to-ground use, as well as exclusive rights to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ind w:left="1160" w:right="20"/>
        <w:spacing w:after="0" w:line="263" w:lineRule="auto"/>
        <w:rPr>
          <w:sz w:val="20"/>
          <w:szCs w:val="20"/>
          <w:color w:val="auto"/>
        </w:rPr>
      </w:pPr>
      <w:r>
        <w:rPr>
          <w:rFonts w:ascii="Arial" w:cs="Arial" w:eastAsia="Arial" w:hAnsi="Arial"/>
          <w:sz w:val="18"/>
          <w:szCs w:val="18"/>
          <w:color w:val="auto"/>
        </w:rPr>
        <w:t>same spectrum in Canada. This enables us to avoid the interference issues that can accompany use of shared, unlicensed spectrum. In addition to our ATG network, we have deployed Gogo Cloudport, which enables customers to wirelessly update Gogo Vision content while the plane is parked in the hanger.</w:t>
      </w:r>
    </w:p>
    <w:p>
      <w:pPr>
        <w:spacing w:after="0" w:line="76" w:lineRule="exact"/>
        <w:rPr>
          <w:sz w:val="20"/>
          <w:szCs w:val="20"/>
          <w:color w:val="auto"/>
        </w:rPr>
      </w:pPr>
    </w:p>
    <w:p>
      <w:pPr>
        <w:ind w:left="1160" w:right="60" w:hanging="572"/>
        <w:spacing w:after="0" w:line="255"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Our Innovative Culture.</w:t>
      </w:r>
      <w:r>
        <w:rPr>
          <w:rFonts w:ascii="Arial" w:cs="Arial" w:eastAsia="Arial" w:hAnsi="Arial"/>
          <w:sz w:val="18"/>
          <w:szCs w:val="18"/>
          <w:color w:val="auto"/>
        </w:rPr>
        <w:t xml:space="preserve"> We continuously innovate and have a strong track record of innovation in our networks. We pioneered and have led innovation in our industry for nearly 30 years, as evidenced by the three proprietary ATG networks technologies that we have deployed for the business aviation market. In addition, we hold approximately 350 U.S. and international patents, most of which relate to network technology. We are currently building our fourth ATG network – Gogo 5G. Gogo 5G will improve the passenger experience by providing lower latency and higher throughput than our current network using both our proprietary licensed spectrum and available unlicensed spectrum.</w:t>
      </w:r>
    </w:p>
    <w:p>
      <w:pPr>
        <w:spacing w:after="0" w:line="84" w:lineRule="exact"/>
        <w:rPr>
          <w:rFonts w:ascii="Arial" w:cs="Arial" w:eastAsia="Arial" w:hAnsi="Arial"/>
          <w:sz w:val="18"/>
          <w:szCs w:val="18"/>
          <w:color w:val="auto"/>
        </w:rPr>
      </w:pPr>
    </w:p>
    <w:p>
      <w:pPr>
        <w:ind w:left="1160" w:right="140" w:hanging="572"/>
        <w:spacing w:after="0" w:line="254"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Our Extensible, Software-centric AVANCE Platform.</w:t>
      </w:r>
      <w:r>
        <w:rPr>
          <w:rFonts w:ascii="Arial" w:cs="Arial" w:eastAsia="Arial" w:hAnsi="Arial"/>
          <w:sz w:val="18"/>
          <w:szCs w:val="18"/>
          <w:color w:val="auto"/>
        </w:rPr>
        <w:t xml:space="preserve"> Our networks and systems are designed to provide the best in-flight Internet experience and highest network and system availability across the broadest range of aircraft wherever they fly, and a growing number of our installed aircraft are on the AVANCE platform. The AVANCE platform is designed to be extensible. For example, we can add new products, features and options, we can increase connectivity speeds by augmenting spectrum and we can add proprietary or third-party ATG or satellite networks, all with minimal or no hardware or aircraft modifications. We expect this extensibility to facilitate standardization of hardware and FAA certifications across multiple products, spectrum frequencies and networks, and we expect that such standardization will in turn increase efficiency and improve quality in functions that include supply chain, production operations and customer support.</w:t>
      </w:r>
    </w:p>
    <w:p>
      <w:pPr>
        <w:spacing w:after="0" w:line="83" w:lineRule="exact"/>
        <w:rPr>
          <w:rFonts w:ascii="Arial" w:cs="Arial" w:eastAsia="Arial" w:hAnsi="Arial"/>
          <w:sz w:val="18"/>
          <w:szCs w:val="18"/>
          <w:color w:val="auto"/>
        </w:rPr>
      </w:pPr>
    </w:p>
    <w:p>
      <w:pPr>
        <w:ind w:left="1160" w:right="120" w:hanging="572"/>
        <w:spacing w:after="0" w:line="259"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Our Vertical Integration.</w:t>
      </w:r>
      <w:r>
        <w:rPr>
          <w:rFonts w:ascii="Arial" w:cs="Arial" w:eastAsia="Arial" w:hAnsi="Arial"/>
          <w:sz w:val="18"/>
          <w:szCs w:val="18"/>
          <w:color w:val="auto"/>
        </w:rPr>
        <w:t xml:space="preserve"> Unlike some of our competitors, our supply chain is vertically integrated. We believe that this vertical integration offers several advantages including: (i) increased agility in adjusting to changing market conditions; (ii) greater control over hardware design, manufacturing, cost and quality; (iii) greater control over hardware and services pricing; and (iv) increased ability to invest in and offer unique products and services at greater value to the customer.</w:t>
      </w:r>
    </w:p>
    <w:p>
      <w:pPr>
        <w:spacing w:after="0" w:line="78" w:lineRule="exact"/>
        <w:rPr>
          <w:rFonts w:ascii="Arial" w:cs="Arial" w:eastAsia="Arial" w:hAnsi="Arial"/>
          <w:sz w:val="18"/>
          <w:szCs w:val="18"/>
          <w:color w:val="auto"/>
        </w:rPr>
      </w:pPr>
    </w:p>
    <w:p>
      <w:pPr>
        <w:ind w:left="1160" w:hanging="572"/>
        <w:spacing w:after="0" w:line="25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Our Distribution Partners</w:t>
      </w:r>
      <w:r>
        <w:rPr>
          <w:rFonts w:ascii="Arial" w:cs="Arial" w:eastAsia="Arial" w:hAnsi="Arial"/>
          <w:sz w:val="18"/>
          <w:szCs w:val="18"/>
          <w:color w:val="auto"/>
        </w:rPr>
        <w:t>. Our distribution partners include every OEM of business aviation aircraft and an aftermarket network of approximately 120 dealers, many of whom we have worked with for decades. We have established trusted relationships with our distribution partners and a proven track record of generating revenues and profits for them, and they have trust and confidence in our ability to continue to do so. This facilitates our sales and our speed to market as our distribution partners are willing to invest in marketing and certification efforts for our equipment.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Our strategy is to maintain and strengthen our leadership position by leveraging the competitive strengths described above to providing high-quality, cost-effective connectivity products and services. The principal elements of our strategy include the following:</w:t>
      </w:r>
    </w:p>
    <w:p>
      <w:pPr>
        <w:spacing w:after="0" w:line="62" w:lineRule="exact"/>
        <w:rPr>
          <w:sz w:val="20"/>
          <w:szCs w:val="20"/>
          <w:color w:val="auto"/>
        </w:rPr>
      </w:pPr>
    </w:p>
    <w:p>
      <w:pPr>
        <w:ind w:left="1160" w:right="4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Enhancing our networks by launching Gogo 5G and leveraging our licensed spectrum to provide the most reliable business aviation service in North America;</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AVANCE units online by selling to new customers and upgrading current customers;</w:t>
      </w:r>
    </w:p>
    <w:p>
      <w:pPr>
        <w:spacing w:after="0" w:line="117"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Offering AVANCE customers upgrades of existing products and services as well as new products and services in order to drive Average Revenue per Aircraft (“ARPA”);</w:t>
      </w:r>
    </w:p>
    <w:p>
      <w:pPr>
        <w:spacing w:after="0" w:line="62" w:lineRule="exact"/>
        <w:rPr>
          <w:rFonts w:ascii="Arial" w:cs="Arial" w:eastAsia="Arial" w:hAnsi="Arial"/>
          <w:sz w:val="18"/>
          <w:szCs w:val="18"/>
          <w:color w:val="auto"/>
        </w:rPr>
      </w:pPr>
    </w:p>
    <w:p>
      <w:pPr>
        <w:ind w:left="1160" w:right="24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Continuously improving our operations and leveraging the standardization inherent in the AVANCE platform to provide superior service and reduce costs;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Optimizing our capital structure in order to strengthen our balance sheet and ensure our competitiveness.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We compete against both equipment and telecommunications service providers to the business aviation market, including Honeywell Aerospace, Collins Aerospace, Satcom Direct, Inmarsat and ViaSat. Also, SmartSky Networks has announced that it intends to enter the business aviation market later this year for aircraft operating in the continental United States. We believe that the principal points of competition in our market are technological capabilities, price, customer service, product development, conformity to customer specifications, quality of support after the sale and timeliness of delivery and installation.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and Regulation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Federal Aviation Administration</w:t>
      </w:r>
    </w:p>
    <w:p>
      <w:pPr>
        <w:spacing w:after="0" w:line="117"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The FAA prescribes standards and certification requirements for the manufacturing of aircraft and aircraft components, and certifies repair stations to perform aircraft maintenance, preventive maintenance and alterations, including the installation and maintenance of aircraft components. Each type of aircraft operated in the United States under an FAA-issued standard airworthiness certificate must possess an FAA Type Certificate, which constitutes approval of the design of the aircraft type based on applicable airworthiness standards. When a party other than the holder of the Type Certificate develops a major modification to an aircraft already type-certificated, that party must obtain an FAA-issued STC approving the design of the modified aircraft type. The dealers and OEMs to which we sell our equipment are generally responsible for obtaining STCs for each aircraft type on which our equipment will be installed, and we support them in those efforts. Separate STCs typically are required for different configurations of the same aircraft type, such as when they are configured differently for different owners and operators.</w:t>
      </w:r>
    </w:p>
    <w:p>
      <w:pPr>
        <w:spacing w:after="0" w:line="178"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After an STC is obtained, a manufacturer desiring to manufacture components to be used in the modification covered by the STC must apply to the FAA for a Parts Manufacturer Approval, or PMA, which permits the holder to manufacture and sell components manufactured in conformity with the PMA and its approved design and data package. In general, each initial PMA is an approval of a manufacturing or modification facility’s production quality control system. PMA supplements are obtained to authorize the manufacture of a particular part in accordance with the requirements of the pertinent PMA, including its production quality control system. We routinely apply for and receive such PMAs and supplements.</w:t>
      </w:r>
    </w:p>
    <w:p>
      <w:pPr>
        <w:spacing w:after="0" w:line="176"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Certain of our FCC licenses are conditioned upon our ability to obtain from the FAA a “No Hazard Determination” for our cell sites, which indicates that a proposed structure will not, if built as specified, create a hazard to air navigation. When building or altering certain cell sites, we may first be required to obtain such a determination.</w:t>
      </w:r>
    </w:p>
    <w:p>
      <w:pPr>
        <w:spacing w:after="0" w:line="184"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Our business depends on our continuing access to, or use of, these FAA certifications, authorizations and other approvals, and our employment of, or access to, FAA-certified engineering and other professionals.</w:t>
      </w:r>
    </w:p>
    <w:p>
      <w:pPr>
        <w:spacing w:after="0" w:line="170"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In accordance with these certifications, authorizations and other approvals, the FAA requires that we maintain, review and document our quality assurance processes. The FAA may visit our facilities at any time as part of our agreement for certification as a manufacturing facility and repair station to ensure that our facilities, procedures, and quality control systems continue to meet FAA requirements. In addition, we are responsible for informing the FAA of significant changes to our organization and operations, product failures or defects, and any changes to our operational facilities or FAA-approved quality control systems. Other FAA requirements include training procedures and drug and alcohol screening for safety-sensitive employees working at our facilities or on aircraft.</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Foreign Aviation Regulation</w:t>
      </w:r>
    </w:p>
    <w:p>
      <w:pPr>
        <w:spacing w:after="0" w:line="117"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According to the Convention on International Civil Aviation, the airworthiness of U.S.-registered and FAA type-certificated aircraft on which FAA-certified Gogo equipment is installed is recognized by civil aviation authorities (“CAAs”) worldwide that are signatories to that Convention. As a result, Gogo does not expect to require further airworthiness certification formalities in countries outside of the United States for U.S.-registered aircraft that already have an STC issued by the FAA covering Gogo equipment. For aircraft registered with a CAA other than the United States, the installation of Gogo equipment requires airworthiness certification from an airworthiness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 w:name="page10"/>
    <w:bookmarkEnd w:id="9"/>
    <w:p>
      <w:pPr>
        <w:ind w:right="700"/>
        <w:spacing w:after="0" w:line="277" w:lineRule="auto"/>
        <w:rPr>
          <w:sz w:val="20"/>
          <w:szCs w:val="20"/>
          <w:color w:val="auto"/>
        </w:rPr>
      </w:pPr>
      <w:r>
        <w:rPr>
          <w:rFonts w:ascii="Arial" w:cs="Arial" w:eastAsia="Arial" w:hAnsi="Arial"/>
          <w:sz w:val="18"/>
          <w:szCs w:val="18"/>
          <w:color w:val="auto"/>
        </w:rPr>
        <w:t>certification body. Typically, the CAA of the country in which the aircraft is registered is responsible for ensuring the airworthiness of any aircraft modifications under its authority.</w:t>
      </w:r>
    </w:p>
    <w:p>
      <w:pPr>
        <w:spacing w:after="0" w:line="170" w:lineRule="exact"/>
        <w:rPr>
          <w:sz w:val="20"/>
          <w:szCs w:val="20"/>
          <w:color w:val="auto"/>
        </w:rPr>
      </w:pPr>
    </w:p>
    <w:p>
      <w:pPr>
        <w:ind w:right="140" w:firstLine="589"/>
        <w:spacing w:after="0" w:line="269" w:lineRule="auto"/>
        <w:rPr>
          <w:sz w:val="20"/>
          <w:szCs w:val="20"/>
          <w:color w:val="auto"/>
        </w:rPr>
      </w:pPr>
      <w:r>
        <w:rPr>
          <w:rFonts w:ascii="Arial" w:cs="Arial" w:eastAsia="Arial" w:hAnsi="Arial"/>
          <w:sz w:val="17"/>
          <w:szCs w:val="17"/>
          <w:color w:val="auto"/>
        </w:rPr>
        <w:t>The FAA holds bilateral agreements with certification authorities around the globe. Bilateral agreements facilitate the reciprocal airworthiness certification of civil aeronautical products that are imported/exported between two signatory countries. A Bilateral Airworthiness Agreement (“BAA”) or Bilateral Aviation Safety Agreement (“BASA”) with Implementation Procedures for Airworthiness provides for airworthiness technical cooperation between the FAA and its counterpart CAA. Under a BAA or BASA, the CAA of the aircraft’s country of registration generally validates STCs issued by the FAA and then issues a Validation Supplemental Type Certificate. For countries with which the FAA does not have a BAA or BASA, Gogo must apply for certification approval with the CAA of the country in which the aircraft is registered. In order to obtain the necessary certification, Gogo will be required to comply with the airworthiness regulations of the country in which the aircraft is registered. Failure to address all foreign airworthiness and aviation regulatory requirements at the commencement of each aircraft operator’s service in any country in which it registers aircraft when there are no applicable bilateral agreements may lead to significant additional costs related to certification and could impact the timing of our ability to provide our service on such aircraft.</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U.S. Department of Transportation</w:t>
      </w:r>
    </w:p>
    <w:p>
      <w:pPr>
        <w:spacing w:after="0" w:line="11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The U.S. Department of Transportation (“DOT”) established an Advisory Committee on Accessible Air Transport to negotiate and develop a proposed rule concerning accommodations for passengers with disabilities in three basic areas, including in-flight entertainment (“IFE”) and closed captioning of IFE. The Committee issued a resolution in late 2016 which included its recommendations to the DOT for a rule on IFE. However, since a final rule on IFE has not yet been issued, it is unclear how, if at all, it may impact Gogo. According to the Fall 2020 United Agenda of Regulatory and Deregulatory Actions posted by the Office of Information and Regulatory Affairs, Office of Management and Budget, the projected date of publication of a Notice of Proposed Rulemaking (“NPRM”) by DOT on Accessible IFE is July 2021.</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Federal Communications Commission</w:t>
      </w:r>
    </w:p>
    <w:p>
      <w:pPr>
        <w:spacing w:after="0" w:line="11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Under the Communications Act of 1934, as amended (the “Communications Act”), the FCC licenses the spectrum that we use and regulates the construction, operation, acquisition and sale of our wireless services. The Communications Act and FCC rules also require the FCC’s prior approval of the assignment or transfer of control of an FCC license, or the acquisition, directly or indirectly, of more than 25% of the equity or voting control of Gogo by non-U.S. individuals or entities.</w:t>
      </w:r>
    </w:p>
    <w:p>
      <w:pPr>
        <w:spacing w:after="0" w:line="18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Our various services are regulated differently by the FCC. For example, we provide some of our voice and data services (not including Gogo Biz or AVANCE) by reselling the telecommunications services of two satellite operators. Because we provide these services on a common carrier basis, we are subject to the provisions of Title II of the Communications Act, which require, among other things, that the charges and practices of common carriers be just, reasonable and non-discriminatory. In addition, we provide an interconnected voice over Internet protocol (“VoIP”) service. The FCC applies many, but not all, of the same regulatory requirements to interconnected VoIP service as it does to common carrier telecommunications services.</w:t>
      </w:r>
    </w:p>
    <w:p>
      <w:pPr>
        <w:spacing w:after="0" w:line="161"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We offer connectivity service in the United States to business aviation aircraft and, pursuant to the ATG Network Sharing Agreement, to certain commercial aircraft operated by Intelsat’s airline customers, through our own facilities, using our ATG License, a nationwide commercial air-ground radiotelephone license in the 800 MHz band. We obtained and paid for this spectrum through an auction conducted by the FCC. See “ATG License Terms and Conditions.”</w:t>
      </w:r>
    </w:p>
    <w:p>
      <w:pPr>
        <w:spacing w:after="0" w:line="187"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The FCC’s current rules classify broadband Internet access service as a lightly regulated, non-common carrier “information service,” and remove virtually all of the previously-imposed network neutrality restrictions on blocking access to lawful content, applications, services or non-harmful devices; impairing or degrading lawful Internet traffic on the basis of content, applications, services or non-harmful devices; favoring some lawful Internet traffic over other lawful traffic in exchange for consideration of any kind; or prioritizing the content and services of broadband providers’ affiliates. We remain subject to certain modified transparency obligations that require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jc w:val="both"/>
        <w:ind w:right="300"/>
        <w:spacing w:after="0" w:line="279" w:lineRule="auto"/>
        <w:rPr>
          <w:sz w:val="20"/>
          <w:szCs w:val="20"/>
          <w:color w:val="auto"/>
        </w:rPr>
      </w:pPr>
      <w:r>
        <w:rPr>
          <w:rFonts w:ascii="Arial" w:cs="Arial" w:eastAsia="Arial" w:hAnsi="Arial"/>
          <w:sz w:val="17"/>
          <w:szCs w:val="17"/>
          <w:color w:val="auto"/>
        </w:rPr>
        <w:t xml:space="preserve">disclosure of network management practices, performance, and commercial terms. In its October 1, 2019 </w:t>
      </w:r>
      <w:r>
        <w:rPr>
          <w:rFonts w:ascii="Arial" w:cs="Arial" w:eastAsia="Arial" w:hAnsi="Arial"/>
          <w:sz w:val="17"/>
          <w:szCs w:val="17"/>
          <w:i w:val="1"/>
          <w:iCs w:val="1"/>
          <w:color w:val="auto"/>
        </w:rPr>
        <w:t>Mozilla Corp. v. FCC</w:t>
      </w:r>
      <w:r>
        <w:rPr>
          <w:rFonts w:ascii="Arial" w:cs="Arial" w:eastAsia="Arial" w:hAnsi="Arial"/>
          <w:sz w:val="17"/>
          <w:szCs w:val="17"/>
          <w:color w:val="auto"/>
        </w:rPr>
        <w:t xml:space="preserve"> decision, a panel of the U.S. Court of Appeals for the D.C. Circuit partially upheld the FCC’s network neutrality rules and remanded several issues back to the FCC for further explanation, which the FCC resolved in October 2020. To the extent the FCC further restricts reasonable network management, or to the extent network neutrality proponents prevail on further administrative or appellate review, our business may be affected.</w:t>
      </w:r>
    </w:p>
    <w:p>
      <w:pPr>
        <w:spacing w:after="0" w:line="171"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Our Internet access service is also subject to the FCC’s data roaming rules, which require commercial mobile data service (“CMDS”) providers like Gogo to negotiate roaming arrangements with any requesting facilities-based, technologically compatible providers of CMDS. The rules do not give other providers the right to install equipment on Gogo-equipped aircraft and do not require the Gogo service to be provided on a discounted basis, although the arrangement must be “commercially reasonable.” The rules allow us to take reasonable measures to safeguard the quality of our service against network congestion that may result from roaming traffic. The FCC has committed to revisiting data roaming rules in the future.</w:t>
      </w:r>
    </w:p>
    <w:p>
      <w:pPr>
        <w:spacing w:after="0" w:line="161" w:lineRule="exact"/>
        <w:rPr>
          <w:sz w:val="20"/>
          <w:szCs w:val="20"/>
          <w:color w:val="auto"/>
        </w:rPr>
      </w:pPr>
    </w:p>
    <w:p>
      <w:pPr>
        <w:ind w:right="700" w:firstLine="589"/>
        <w:spacing w:after="0" w:line="342" w:lineRule="auto"/>
        <w:rPr>
          <w:sz w:val="20"/>
          <w:szCs w:val="20"/>
          <w:color w:val="auto"/>
        </w:rPr>
      </w:pPr>
      <w:r>
        <w:rPr>
          <w:rFonts w:ascii="Arial" w:cs="Arial" w:eastAsia="Arial" w:hAnsi="Arial"/>
          <w:sz w:val="16"/>
          <w:szCs w:val="16"/>
          <w:color w:val="auto"/>
        </w:rPr>
        <w:t>In addition, most of our services are subject to various rules that seek to ensure that the services are accessible to persons with disabilities, including requirements related to the pass-through of closed captioning for certain IP-delivered video content offered through our Gogo Vision.</w:t>
      </w:r>
    </w:p>
    <w:p>
      <w:pPr>
        <w:spacing w:after="0" w:line="124"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In addition to the two ATG licenses, we hold microwave licenses that are used for backhaul in our terrestrial network and an authorization for the provision of voice and data services between the United States and foreign points.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ATG License Terms and Conditions</w:t>
      </w:r>
    </w:p>
    <w:p>
      <w:pPr>
        <w:spacing w:after="0" w:line="117"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color w:val="auto"/>
        </w:rPr>
        <w:t>The FCC issued our ATG License on October 31, 2006, for a renewable 10-year term. We have satisfied our obligation under the license to provide “substantial service” to aircraft, and on January 25, 2017, we received confirmation from the FCC that the license has been renewed until October 31, 2026.</w:t>
      </w:r>
    </w:p>
    <w:p>
      <w:pPr>
        <w:spacing w:after="0" w:line="124"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Our 1 MHz ATG license obtained in 2013 from LiveTV Airfone, LLC was also originally issued on October 31, 2006, for a renewable 10-year term, although there is no “substantial service” obligation that attaches to this license. Our application to renew our license was subsequently granted for an additional 10-year term. On August 3, 2017, the FCC released an order which, among other things, revised the wireless license renewal rules. As a result of this order, which applies to the industry generally, all licensees will need to make a showing (or certification) at renewal to demonstrate that the licensee provided and continues to provide service to the public. Because the 1 MHz ATG license has no construction or substantial service requirement, it is not currently clear what level and length of service the FCC will find adequate when considering the next renewal of the 1 MHz ATG license in 2026.</w:t>
      </w:r>
    </w:p>
    <w:p>
      <w:pPr>
        <w:spacing w:after="0" w:line="164"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Our two ATG licenses contain certain conditions that require us to comply with all applicable FCC and FAA rules as well as all bilateral agreements between the United States and Canada and the United States and Mexico regarding the frequencies that are allocated for ATG services. These agreements apply to our use of the spectrum in areas adjacent to the United States’ northern and southern borders and in and out of Canadian and Mexican airspace.</w:t>
      </w:r>
    </w:p>
    <w:p>
      <w:pPr>
        <w:spacing w:after="0" w:line="187" w:lineRule="exact"/>
        <w:rPr>
          <w:sz w:val="20"/>
          <w:szCs w:val="20"/>
          <w:color w:val="auto"/>
        </w:rPr>
      </w:pPr>
    </w:p>
    <w:p>
      <w:pPr>
        <w:ind w:right="140" w:firstLine="589"/>
        <w:spacing w:after="0" w:line="271" w:lineRule="auto"/>
        <w:rPr>
          <w:sz w:val="20"/>
          <w:szCs w:val="20"/>
          <w:color w:val="auto"/>
        </w:rPr>
      </w:pPr>
      <w:r>
        <w:rPr>
          <w:rFonts w:ascii="Arial" w:cs="Arial" w:eastAsia="Arial" w:hAnsi="Arial"/>
          <w:sz w:val="17"/>
          <w:szCs w:val="17"/>
          <w:color w:val="auto"/>
        </w:rPr>
        <w:t>A bilateral ATG spectrum coordination agreement between the U.S. and Canada has been negotiated and approved and a bilateral agreement between the United States and Mexico is pending. In 2012, Industry Canada issued to our Canadian subsidiary a subordinate license that allows us to use Canadian ATG spectrum of which SkySurf Communications Inc. is the primary licensee, and in 2019 the primary license was renewed for an eight-year term expiring June 29, 2027. In 2012, we entered into the License Agreement with SkySurf, which has an initial term of ten years commencing on August 14, 2012, and, provided that the primary spectrum license agreement issued by Industry Canada (now Innovation, Science and Economic Development Canada or ISED) to SkySurf remains in effect at such dates, is renewable at our option for an additional 10-year term following the initial expiration and thereafter for a further five-year term. The term of the License Agreement, including the initial 10-year term and any renewals, is contingent on the effectiveness of the primary spectrum license.</w:t>
      </w:r>
    </w:p>
    <w:p>
      <w:pPr>
        <w:spacing w:after="0" w:line="178"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Any future coordination agreement with Mexico and/or a Mexican ATG licensee could affect our ability to provide our broadband Internet service in the border areas using our current cell sites at current operating power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levels and could affect our ability to establish or maintain ATG service in the border areas as aircraft fly into and out of Mexican airspace.</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Equipment Certification</w:t>
      </w:r>
    </w:p>
    <w:p>
      <w:pPr>
        <w:spacing w:after="0" w:line="117"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We may not lease, sell, market or distribute any radio transmission equipment used in the provision of our services unless such equipment is certified by the FCC as compliant with the FCC’s technical rules. All certifications required for equipment currently used in the provision of our services have been obtained.</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Privacy and Data Security-Related Regulations</w:t>
      </w:r>
    </w:p>
    <w:p>
      <w:pPr>
        <w:spacing w:after="0" w:line="11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collect personal information, such as name, address, e-mail address and credit card information, directly from our users when they register to use our service. We also may obtain information about our users from third parties. We use the information that we collect to, for example, consummate their purchase transaction, customize and personalize advertising and content for our users and enhance the entertainment options when using our service. Our collection and use of such information are intended to comply with our privacy policy, which is posted on our website; applicable law; and our contractual obligations to aviation partners and other third parties; as well as industry standards such as the Payment Card Industry Data Security Standard.</w:t>
      </w:r>
    </w:p>
    <w:p>
      <w:pPr>
        <w:spacing w:after="0" w:line="161" w:lineRule="exact"/>
        <w:rPr>
          <w:sz w:val="20"/>
          <w:szCs w:val="20"/>
          <w:color w:val="auto"/>
        </w:rPr>
      </w:pPr>
    </w:p>
    <w:p>
      <w:pPr>
        <w:jc w:val="both"/>
        <w:ind w:right="320" w:firstLine="589"/>
        <w:spacing w:after="0" w:line="263" w:lineRule="auto"/>
        <w:rPr>
          <w:sz w:val="20"/>
          <w:szCs w:val="20"/>
          <w:color w:val="auto"/>
        </w:rPr>
      </w:pPr>
      <w:r>
        <w:rPr>
          <w:rFonts w:ascii="Arial" w:cs="Arial" w:eastAsia="Arial" w:hAnsi="Arial"/>
          <w:sz w:val="18"/>
          <w:szCs w:val="18"/>
          <w:color w:val="auto"/>
        </w:rPr>
        <w:t>Notwithstanding that broadband Internet access is currently classified as a Title I information service, we must continue to comply with certain Communications Act and FCC privacy and data security rules for our services, including certain provisions applicable to customer proprietary network information.</w:t>
      </w:r>
    </w:p>
    <w:p>
      <w:pPr>
        <w:spacing w:after="0" w:line="184"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are also subject to other federal and state consumer privacy and data security requirements. For example, Section 5 of the Federal Trade Commission (“FTC”) Act prohibits “unfair or deceptive acts or practices in or affecting commerce.” Although the FTC’s authority to regulate the non-common carrier services offered by communications common carriers has not been fully delineated, we believe that the FTC has jurisdiction over all of our services. The FTC has brought enforcement actions under the FTC Act against companies that among other things: (1) collect, use, share, or retain personal information in a way that is inconsistent with the representations, commitments, and promises that they make in their privacy policies and other public statements; (2) have privacy policies that do not adequately inform consumers about the company’s actual practices; and (3) fail to reasonably protect the security, privacy and confidentiality of nonpublic consumer information.</w:t>
      </w:r>
    </w:p>
    <w:p>
      <w:pPr>
        <w:spacing w:after="0" w:line="177"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We are also subject to state “mini-FTC Acts,” which prohibit unfair or deceptive acts or practices, along with data security breach notification laws requiring entities holding certain personal data to provide notices in the event of a breach of the security of that data. A few states have also imposed specific data security obligations. These state mini-FTC Acts, data security breach notification laws, and data security obligations may not extend to all of our services and their applicability may be limited by various factors, such as whether an affected party is a resident of a particular state.</w:t>
      </w:r>
    </w:p>
    <w:p>
      <w:pPr>
        <w:spacing w:after="0" w:line="157"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Certain states have also enacted specific privacy laws to which we may be subject. For example, the California Consumer Privacy Act (“CCPA”) took effect January 1, 2020 and provides broad new privacy rights for California consumers, including, among others, the right to obtain copies of their personal information collected in the past 12 months, the ability to opt out from the sale of personal information, and the right to demand deletion of personal information. The CCPA also imposes compliance requirements on companies that do business in California and collect personal information from consumers, including, among others, notice, consent, and service provider requirements. The CCPA also provides for civil penalties for violations, as well as a private right of action for data breaches that may increase data breach litigation. The California Office of the Attorney General has published final regulations to implement portions of the CCPA. In addition, in November 2020 California voters passed the California Privacy Rights Act (“CPRA”) ballot initiative, which introduces significant amendments to the CCPA. The CPRA will go into effect on January 1, 2023, and new regulations are expected to be introduced. Depending on such regulations, the measures we are required to take to comply with the CCPA may be significantly impacted.</w:t>
      </w:r>
    </w:p>
    <w:p>
      <w:pPr>
        <w:spacing w:after="0" w:line="166"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Congress and state legislatures have also been considering legislation relating to privacy and data breaches. Should any additional laws be enacted, they could affect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 w:name="page13"/>
    <w:bookmarkEnd w:id="12"/>
    <w:p>
      <w:pPr>
        <w:ind w:right="20" w:firstLine="589"/>
        <w:spacing w:after="0" w:line="289" w:lineRule="auto"/>
        <w:rPr>
          <w:sz w:val="20"/>
          <w:szCs w:val="20"/>
          <w:color w:val="auto"/>
        </w:rPr>
      </w:pPr>
      <w:r>
        <w:rPr>
          <w:rFonts w:ascii="Arial" w:cs="Arial" w:eastAsia="Arial" w:hAnsi="Arial"/>
          <w:sz w:val="16"/>
          <w:szCs w:val="16"/>
          <w:color w:val="auto"/>
        </w:rPr>
        <w:t xml:space="preserve">To the extent we collect personally identifiable information of residents in other countries, we may be subject to the data protection regulations of the relevant countries. On May 25, 2018, the General Data Protection Regulation (“GDPR”) of the European Union (“EU”) took effect, which has imposed more restrictive privacy-related requirements for entities outside the EU that process personally identifiable information about European data subjects. In addition, certain countries have laws which restrict the transfer of personally identifiable information outside of such countries. For example, both Switzerland and the member states of the EU impose restrictions on transferring such data to countries, including the U.S., that they do not deem to offer a similar standard of protection as they require. Certain mechanisms apply under Swiss and EU member state laws that permit the cross-border transfer of personal information to countries that are not deemed adequate, such as the United States. Additionally, on July 16, 2020, the European Court of Justice (the highest EU court) ruled the EU-US privacy shield to be an invalid data transfer mechanism, confirmed that the Model Standard Contractual Clauses (“SCC”) remain valid, and left unaddressed some issues regarding supplementary measures that may need to be taken to support transfers. </w:t>
      </w:r>
      <w:r>
        <w:rPr>
          <w:rFonts w:ascii="Arial" w:cs="Arial" w:eastAsia="Arial" w:hAnsi="Arial"/>
          <w:sz w:val="16"/>
          <w:szCs w:val="16"/>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6328410</wp:posOffset>
            </wp:positionH>
            <wp:positionV relativeFrom="paragraph">
              <wp:posOffset>-90805</wp:posOffset>
            </wp:positionV>
            <wp:extent cx="5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46"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The regulation of data privacy and security in the EU and in other jurisdictions continues to evolve. EU member states also have some flexibility to supplement the GDPR with their own laws and regulations and may apply stricter requirements for certain data processing activities.</w:t>
      </w:r>
    </w:p>
    <w:p>
      <w:pPr>
        <w:spacing w:after="0" w:line="25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Truth in Billing and Consumer Protection</w:t>
      </w:r>
    </w:p>
    <w:p>
      <w:pPr>
        <w:spacing w:after="0" w:line="117" w:lineRule="exact"/>
        <w:rPr>
          <w:sz w:val="20"/>
          <w:szCs w:val="20"/>
          <w:color w:val="auto"/>
        </w:rPr>
      </w:pPr>
    </w:p>
    <w:p>
      <w:pPr>
        <w:ind w:right="260" w:firstLine="589"/>
        <w:spacing w:after="0" w:line="275" w:lineRule="auto"/>
        <w:rPr>
          <w:sz w:val="20"/>
          <w:szCs w:val="20"/>
          <w:color w:val="auto"/>
        </w:rPr>
      </w:pPr>
      <w:r>
        <w:rPr>
          <w:rFonts w:ascii="Arial" w:cs="Arial" w:eastAsia="Arial" w:hAnsi="Arial"/>
          <w:sz w:val="17"/>
          <w:szCs w:val="17"/>
          <w:color w:val="auto"/>
        </w:rPr>
        <w:t>The FCC’s Truth in Billing rules require full and fair disclosure of all charges on customer bills for telecommunications services, except for broadband Internet access services. Thus, these rules apply to our satellite-based services. This disclosure must include brief, clear and non-misleading plain language descriptions of the services provided. However, the FCC has recently initiated a proceeding to revise and potentially extend certain of its Truth in Billing rules, and any changes the FCC adopts may affect our compliance obligations. States also have the right to regulate wireless carriers’ billing; however, we are not currently aware of any states that impose billing requirements on ATG services.</w:t>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CALEA</w:t>
      </w:r>
    </w:p>
    <w:p>
      <w:pPr>
        <w:spacing w:after="0" w:line="117" w:lineRule="exact"/>
        <w:rPr>
          <w:sz w:val="20"/>
          <w:szCs w:val="20"/>
          <w:color w:val="auto"/>
        </w:rPr>
      </w:pPr>
    </w:p>
    <w:p>
      <w:pPr>
        <w:ind w:right="400" w:firstLine="589"/>
        <w:spacing w:after="0" w:line="301" w:lineRule="auto"/>
        <w:rPr>
          <w:sz w:val="20"/>
          <w:szCs w:val="20"/>
          <w:color w:val="auto"/>
        </w:rPr>
      </w:pPr>
      <w:r>
        <w:rPr>
          <w:rFonts w:ascii="Arial" w:cs="Arial" w:eastAsia="Arial" w:hAnsi="Arial"/>
          <w:sz w:val="16"/>
          <w:szCs w:val="16"/>
          <w:color w:val="auto"/>
        </w:rPr>
        <w:t>The FCC has determined that facilities-based broadband Internet access providers, which include Gogo, are subject to the Communications Assistance for Law Enforcement Act, or CALEA, which requires covered service providers to build certain law enforcement surveillance assistance capabilities into their communications networks and to maintain CALEA-related system security policies and procedures. We have implemented such policies and procedures and, based upon our periodic self-assessments, we believe that our network is compliant with CALEA.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We rely on a combination of intellectual property rights, including trade secrets, patents, copyrights, trademarks and domain names, as well as contractual restrictions to protect intellectual property and proprietary technology owned or used by us.</w:t>
      </w:r>
    </w:p>
    <w:p>
      <w:pPr>
        <w:spacing w:after="0" w:line="170"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We have patented certain of our technologies in the United States and certain countries outside of the United States. As of March 4, 2021 we held U.S. patents expiring on dates ranging from January 2022 to March 2039, and foreign patents expiring on dates ranging from October 2021 to June 2037. We do not believe that our business is dependent to any material extent on any single patent or group of patents that we own. We also have a number of patent applications pending both in and outside of the United States and we will continue to seek patent protection in the United States and certain other countries to the extent we believe such protection is appropriate and cost-effective.</w:t>
      </w:r>
    </w:p>
    <w:p>
      <w:pPr>
        <w:spacing w:after="0" w:line="176"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We consider our brands to be important to the success of our business and our competitive position. We rely on both trademark registrations and common law protection for trademarks. Our registered trademarks in the United States and certain other countries include, among others, “Gogo,” “Gogo Biz” and “Gogo Vision,” although we have not yet obtained registrations for our most important marks in all markets in which we currently do business or intend to do business in the future. Generally, the protection afforded for trademarks is perpetual, if they are renewed on a timely basis, if registered, and continue to be used properly as trademarks.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3" w:name="page14"/>
    <w:bookmarkEnd w:id="13"/>
    <w:p>
      <w:pPr>
        <w:jc w:val="both"/>
        <w:ind w:right="80" w:firstLine="589"/>
        <w:spacing w:after="0" w:line="287" w:lineRule="auto"/>
        <w:rPr>
          <w:sz w:val="20"/>
          <w:szCs w:val="20"/>
          <w:color w:val="auto"/>
        </w:rPr>
      </w:pPr>
      <w:r>
        <w:rPr>
          <w:rFonts w:ascii="Arial" w:cs="Arial" w:eastAsia="Arial" w:hAnsi="Arial"/>
          <w:sz w:val="16"/>
          <w:szCs w:val="16"/>
          <w:color w:val="auto"/>
        </w:rPr>
        <w:t>We license or purchase from third parties technology, software and hardware that are critical to providing our products and services. Much of this technology, software and hardware is customized for our use and would be difficult or time-consuming to obtain from alternative vendors. We also license our proprietary technology and software to third parties to enable them to integrate such technology and software into the products they provide to us.</w:t>
      </w:r>
    </w:p>
    <w:p>
      <w:pPr>
        <w:spacing w:after="0" w:line="2" w:lineRule="exact"/>
        <w:rPr>
          <w:sz w:val="20"/>
          <w:szCs w:val="20"/>
          <w:color w:val="auto"/>
        </w:rPr>
      </w:pPr>
    </w:p>
    <w:p>
      <w:pPr>
        <w:jc w:val="both"/>
        <w:ind w:right="40"/>
        <w:spacing w:after="0" w:line="295" w:lineRule="auto"/>
        <w:rPr>
          <w:sz w:val="20"/>
          <w:szCs w:val="20"/>
          <w:color w:val="auto"/>
        </w:rPr>
      </w:pPr>
      <w:r>
        <w:rPr>
          <w:rFonts w:ascii="Arial" w:cs="Arial" w:eastAsia="Arial" w:hAnsi="Arial"/>
          <w:sz w:val="16"/>
          <w:szCs w:val="16"/>
          <w:color w:val="auto"/>
        </w:rPr>
        <w:t>Many of our agreements with such third parties are renewable for indefinite periods of time unless either party chooses to terminate, although some of our agreements expire after fixed periods and require renegotiation prior to expiration in order to extend the term. Among the most material of our technology-related agreements are those for modems, base stations and antennas. Our agreements for modems, base stations and antennas do not renew automatically and thus require periodic renegotiation. Such agreements as well as certain licenses to commercially available software are material to our business.</w:t>
      </w:r>
    </w:p>
    <w:p>
      <w:pPr>
        <w:spacing w:after="0" w:line="161" w:lineRule="exact"/>
        <w:rPr>
          <w:sz w:val="20"/>
          <w:szCs w:val="20"/>
          <w:color w:val="auto"/>
        </w:rPr>
      </w:pPr>
    </w:p>
    <w:p>
      <w:pPr>
        <w:ind w:right="160" w:firstLine="589"/>
        <w:spacing w:after="0" w:line="301" w:lineRule="auto"/>
        <w:rPr>
          <w:sz w:val="20"/>
          <w:szCs w:val="20"/>
          <w:color w:val="auto"/>
        </w:rPr>
      </w:pPr>
      <w:r>
        <w:rPr>
          <w:rFonts w:ascii="Arial" w:cs="Arial" w:eastAsia="Arial" w:hAnsi="Arial"/>
          <w:sz w:val="16"/>
          <w:szCs w:val="16"/>
          <w:color w:val="auto"/>
        </w:rPr>
        <w:t>Under the terms of the Transaction, we retained ownership of the entire patent portfolio held by Gogo Inc. and its affiliates, including patents developed and obtained in connection with our former commercial aviation business. We have granted Intelsat a worldwide, perpetual, non-exclusive license to our patent portfolio for use in the commercial aviation and satellite mobility businesses (each as defined in the license agreement). Intelsat also has a limited, non-exclusive license right to use certain of our trademarks for up to two years as it transitions to its own brand.</w:t>
      </w:r>
    </w:p>
    <w:p>
      <w:pPr>
        <w:spacing w:after="0" w:line="157" w:lineRule="exact"/>
        <w:rPr>
          <w:sz w:val="20"/>
          <w:szCs w:val="20"/>
          <w:color w:val="auto"/>
        </w:rPr>
      </w:pPr>
    </w:p>
    <w:p>
      <w:pPr>
        <w:ind w:right="140" w:firstLine="589"/>
        <w:spacing w:after="0" w:line="311" w:lineRule="auto"/>
        <w:rPr>
          <w:sz w:val="20"/>
          <w:szCs w:val="20"/>
          <w:color w:val="auto"/>
        </w:rPr>
      </w:pPr>
      <w:r>
        <w:rPr>
          <w:rFonts w:ascii="Arial" w:cs="Arial" w:eastAsia="Arial" w:hAnsi="Arial"/>
          <w:sz w:val="16"/>
          <w:szCs w:val="16"/>
          <w:color w:val="auto"/>
        </w:rPr>
        <w:t>We have developed certain ideas, processes, and methods that contribute to our success and competitive position that we consider to be trade secrets. We protect our trade secrets by keeping them confidential through the use of internal and external controls, including contractual protections with employees, contractors, customers and vendors. Trade secrets can be protected for an indefinite period so long as their secrecy is maintained.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280" w:firstLine="589"/>
        <w:spacing w:after="0" w:line="259" w:lineRule="auto"/>
        <w:rPr>
          <w:sz w:val="20"/>
          <w:szCs w:val="20"/>
          <w:color w:val="auto"/>
        </w:rPr>
      </w:pPr>
      <w:r>
        <w:rPr>
          <w:rFonts w:ascii="Arial" w:cs="Arial" w:eastAsia="Arial" w:hAnsi="Arial"/>
          <w:sz w:val="18"/>
          <w:szCs w:val="18"/>
          <w:color w:val="auto"/>
        </w:rPr>
        <w:t>We believe that our success is the product of an integrated approach to talent management that touches every part of our business. Rather than focusing on individual processes, we manage our employee ecosystem holistically by encouraging behaviors, conversations, relationships and activities that represent best practices for a high performing culture. We are committed to fostering a highly engaged workforce and in turn driving satisfaction among partners and customers through the following initiatives:</w:t>
      </w:r>
    </w:p>
    <w:p>
      <w:pPr>
        <w:spacing w:after="0" w:line="79" w:lineRule="exact"/>
        <w:rPr>
          <w:sz w:val="20"/>
          <w:szCs w:val="20"/>
          <w:color w:val="auto"/>
        </w:rPr>
      </w:pPr>
    </w:p>
    <w:p>
      <w:pPr>
        <w:ind w:left="1160" w:right="20" w:hanging="572"/>
        <w:spacing w:after="0" w:line="25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Our compensation program is designed to attract, retain and reward the best performers. In addition to carefully calibrated salaries and bonuses, which are reviewed annually, our employees benefit from a generous benefit package, including employee stock purchase and 401(k) programs. Additionally, many of our employees are eligible for equity awards through our annual equity program as a part of their compensation.</w:t>
      </w:r>
    </w:p>
    <w:p>
      <w:pPr>
        <w:spacing w:after="0" w:line="78" w:lineRule="exact"/>
        <w:rPr>
          <w:rFonts w:ascii="Arial" w:cs="Arial" w:eastAsia="Arial" w:hAnsi="Arial"/>
          <w:sz w:val="18"/>
          <w:szCs w:val="18"/>
          <w:color w:val="auto"/>
        </w:rPr>
      </w:pPr>
    </w:p>
    <w:p>
      <w:pPr>
        <w:ind w:left="1160" w:right="420" w:hanging="572"/>
        <w:spacing w:after="0" w:line="25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Diversity: Gogo has formed a Diversity Council dedicated to furthering a culture of acceptance and respect for the attributes that differentiate people and/or groups. These attributes include race, ethnicity, gender, sexual orientation and physical and developmental disabilities. It is our desire to create an environment where each individual’s uniqueness is respected and which allows for a sense of inclusion and belonging.</w:t>
      </w:r>
    </w:p>
    <w:p>
      <w:pPr>
        <w:spacing w:after="0" w:line="78" w:lineRule="exact"/>
        <w:rPr>
          <w:rFonts w:ascii="Arial" w:cs="Arial" w:eastAsia="Arial" w:hAnsi="Arial"/>
          <w:sz w:val="18"/>
          <w:szCs w:val="18"/>
          <w:color w:val="auto"/>
        </w:rPr>
      </w:pPr>
    </w:p>
    <w:p>
      <w:pPr>
        <w:ind w:left="1160" w:right="140" w:hanging="572"/>
        <w:spacing w:after="0" w:line="25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Training &amp; Development: The continued development of our people is critical to our success. New hires participate in an onboarding and orientation program, which is intended to build knowledge and understanding of our business. We also invest in various professional development and leadership training initiatives and conduct quarterly forums relevant to our business that provide unique learning and networking opportunities across all business functions.</w:t>
      </w:r>
    </w:p>
    <w:p>
      <w:pPr>
        <w:spacing w:after="0" w:line="78" w:lineRule="exact"/>
        <w:rPr>
          <w:rFonts w:ascii="Arial" w:cs="Arial" w:eastAsia="Arial" w:hAnsi="Arial"/>
          <w:sz w:val="18"/>
          <w:szCs w:val="18"/>
          <w:color w:val="auto"/>
        </w:rPr>
      </w:pPr>
    </w:p>
    <w:p>
      <w:pPr>
        <w:ind w:left="1160" w:right="200" w:hanging="572"/>
        <w:spacing w:after="0" w:line="25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Recognition: Our employees’ success is celebrated. Our recognition programs include service awards, peer-to-peer recognition awards (called Gogo Props), spot bonuses for significant contributions above and beyond daily work efforts and special equity awards for high performers nominated by their leaders. We believe these programs promote a positive employee experience that champions performance while creating a sense of community.</w:t>
      </w:r>
    </w:p>
    <w:p>
      <w:pPr>
        <w:spacing w:after="0" w:line="78"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Talent Review: We employ a comprehensive talent review program to assess the performance and capabilities of each individual. Annually we set company-wide priorities that serve as the basis upon which clear individual objectives are set across the entire workforce. Feedback is provided regularly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 w:name="page15"/>
    <w:bookmarkEnd w:id="14"/>
    <w:p>
      <w:pPr>
        <w:ind w:left="1160" w:right="260"/>
        <w:spacing w:after="0" w:line="311" w:lineRule="auto"/>
        <w:rPr>
          <w:sz w:val="20"/>
          <w:szCs w:val="20"/>
          <w:color w:val="auto"/>
        </w:rPr>
      </w:pPr>
      <w:r>
        <w:rPr>
          <w:rFonts w:ascii="Arial" w:cs="Arial" w:eastAsia="Arial" w:hAnsi="Arial"/>
          <w:sz w:val="16"/>
          <w:szCs w:val="16"/>
          <w:color w:val="auto"/>
        </w:rPr>
        <w:t>and our annual talent review process identifies and supports high performers in the form of additional development opportunities so that each employee has the opportunity to reach their full potential. By investing in our people and taking the opportunity to promote from within when appropriate, we believe we are best able to reinforce our core values and achieve our strategic objectives.</w:t>
      </w:r>
    </w:p>
    <w:p>
      <w:pPr>
        <w:spacing w:after="0" w:line="41" w:lineRule="exact"/>
        <w:rPr>
          <w:sz w:val="20"/>
          <w:szCs w:val="20"/>
          <w:color w:val="auto"/>
        </w:rPr>
      </w:pPr>
    </w:p>
    <w:p>
      <w:pPr>
        <w:ind w:left="1160" w:right="18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Feedback: We conduct annual employee engagement surveys to solicit feedback and help guide planning on all people related efforts and initiatives that not only support our team members but propel our business forward.</w:t>
      </w:r>
    </w:p>
    <w:p>
      <w:pPr>
        <w:spacing w:after="0" w:line="170"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These efforts are supported by our dedicated human resources team and led by our Executive Vice President, Chief People Experience Officer, who is responsible for developing and executing our human capital strategy and regularly updates our board of directors and senior management on the operation and status of our human capital activities.</w:t>
      </w:r>
    </w:p>
    <w:p>
      <w:pPr>
        <w:spacing w:after="0" w:line="184" w:lineRule="exact"/>
        <w:rPr>
          <w:sz w:val="20"/>
          <w:szCs w:val="20"/>
          <w:color w:val="auto"/>
        </w:rPr>
      </w:pPr>
    </w:p>
    <w:p>
      <w:pPr>
        <w:ind w:right="220" w:firstLine="589"/>
        <w:spacing w:after="0" w:line="259" w:lineRule="auto"/>
        <w:rPr>
          <w:sz w:val="20"/>
          <w:szCs w:val="20"/>
          <w:color w:val="auto"/>
        </w:rPr>
      </w:pPr>
      <w:r>
        <w:rPr>
          <w:rFonts w:ascii="Arial" w:cs="Arial" w:eastAsia="Arial" w:hAnsi="Arial"/>
          <w:sz w:val="18"/>
          <w:szCs w:val="18"/>
          <w:color w:val="auto"/>
        </w:rPr>
        <w:t>We have always made the health and safety of our employees a top priority, and even more so since the COVID pandemic started. We have encouraged those employees who can work remote to do so and have seen no negative impacts to productivity. We have also adopted various safety and cleaning protocols for those coming into our offices to ensure that we are doing everything we can to prevent the spread of the virus amongst our employees and the community.</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2020, we had 349 employees, 347 of whom were full-time. No employee is a member of a labor union.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Gogo Inc. is a holding company that does business through its subsidiaries. Our principal operating subsidiary is Gogo Business Aviation LLC, which is a direct, wholly-owned subsidiary of Gogo Intermediate Holdings LLC.</w:t>
      </w:r>
    </w:p>
    <w:p>
      <w:pPr>
        <w:spacing w:after="0" w:line="170"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Our principal executive offices are located at 111 N. Canal St., Suite 1400, Chicago, IL 60606. Our telephone number is (303) 301-3271. Our website addresses are www.gogoair.com and www.business.gogoair.com.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Our websites are located at www.gogoair.com and www.business.gogoair.com, and our investor relations website is located at http://ir.gogoair.com. Our Proxy Statements, Annual Reports on Form 10-K, Quarterly Reports on Form 10-Q, Current Reports on Form 8-K and amendments to reports filed or furnished pursuant to Sections 13(a) and 15(d) of the Securities Exchange Act of 1934, as amended (the “Exchange Act”), are available free of charge on the investor relations website as soon as reasonably practicable after we electronically file such material with, or furnish it to, the SEC. We also provide a link to the section of the SEC's website at www.sec.gov that has all of our public filings, including Annual Reports on Form 10-K, Quarterly Reports on Form 10-Q, Current Reports on Form 8-K, all amendments to those reports, our Proxy Statements, and other ownership related filings.</w:t>
      </w:r>
    </w:p>
    <w:p>
      <w:pPr>
        <w:spacing w:after="0" w:line="164"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Investors and others can receive notifications of new information posted on our investor relations website in real-time by signing up for email alerts and RSS feeds. Further corporate governance information, including our certificate of incorporation, bylaws, corporate governance guidelines, board committee charters, and code of business conduct,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b w:val="1"/>
          <w:bCs w:val="1"/>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b w:val="1"/>
          <w:bCs w:val="1"/>
          <w:i w:val="1"/>
          <w:iCs w:val="1"/>
          <w:color w:val="auto"/>
        </w:rPr>
        <w:t>We may be unable to continue to generate revenue from the provision of our connectivity services, which could materially and adversely affect our business and profitability.</w:t>
      </w:r>
    </w:p>
    <w:p>
      <w:pPr>
        <w:spacing w:after="0" w:line="170"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Our business is dependent on our ability to continuously attract and retain users of our connectivity and other service offerings, and we cannot be certain that we will be successful in these efforts or that customer retention levels will not materially decline. For the fiscal years ended December 31, 2020, 2019 and 2018, the Gogo service we provided on business aircraft (which excludes service provided on commercial aircraft under the ATG Network Sharing Agreement) generated approximately 78%, 72% and 68% of our revenue from continuing operations, respectively. A significant portion of such service revenue is generated through individual subscription agreements with our customers that cover a single or small number of aircraft, with the remainder generated through subscription agreements with certain fractional or charter operators covering larger fleets of aircraft. These agreements are generally no more than one-year in duration. As such, we have no assurance that any of such customers will renew their existing agreements with us upon expiration on comparable terms or at all, including as a result of a lack of demand or dissatisfaction with our services or the availability of superior or less expensive alternatives in the market. In addition, our subscription agreements are generally terminable at will by our customers and, if terminated, we may not be able to collect amounts we would have otherwise expected to receive during the full term of the agreement. To the extent that our subscribers terminate or fail to renew their contracts with us for any reason, our business prospects, financial condition and results of operations may be materially adversely affected.</w:t>
      </w:r>
    </w:p>
    <w:p>
      <w:pPr>
        <w:spacing w:after="0" w:line="179"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Our subscription agreements do not generally contain minimum commitments for the usage of our connectivity and other services. We have in the past, and may in the future, experience periods of reduced usage of our services by our customers or allow customers to suspend their accounts, which could adversely impact our results of operations and profitability. For example, we experienced a sharp decrease in flight activity, an increase in account suspensions and a decrease in new plan activities in the second quarter and, to a lesser extent, in the third quarter, of 2020 as a result of reduced travel demand due to the COVID-19 pandemic.</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are reliant on our key OEMs and dealers for equipment sales.</w:t>
      </w:r>
    </w:p>
    <w:p>
      <w:pPr>
        <w:spacing w:after="0" w:line="117"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Revenue from equipment sales accounted for approximately 21%, 28% and 32% of our revenue from continuing operations for the fiscal years ended December 31, 2020, 2019 and 2018, respectively. More than 90% of our equipment revenue in each such fiscal year was generated from contracts with OEMs and after-market dealers. Almost all of our contracts with OEMs and dealers are terminable at will by either party on short notice. If one or more key OEMs or dealers terminates its relationship with us for any reason or our contract expires and is not renewed, our business and results of operations may be materially and adversely affected. In addition, pursuant to many of our contracts with our OEM distribution partners, we have agreed to deliver equipment and/or services, including equipment and services not yet in production, for a fixed price and, accordingly, take the risk of any cost overruns or delays in the completion of the design and manufacturing of the product. Certain of our contracts with our OEMs also include provisions that, under specified circumstances, entitle them to the benefit of certain more favorable provisions in other equipment contracts, including with respect to pricing. These provisions, some of which have retroactive effect, may limit the benefits we realize from contracts containing such provisions. Our inability to identify and offer improved terms to a distribution partner or customer in accordance with such a</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provision could negatively affect our relationship with that distribution partner or customer or give rise to a claim that we are in breach of such contract.</w:t>
      </w:r>
    </w:p>
    <w:p>
      <w:pPr>
        <w:spacing w:after="0" w:line="248" w:lineRule="exact"/>
        <w:rPr>
          <w:sz w:val="20"/>
          <w:szCs w:val="20"/>
          <w:color w:val="auto"/>
        </w:rPr>
      </w:pPr>
    </w:p>
    <w:p>
      <w:pPr>
        <w:ind w:right="460" w:firstLine="589"/>
        <w:spacing w:after="0" w:line="259" w:lineRule="auto"/>
        <w:rPr>
          <w:sz w:val="20"/>
          <w:szCs w:val="20"/>
          <w:color w:val="auto"/>
        </w:rPr>
      </w:pPr>
      <w:r>
        <w:rPr>
          <w:rFonts w:ascii="Arial" w:cs="Arial" w:eastAsia="Arial" w:hAnsi="Arial"/>
          <w:sz w:val="18"/>
          <w:szCs w:val="18"/>
          <w:color w:val="auto"/>
        </w:rPr>
        <w:t>Many of our distribution partners have also not committed to purchase any minimum quantity of our equipment. In certain cases, we must anticipate the future volume of orders based upon non-binding production schedules provided by OEMs, historical purchasing patterns and informal discussions with customers as to their anticipated future requirements. Cancellations, reductions or delays by OEMS and dealers may have a material adverse effect on our business, financial condition and results of operations.</w:t>
      </w:r>
    </w:p>
    <w:p>
      <w:pPr>
        <w:spacing w:after="0" w:line="187"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Our distribution partners may be materially adversely impacted by economic downturns and market disruptions. In anticipation of changing economic conditions, OEMs in particular may be more conservative in their production, which may reduce our market opportunities. Further, unfavorable market conditions could cause one or more of OEMs or dealers to file for bankruptcy, which may have a material adverse effect on our business, financial condition and results of operations.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Competition could result in price reduction, reduced revenue and loss of market position and could harm our results of operations.</w:t>
      </w:r>
    </w:p>
    <w:p>
      <w:pPr>
        <w:spacing w:after="0" w:line="129"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Our equipment and service are sold in competitive markets. Some of our current or potential future competitors are larger, more diversified corporations and have greater financial, marketing, production, and research and development resources. As a result, they may be better able to withstand pricing pressures and the effects of periodic economic downturns. Some of our current or future competitors may offer a broader product line or broader geographic coverage to customers. Our business and results of operations may be materially adversely affected if our competitors:</w:t>
      </w:r>
    </w:p>
    <w:p>
      <w:pPr>
        <w:spacing w:after="0" w:line="63"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equipment or service that is superior to our equipment and service;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equipment or service that is priced more competitively than our equipment and service;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methods of more efficiently and effectively providing equipment and services;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adapt more quickly than we do to new technologies or evolving customer requirements.</w:t>
      </w:r>
    </w:p>
    <w:p>
      <w:pPr>
        <w:spacing w:after="0" w:line="225"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We believe that the principal points of competition in our business are technological capabilities, price, customer service, product development, conformity to customer specifications, compliance with regulatory certification requirements, quality of support after the sale and timeliness of delivery and installation. Maintaining and improving our competitive position will require continued investment in technology, manufacturing, engineering, quality standards, marketing and customer service and support. If we do not maintain sufficient resources to make these investments or are not successful in maintaining our competitive position, our operations and financial performance will suffer. In addition, competition may subject us to downward pricing pressures. Pricing at too high a level could adversely affect our ability to gain new customers and retain current customers, while increased competition could force us to lower our prices or lose market position and could adversely affect growth prospects and profitability. We may not have the financial resources, technical expertise or support capabilities to continue to compete successfully. A failure to respond to established and new competitors may have a material adverse impact on our business and results of operations. A competitor is developing a North American air-to-ground 4G network using unlicensed spectrum and has announced that it will launch in-flight connectivity service in the continental United States in 2021. Other competitors could enter this business using the same or other air-to-ground spectrum. Another in-flight connectivity provider has launched service on commercial aircraft in Europe using a hybrid air-to-ground/satellite network. We do not currently offer satellite-based broadband service, and could face competition, particularly outside of North America, from owners of low earth orbit and other new non-geostationary satellite constellations should they decide to enter our market.</w:t>
      </w:r>
    </w:p>
    <w:p>
      <w:pPr>
        <w:spacing w:after="0" w:line="28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b w:val="1"/>
          <w:bCs w:val="1"/>
          <w:i w:val="1"/>
          <w:iCs w:val="1"/>
          <w:color w:val="auto"/>
        </w:rPr>
        <w:t>The COVID-19 pandemic and the measures implemented to combat it have had, and may continue to have, a material adverse effect on our business.</w:t>
      </w:r>
    </w:p>
    <w:p>
      <w:pPr>
        <w:spacing w:after="0" w:line="62"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In December 2019, a novel strain of coronavirus (“COVID-19”) was reported in Wuhan, China, and the World Health Organization (the “WHO”) subsequently declared COVID-19 a “Public Health Emergency of International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p>
      <w:pPr>
        <w:ind w:right="40"/>
        <w:spacing w:after="0" w:line="287" w:lineRule="auto"/>
        <w:rPr>
          <w:sz w:val="20"/>
          <w:szCs w:val="20"/>
          <w:color w:val="auto"/>
        </w:rPr>
      </w:pPr>
      <w:r>
        <w:rPr>
          <w:rFonts w:ascii="Arial" w:cs="Arial" w:eastAsia="Arial" w:hAnsi="Arial"/>
          <w:sz w:val="16"/>
          <w:szCs w:val="16"/>
          <w:color w:val="auto"/>
        </w:rPr>
        <w:t>Concern.” On March 13, 2020, the U.S. government declared a national emergency and on March 19, 2020, the U.S. Department of State issued a global Level 4 “do not travel” advisory advising U.S. citizens to avoid all international travel due to the global impact of COVID-19. The U.S. government has also implemented enhanced screenings, mandatory quarantine requirements and other travel restrictions in connection with the COVID-19 pandemic, including restrictions on travel from Asia, Europe, Mexico and Canada, and many foreign and U.S. state governments have instituted similar measures (including travel restrictions to and within the European Union) and declared states of emergency. At various points, most states and U.S. territories have issued instructions for their residents to stay home or “shelter in place” and to avoid any non-essential travel for varied durations of time and may lift, have lifted or will be lifting or easing these instructions at varied times, often with certain restrictions still in place. In addition, depending on the results of any easing or lifting of instructions and other restrictions, federal, state or local governments or authorities may determine to reinstate, enhance or enforce the same or other instructions or restrictions in the future. Governments, non-governmental organizations and entities in the private sector have also issued and may continue to issue non-binding advisories or recommendations regarding air travel or other social distancing measures, including limitations on the number of persons that should be present at public gatherings.</w:t>
      </w:r>
    </w:p>
    <w:p>
      <w:pPr>
        <w:spacing w:after="0" w:line="172"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The COVID-19 pandemic caused a significant decline in international and domestic business aviation travel, which materially and adversely affected our business in 2020. Beginning in March 2020, our business saw a sharp decrease in flight activity, as well as an increase in requests for account suspensions and decreases in new plan activations. Though we continue to see strong signs of recovery from the lows we experienced in mid-April 2020, there can be no assurance that such recovery will continue at the current pace or at all. The impact of the pandemic has varied across different parts of our customer base – for example corporate flight departments, charter operators and commercial aircraft (under the ATG Network Sharing Agreement) – and we expect the pace of recovery to vary by type of customer also. The negative impact of COVID-19 on demand for commercial air travel could have an adverse effect on the revenue share payable to us by Intelsat under the ATG Network Sharing Agreement.</w:t>
      </w:r>
    </w:p>
    <w:p>
      <w:pPr>
        <w:spacing w:after="0" w:line="17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expect COVID-19 to continue to negatively impact our business and we are unable to predict how long or with what degree of severity that impact will continue. The extent of the impact of COVID-19 on our financial and operational performance will depend on future developments, including the duration, spread and severity of the outbreak, the timetable for administering and efficacy of vaccines, the duration and geographic scope of related travel advisories and restrictions and the extent of the impact of COVID-19 on overall demand for commercial and business aviation travel, all of which are highly uncertain and cannot be predicted.</w:t>
      </w:r>
    </w:p>
    <w:p>
      <w:pPr>
        <w:spacing w:after="0" w:line="188"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In addition to directly impacting demand for air travel, COVID-19 and related restrictions may have a material and adverse impact on other aspects of our business, including:</w:t>
      </w:r>
    </w:p>
    <w:p>
      <w:pPr>
        <w:spacing w:after="0" w:line="62" w:lineRule="exact"/>
        <w:rPr>
          <w:sz w:val="20"/>
          <w:szCs w:val="20"/>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and difficulties in completing installations on certain aircraft;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shortages in our supply chain;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competitive position, including with respect to connectivity providers that do not operate exclusively in the aviation industry; and</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our ability to market and grow our business and to promote technological innovation.</w:t>
      </w:r>
    </w:p>
    <w:p>
      <w:pPr>
        <w:spacing w:after="0" w:line="225"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At this time we are also not able to predict whether the COVID-19 pandemic will result in long-term changes to business practices and consumer behavior, with such changes including but not limited to a long-term reduction in travel as a result of increased usage of “virtual” and “teleconferencing” products. The full extent of the ongoing impact of COVID-19 on our longer-term operational and financial performance will depend on future developments, many of which are outside of our control.</w:t>
      </w:r>
    </w:p>
    <w:p>
      <w:pPr>
        <w:spacing w:after="0" w:line="29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Our business requires substantial investment and/or financing and there can be no assurance that such investment and/or financing will result in increased revenue or growth in our business.</w:t>
      </w:r>
    </w:p>
    <w:p>
      <w:pPr>
        <w:spacing w:after="0" w:line="62"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Our business requires substantial investment and there can be no assurance that such investment will result in increased revenue or growth in our business. Since our initial public offering (“IPO”), we have obtained debt financing through our entry into our previous credit facility, issuances of convertible notes and issuances of senior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jc w:val="both"/>
        <w:ind w:right="500"/>
        <w:spacing w:after="0" w:line="263" w:lineRule="auto"/>
        <w:rPr>
          <w:sz w:val="20"/>
          <w:szCs w:val="20"/>
          <w:color w:val="auto"/>
        </w:rPr>
      </w:pPr>
      <w:r>
        <w:rPr>
          <w:rFonts w:ascii="Arial" w:cs="Arial" w:eastAsia="Arial" w:hAnsi="Arial"/>
          <w:sz w:val="18"/>
          <w:szCs w:val="18"/>
          <w:color w:val="auto"/>
        </w:rPr>
        <w:t>secured notes. Since the Transaction closed on December 1, 2020, we have not yet operated for a full fiscal quarter as a standalone business aviation provider and have not demonstrated an ability to generate positive cash flows. Our ability to do so will depend in large part on our ability to increase revenue and manage costs in our business.</w:t>
      </w:r>
    </w:p>
    <w:p>
      <w:pPr>
        <w:spacing w:after="0" w:line="184" w:lineRule="exact"/>
        <w:rPr>
          <w:sz w:val="20"/>
          <w:szCs w:val="20"/>
          <w:color w:val="auto"/>
        </w:rPr>
      </w:pPr>
    </w:p>
    <w:p>
      <w:pPr>
        <w:ind w:right="460" w:firstLine="589"/>
        <w:spacing w:after="0" w:line="301" w:lineRule="auto"/>
        <w:rPr>
          <w:sz w:val="20"/>
          <w:szCs w:val="20"/>
          <w:color w:val="auto"/>
        </w:rPr>
      </w:pPr>
      <w:r>
        <w:rPr>
          <w:rFonts w:ascii="Arial" w:cs="Arial" w:eastAsia="Arial" w:hAnsi="Arial"/>
          <w:sz w:val="16"/>
          <w:szCs w:val="16"/>
          <w:color w:val="auto"/>
        </w:rPr>
        <w:t>Our success may depend on our ability to raise additional financing on reasonable terms and on a timely basis. The amount and timing of our capital needs will depend in part on the extent of operating and capital expenditures required to broaden our service offerings and further develop and implement Gogo 5G and other components of our technology roadmap. In addition, we may actively consider from time to time other significant technological, strategic and operational initiatives. In order to execute on any of these initiatives, we may require additional financing.</w:t>
      </w:r>
    </w:p>
    <w:p>
      <w:pPr>
        <w:spacing w:after="0" w:line="157"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Furthermore, we expect that we will require additional financing to refinance, or repay at maturity, our indebtedness, including our 2022 Convertible Notes (as defined below) that mature on May 15, 2022, of which $237.8 million was outstanding at December 31, 2020. Conditions in the economy and the financial markets may make it more difficult for us to obtain necessary additional capital or financing on acceptable terms, or at all. In addition, our ability to obtain additional financing for working capital, capital expenditures, acquisitions, debt service requirements or general corporate purposes is also limited by the indenture governing the 2024 Senior Secured Notes, as amended, and the ABL Credit Agreement. As of December 31, 2020, Gogo Intermediate Holdings LLC and its subsidiaries would have been able to incur approximately $35 million of additional indebtedness, in the form of capital leases and borrowing under the ABL Credit Agreement. See “—</w:t>
      </w:r>
      <w:r>
        <w:rPr>
          <w:rFonts w:ascii="Arial" w:cs="Arial" w:eastAsia="Arial" w:hAnsi="Arial"/>
          <w:sz w:val="17"/>
          <w:szCs w:val="17"/>
          <w:i w:val="1"/>
          <w:iCs w:val="1"/>
          <w:color w:val="auto"/>
        </w:rPr>
        <w:t>Risks Related to Our Indebtedness—We may have future capital needs and</w:t>
      </w:r>
      <w:r>
        <w:rPr>
          <w:rFonts w:ascii="Arial" w:cs="Arial" w:eastAsia="Arial" w:hAnsi="Arial"/>
          <w:sz w:val="17"/>
          <w:szCs w:val="17"/>
          <w:color w:val="auto"/>
        </w:rPr>
        <w:t xml:space="preserve"> </w:t>
      </w:r>
      <w:r>
        <w:rPr>
          <w:rFonts w:ascii="Arial" w:cs="Arial" w:eastAsia="Arial" w:hAnsi="Arial"/>
          <w:sz w:val="17"/>
          <w:szCs w:val="17"/>
          <w:i w:val="1"/>
          <w:iCs w:val="1"/>
          <w:color w:val="auto"/>
        </w:rPr>
        <w:t>may not be able to obtain additional financing to fund our capital needs on acceptable terms, or at all</w:t>
      </w:r>
      <w:r>
        <w:rPr>
          <w:rFonts w:ascii="Arial" w:cs="Arial" w:eastAsia="Arial" w:hAnsi="Arial"/>
          <w:sz w:val="17"/>
          <w:szCs w:val="17"/>
          <w:color w:val="auto"/>
        </w:rPr>
        <w:t>.” If we cannot secure sufficient additional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we will be forced to forego strategic opportunities or delay, scale back or eliminate additional service deployment, operations and investments or employ unplanned internal cost savings measures, any of which could have a material adverse effect on our business prospects, financial condition and results of operations.</w:t>
      </w:r>
    </w:p>
    <w:p>
      <w:pPr>
        <w:spacing w:after="0" w:line="290"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b w:val="1"/>
          <w:bCs w:val="1"/>
          <w:i w:val="1"/>
          <w:iCs w:val="1"/>
          <w:color w:val="auto"/>
        </w:rPr>
        <w:t>We may be unsuccessful at evaluating or pursuing strategic opportunities, which could adversely affect our revenue, operating results and financial condition.</w:t>
      </w:r>
    </w:p>
    <w:p>
      <w:pPr>
        <w:spacing w:after="0" w:line="62"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Our Board and management continuously assess whether shareholder value would be increased by engaging in strategic and/or financial relationships, transactions or other opportunities, including those that are suggested to us by third parties. There can be no assurance that we will pursue any strategic or financial relationship, transaction or other opportunity, the outcome of which is inherently uncertain. Further, the process of evaluating and pursuing any such relationship, transaction or other opportunity will involve the dedication of significant resources and the incurrence of significant costs and expenses. If we are unable to mitigate these or other potential risks relating to assessing and undertaking strategic opportunities, it may disrupt our business or adversely impact our revenue, operating results and financial condition.</w:t>
      </w:r>
    </w:p>
    <w:p>
      <w:pPr>
        <w:spacing w:after="0" w:line="28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b w:val="1"/>
          <w:bCs w:val="1"/>
          <w:i w:val="1"/>
          <w:iCs w:val="1"/>
          <w:color w:val="auto"/>
        </w:rPr>
        <w:t>We depend upon third parties, many of which are single-source providers, to manufacture equipment components, provide services for our network and install and maintain our equipment.</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rely on third-party suppliers for equipment components and services that we use to provide our services. Many suppliers of critical components of our equipment are single-source providers. Components for which we rely on single-source suppliers include, among others, the antennas and modems for all systems and the equipment used at our ATG cell site base stations. If we are required for any reason (including expiration of the contract, termination by one party for material breach or other termination events) to find one or more alternative suppliers, we estimate that the replacement process could take up to two years depending upon the component, and we may not be able to contract with such alternative suppliers on a timely basis, on commercially reasonable terms, or at all. Finding and contracting with suppliers of some components may be delayed or made more difficult by current suppliers’ ownership of key intellectual property that requires alternative suppliers to either obtain rights to such intellectual property or develop new designs that do not infringe on such intellectual property. In addition, many of our components, such as the equipment used in our base stations, are highly integrated with other system components, which may further lengthen the time required for an alternative supplier to deliver a component that meets our system requirements. We also rely on third parties to provide the links between our data centers and our ground network. If we are not able to continue to engage suppliers with the capabilities or capacities required by our business, or if such suppliers fail to deliver quality products, parts, equipment and services in sufficient quantities 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on a timely basis consistent with our schedule, our business, financial condition and results of operations may be materially adversely affected.</w:t>
      </w:r>
    </w:p>
    <w:p>
      <w:pPr>
        <w:spacing w:after="0" w:line="237" w:lineRule="exact"/>
        <w:rPr>
          <w:sz w:val="20"/>
          <w:szCs w:val="20"/>
          <w:color w:val="auto"/>
        </w:rPr>
      </w:pPr>
    </w:p>
    <w:p>
      <w:pPr>
        <w:jc w:val="both"/>
        <w:ind w:right="120" w:firstLine="589"/>
        <w:spacing w:after="0" w:line="301" w:lineRule="auto"/>
        <w:rPr>
          <w:sz w:val="20"/>
          <w:szCs w:val="20"/>
          <w:color w:val="auto"/>
        </w:rPr>
      </w:pPr>
      <w:r>
        <w:rPr>
          <w:rFonts w:ascii="Arial" w:cs="Arial" w:eastAsia="Arial" w:hAnsi="Arial"/>
          <w:sz w:val="16"/>
          <w:szCs w:val="16"/>
          <w:color w:val="auto"/>
        </w:rPr>
        <w:t>The supply of third-party components and services could be interrupted or halted by a termination of our relationships, a failure of quality control or other operational problems at such suppliers or a significant decline in their financial condition. If we are not able to continue to engage suppliers with the capabilities or capacities required by our business, or if such suppliers fail to deliver quality products, parts, equipment and services on a timely basis consistent with our schedule, our business, financial condition and results of operations may be materially adversely affected.</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may fail to recruit, train and retain the highly skilled employees that are necessary to remain competitive and execute our growth strategy.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of our key personnel could harm our business.</w:t>
      </w:r>
    </w:p>
    <w:p>
      <w:pPr>
        <w:spacing w:after="0" w:line="103"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Competition for key technical personnel in high-technology industries such as ours is intense. We believe that our future success depends in large part on our continued ability to hire, train, retain and leverage the skills of qualified engineers and other highly skilled personnel needed to maintain and grow our ATG networks and related technology and develop and successfully deploy our technology roadmap and new wireless telecommunications products and technology. We may not be as successful as our competitors at recruiting, training, retaining and utilizing these highly skilled personnel. Any failure to recruit, train and retain highly skilled employees may have a material adverse effect on our business and results of operations.</w:t>
      </w:r>
    </w:p>
    <w:p>
      <w:pPr>
        <w:spacing w:after="0" w:line="161"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We depend on the continued service and performance of our key personnel, including Oakleigh Thorne, our President and Chief Executive Officer. Such individuals have acquired specialized knowledge and skills with respect to Gogo and its operations. As a result, if any of our key personnel were to leave Gogo, we could face substantial difficulty in hiring qualified successors and could experience a loss of productivity while any such successor obtains the necessary training and expertise. We do not maintain key man insurance on any of our officers or key employees. In addition, much of our key technology and systems is custom-made for our business by our personnel. The loss of key personnel, including key members of our management team, could disrupt our operations and may have a material adverse effect on our business.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Adverse economic conditions may have a material adverse effect on our business.</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Macro-economic challenges are capable of creating volatile and unpredictable environments for doing business. We cannot predict the nature, extent, timing or likelihood of any economic slowdown or the strength or sustainability of any economic recovery, worldwide, in the United States or in the aviation industry. A weaker business environment could lead to a decrease in air travel, cause owners and operators of business aircraft to cut costs by reducing their purchases or use of private aircraft or their use of in-flight Internet access on such aircraft or reduce the number of airline passengers on commercial aircraft to which we supply ATG network access, thus adversely affecting the revenue share payable by Intelsat to us under the ATG Network Sharing Agreement. Should an economic slowdown occur in the U.S. or globally, our business and results of operations may be materially adversely affected.</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not achieve some or all of the anticipated benefits of operating as a standalone business after the sale of our CA business.</w:t>
      </w:r>
    </w:p>
    <w:p>
      <w:pPr>
        <w:spacing w:after="0" w:line="12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cannot be sure that the recent sale of the CA business will be successful in reducing our overall expenses and the expected efficiencies, benefits and cost savings of such a transaction and operating our business as a standalone business might be delayed or not realized. We expect to use the proceeds of the sale of our CA business to, among other things, reduce our net debt position and continue to invest in growth opportunities such as Gogo 5G. Such use of proceeds, however, may not ultimately have the desired result.</w:t>
      </w:r>
    </w:p>
    <w:p>
      <w:pPr>
        <w:spacing w:after="0" w:line="187"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Upon the closing of the Transaction, we entered into a Transition Services Agreement (the “TSA”) with Intelsat under which we and Intelsat agreed to, among other things, provide certain services to one another following the closing at negotiated prices for a period of up to one year. We are dependent upon Intelsat for certain resources essential to the day-to- day operation of our business. In addition, performance of our obligations to Intelsat under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0" w:name="page21"/>
    <w:bookmarkEnd w:id="20"/>
    <w:p>
      <w:pPr>
        <w:ind w:right="200"/>
        <w:spacing w:after="0" w:line="342" w:lineRule="auto"/>
        <w:rPr>
          <w:sz w:val="20"/>
          <w:szCs w:val="20"/>
          <w:color w:val="auto"/>
        </w:rPr>
      </w:pPr>
      <w:r>
        <w:rPr>
          <w:rFonts w:ascii="Arial" w:cs="Arial" w:eastAsia="Arial" w:hAnsi="Arial"/>
          <w:sz w:val="16"/>
          <w:szCs w:val="16"/>
          <w:color w:val="auto"/>
        </w:rPr>
        <w:t>the TSA may divert the attention of management and other employees from our day-to-day business and could disrupt our operations. If we are unable to manage the costs and the other risks associated with the TSA, our business, financial condition and results of operations could be adversely affected.</w:t>
      </w:r>
    </w:p>
    <w:p>
      <w:pPr>
        <w:spacing w:after="0" w:line="124"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Moreover, we now operate as a standalone business aviation connectivity provider and are smaller and less diversified, with a narrower business focus, and we may be more vulnerable to changing market conditions in the business aviation market. Additionally, the sale has reduced our ability to share certain costs across our businesses, such as the costs of operating as a public company, and may increase certain other operating costs, as we will no longer share suppliers and other business partners with the CA business. Upon the closing of the Transaction, we and Intelsat entered into the ATG Network Sharing Agreement, pursuant to which we provide certain inflight connectivity services on our ATG network to Intelsat, subject to certain revenue sharing obligations, and pursuant to which Intelsat has exclusive commercial aviation access to the ATG network in North America, subject to certain revenue guarantees. There can be no assurances that Intelsat will satisfy the revenue guarantees or maximize the revenues we could have generated if it did not have exclusive rights under the ATG Network Sharing Agreement. In addition, we and Intelsat have entered into a satellite network sharing agreement, pursuant to which Intelsat provides certain network services to us on their Ku-band and Ka-band satellite network. There can be no certainty that such agreement will provide us with sufficient network capacity or other benefits that we anticipate, or that it will remain in effect beyond the contemplated initial term. If we are unable to manage our cost structure and benefit from our ongoing relationship with Intelsat, our business, financial condition and results of operations may be materially and adversely affected.</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be unsuccessful or delayed in developing and deploying Gogo 5G or other next generation technologies.</w:t>
      </w:r>
    </w:p>
    <w:p>
      <w:pPr>
        <w:spacing w:after="0" w:line="117"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color w:val="auto"/>
        </w:rPr>
        <w:t>We are currently developing a next generation ATG network using 5G technology and unlicensed spectrum. Gogo 5G will be capable of working with different spectrums and supporting different next generation technologies. There can be no assurance that we will launch Gogo 5G or any other next generation technology in sufficient time to meet growing user expectations regarding the in-flight connectivity experience and to effectively compete in the business aviation market, due to, among other things, risks associated with: (i) our failure to design and develop a technology that provides the features and performance we require; (ii) integrating the solution with our existing ATG network; (iii) the availability of adequate spectrum; (iv) the failure of spectrum to perform as expected; (v) the failure of equipment and software to perform as expected; (vi) problems arising in the manufacturing process; (vii) our ability to negotiate contracts with suppliers on acceptable commercial and other terms; (viii) our reliance on single-source suppliers for the development and manufacturing of the core elements of the network and on other suppliers to provide certain components and services; and (ix) delays in obtaining or failures to obtain the required regulatory approvals for installation and operation of such equipment and the provision of service to passengers. If Gogo 5G or any other next generation technology fails to perform as expected or its commercial availability is significantly delayed as compared to the timelines we establish, our business, financial condition and results of operations may be materially adversely affected.</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business is dependent on the availability of spectrum.</w:t>
      </w:r>
    </w:p>
    <w:p>
      <w:pPr>
        <w:spacing w:after="0" w:line="117"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In June 2006, we purchased at FCC auction an exclusive ten-year, 3 MHz license for ATG spectrum, and in April 2013, as part of our acquisition of LiveTV Airfone, LLC, we acquired an additional 1MHz ATG spectrum license. In 2017, our applications to renew our licenses were granted for additional ten-year terms without further payment. Any breach of the terms of our FCC licenses or FCC regulations including foreign ownership restrictions, permitted uses of the spectrum and compliance with FAA regulations could result in the revocation, suspension, cancellation or reduction in the term of our licenses or a refusal by the FCC to renew the licenses upon expiration. Further, in connection with an application to renew our licenses upon expiration, a competitor could file a petition opposing such renewal on anti-competitive or other grounds. On August 3, 2017, the FCC released an order which, among other things, revised the wireless license renewal rules. As a result of this order, which applies to the industry generally, all licensees will need to make a showing (or certification) at renewal to demonstrate that the licensee provided and continues to provide service to the public. Because the 1 MHz ATG license has no construction or substantial service requirement, it is currently not clear what level and length of service the FCC will find adequate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when considering the next renewal of the 1 MHz ATG license in 2026. While we do not currently use this license, changes in technology may enable its use in our network in the future. An ambiguous renewal requirement could impair our flexibility to use or otherwise realize the value of such spectrum beyond 2026.</w:t>
      </w:r>
    </w:p>
    <w:p>
      <w:pPr>
        <w:spacing w:after="0" w:line="184"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Our ability to offer in-flight broadband Internet access through our ATG service currently depends on our ability to maintain rights to use the 3 MHz ATG spectrum in the U.S. and our failure to do so may have a material adverse effect on our business, financial condition and results of operations. In addition, our ability to meet increasing performance demands and expand our service offerings in the United States will depend in part upon our ability to successfully roll-out our plans to employ unlicensed spectrum in the 2.4 GHz band for concurrent use with the licensed 3 MHz spectrum and to launch Gogo 5G, and may likely require that we obtain additional licensed or unlicensed spectrum suitable for our use. Such spectrum may not be available to us on commercially reasonable terms or at all. Our failure to obtain adequate spectrum could have a material adverse effect on our business, financial condition and results of operations.</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Additional ATG spectrum, whether licensed or unlicensed, is or may become available in the United States or internationally in the future.</w:t>
      </w:r>
    </w:p>
    <w:p>
      <w:pPr>
        <w:spacing w:after="0" w:line="140" w:lineRule="exact"/>
        <w:rPr>
          <w:sz w:val="20"/>
          <w:szCs w:val="20"/>
          <w:color w:val="auto"/>
        </w:rPr>
      </w:pPr>
    </w:p>
    <w:p>
      <w:pPr>
        <w:ind w:right="420" w:firstLine="589"/>
        <w:spacing w:after="0" w:line="279" w:lineRule="auto"/>
        <w:rPr>
          <w:sz w:val="20"/>
          <w:szCs w:val="20"/>
          <w:color w:val="auto"/>
        </w:rPr>
      </w:pPr>
      <w:r>
        <w:rPr>
          <w:rFonts w:ascii="Arial" w:cs="Arial" w:eastAsia="Arial" w:hAnsi="Arial"/>
          <w:sz w:val="17"/>
          <w:szCs w:val="17"/>
          <w:color w:val="auto"/>
        </w:rPr>
        <w:t>While we have exclusive rights to the only broadband spectrum licensed by the FCC for ATG use and are currently the only provider of ATG service to business aircraft in the United States, the FCC may in the future decide to auction additional spectrum for ATG use that is not currently designated for that purpose, or a competitor could develop technology or a business plan that allows it to cost effectively use spectrum not specifically reserved for ATG, but on which ATG use is not prohibited, to provide broadband connectivity.</w:t>
      </w:r>
    </w:p>
    <w:p>
      <w:pPr>
        <w:spacing w:after="0" w:line="171"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The availability of additional spectrum in the marketplace that is available for ATG use may increase the possibility that we may face competition from one or more other ATG service providers in the future. For example, a competitor has announced that it is developing a North American 4G ATG network using the same unlicensed spectrum that we intend to use in our Gogo 5G network.</w:t>
      </w:r>
    </w:p>
    <w:p>
      <w:pPr>
        <w:spacing w:after="0" w:line="184" w:lineRule="exact"/>
        <w:rPr>
          <w:sz w:val="20"/>
          <w:szCs w:val="20"/>
          <w:color w:val="auto"/>
        </w:rPr>
      </w:pPr>
    </w:p>
    <w:p>
      <w:pPr>
        <w:ind w:right="620" w:firstLine="589"/>
        <w:spacing w:after="0" w:line="277" w:lineRule="auto"/>
        <w:rPr>
          <w:sz w:val="20"/>
          <w:szCs w:val="20"/>
          <w:color w:val="auto"/>
        </w:rPr>
      </w:pPr>
      <w:r>
        <w:rPr>
          <w:rFonts w:ascii="Arial" w:cs="Arial" w:eastAsia="Arial" w:hAnsi="Arial"/>
          <w:sz w:val="18"/>
          <w:szCs w:val="18"/>
          <w:color w:val="auto"/>
        </w:rPr>
        <w:t>Additionally, an in-flight connectivity provider has launched service on commercial aircraft in Europe using a hybrid air-to-ground/satellite network, and over time, we may face competition from that provider or ATG providers in other regions.</w:t>
      </w:r>
    </w:p>
    <w:p>
      <w:pPr>
        <w:spacing w:after="0" w:line="27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b w:val="1"/>
          <w:bCs w:val="1"/>
          <w:i w:val="1"/>
          <w:iCs w:val="1"/>
          <w:color w:val="auto"/>
        </w:rPr>
        <w:t>We could be adversely affected if we suffer service interruptions or delays, technology failures, damage to our equipment or system disruptions or failures arising from, among other things, force majeure events, cyber-attacks or other malicious activities.</w:t>
      </w:r>
    </w:p>
    <w:p>
      <w:pPr>
        <w:spacing w:after="0" w:line="62"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Our brand, reputation and ability to attract, retain and serve our customers depend upon the reliable performance of our ground network and in-flight systems. We have experienced interruptions in these systems in the past, and we may experience service interruptions, service delays or technology or systems failures, which may be due to factors beyond our control. If we experience frequent system or network failures, our reputation, brand and customer retention could be harmed, and such failure could be material breaches of our customer contracts resulting in termination rights, penalties or claims for damages.</w:t>
      </w:r>
    </w:p>
    <w:p>
      <w:pPr>
        <w:spacing w:after="0" w:line="188" w:lineRule="exact"/>
        <w:rPr>
          <w:sz w:val="20"/>
          <w:szCs w:val="20"/>
          <w:color w:val="auto"/>
        </w:rPr>
      </w:pPr>
    </w:p>
    <w:p>
      <w:pPr>
        <w:ind w:right="180" w:firstLine="589"/>
        <w:spacing w:after="0" w:line="275" w:lineRule="auto"/>
        <w:rPr>
          <w:sz w:val="20"/>
          <w:szCs w:val="20"/>
          <w:color w:val="auto"/>
        </w:rPr>
      </w:pPr>
      <w:r>
        <w:rPr>
          <w:rFonts w:ascii="Arial" w:cs="Arial" w:eastAsia="Arial" w:hAnsi="Arial"/>
          <w:sz w:val="17"/>
          <w:szCs w:val="17"/>
          <w:color w:val="auto"/>
        </w:rPr>
        <w:t>Our operations and services depend upon the extent to which our equipment is protected against damage or interruption from fire, floods, earthquakes, tornados, power loss, solar flares, telecommunication failures, break-ins, acts of war or terrorism and similar events. The capacity, reliability and security of our network infrastructure are important to the operation of our business, which may suffer in the event of system disruptions or failures, such as computer hackings, cyber-attacks, computer viruses, worms or other destructive or disruptive software, process breakdowns, denial of service attacks or other malicious activities. Our networks may be vulnerable to these attacks and unauthorized access.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740" w:firstLine="432"/>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materially adversely affect our business and results of operations.</w:t>
      </w:r>
    </w:p>
    <w:p>
      <w:pPr>
        <w:spacing w:after="0" w:line="62"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In recent years, there has been significant litigation involving intellectual property rights in many technology-based industries, including the wireless communications industry. We have faced, and may in the future face, claims that we or a supplier have violated patent, trademark or other intellectual property rights of third parties. Many companies, including our competitors, are devoting significant resources to obtaining patents that could potentially cover many aspects of our business. While we have reviewed the patent portfolios of certain competitors and other third parties, we have not exhaustively searched all patents relevant to our technologies and business and therefore it is possible that we may be unknowingly infringing the patents of others. Any infringement, misappropriation or related claims, whether or not meritorious and whether or not they result in litigation, are time-consuming, divert technical and management personnel and are costly to resolve. As a result of any such dispute, we may have to develop non-infringing technology, pay damages, enter into royalty or licensing agreements, cease providing certain products or services, adjust our merchandizing or marketing and advertising activities or take other actions to resolve the claims. These actions, if required, may be costly or unavailable on terms acceptable to us. Pursuant to our contracts with certain customers, we have agreed to indemnify such customers against such claims, and our indemnification obligations generally include defending or paying for the defense of the action and paying any judgments or other costs assessed against the customer in the event of an adverse outcome. In most cases, our contracts do not cap our indemnification obligations. In addition, certain of our suppliers do not indemnify us for third party infringement or misappropriation claims arising from our use of supplier technology, and we may be liable in the event of such claims. Our inability to meet our indemnification obligations and our customers terminating or failing to renew their contracts may have a material adverse effect on our business and financial condition.</w:t>
      </w:r>
    </w:p>
    <w:p>
      <w:pPr>
        <w:spacing w:after="0" w:line="290"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b w:val="1"/>
          <w:bCs w:val="1"/>
          <w:i w:val="1"/>
          <w:iCs w:val="1"/>
          <w:color w:val="auto"/>
        </w:rPr>
        <w:t>We or our technology suppliers may be unable to continue to innovate and provide products and services that are useful to customers and passengers.</w:t>
      </w:r>
    </w:p>
    <w:p>
      <w:pPr>
        <w:spacing w:after="0" w:line="62"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The market for our services is characterized by evolving technology, changes in customer and passenger needs and performance expectations, and frequent new service and product introductions. Our success will depend, in part, on our and our suppliers’ ability to continue to enhance existing technology and services or develop new technology and services on a timely and cost-effective basis. If we or our suppliers fail to adapt quickly enough to changing technology, aviation partner and passenger requirements and/or regulatory requirements, our business and results of operations may be materially adversely affected. We expect to have to invest significant capital to keep pace with innovation and changing technology, and if the amount of such investment exceeds our plans or the amount of investment permitted under the indenture governing the 2024 Senior Secured Notes or the ABL Credit Agreement, it may have a material adverse effect on our results of operations.</w:t>
      </w:r>
    </w:p>
    <w:p>
      <w:pPr>
        <w:spacing w:after="0" w:line="177" w:lineRule="exact"/>
        <w:rPr>
          <w:sz w:val="20"/>
          <w:szCs w:val="20"/>
          <w:color w:val="auto"/>
        </w:rPr>
      </w:pPr>
    </w:p>
    <w:p>
      <w:pPr>
        <w:ind w:right="80" w:firstLine="589"/>
        <w:spacing w:after="0" w:line="268" w:lineRule="auto"/>
        <w:rPr>
          <w:sz w:val="20"/>
          <w:szCs w:val="20"/>
          <w:color w:val="auto"/>
        </w:rPr>
      </w:pPr>
      <w:r>
        <w:rPr>
          <w:rFonts w:ascii="Arial" w:cs="Arial" w:eastAsia="Arial" w:hAnsi="Arial"/>
          <w:sz w:val="17"/>
          <w:szCs w:val="17"/>
          <w:color w:val="auto"/>
        </w:rPr>
        <w:t>As is common in industries like ours, changing technology may result in obsolescence as we implement new technologies and products and retire old technologies and products. As we encounter such obsolescence, we need to ensure that we have a sufficient supply of parts, products and equipment compatible with our existing technology, as well as access to maintenance, repair and other critical support services, until the transition is completed. Certain suppliers may determine to stop manufacturing and supplying end-of-life parts, products and equipment, or may stop providing related services, prior to completion of our transition. In the event that we are unable to obtain sufficient inventory from existing suppliers we would be required to engage new suppliers who have access to the intellectual property required to manufacture and support components that meet our specifications, and we may not be able to contract with such suppliers on commercially reasonable terms, or at all. We have implemented policies and procedures intended to ensure that we timely anticipate technology and product transitions and have access to sufficient inventory and services, but if such policies prove ineffective and we are unable to continue to engage suppliers with the capabilities or capacities required by our business to effect a transition, or if such suppliers fail to deliver quality products, parts, equipment and services in sufficient quantities or on a timely basis consistent with our schedule, our business, financial condition and results of operations may be materially adversely affected. In addition, following our retirement of end-of-life technologies and products, we may find that we have either obsolete or excess inventory on hand and might have to write off unusable inventory, which could have a material adverse effect on our results of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w:t>
      </w:r>
    </w:p>
    <w:p>
      <w:pPr>
        <w:spacing w:after="0" w:line="11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regard our trademarks, service marks, copyrights, patents, trade secrets, proprietary technologies, domain names and similar intellectual property as important to our success. We rely on trademark, copyright and patent law, trade secret protection, and confidentiality agreements with our employees, vendors, customers and others to protect our proprietary rights. We have sought and obtained patent protection for certain of our technologies in the United States and certain other countries. Many of the trademarks that we use (including marks we have applied to register) contain words or terms having a somewhat common usage, such as “Gogo” and “Gogo Vision” and, as a result, we may have difficulty registering them in certain jurisdictions. We do not own, for example, the domain www.gogo.com and we have not yet obtained registrations for our most important marks in all markets in which we do business or may do business in the future. If other companies have registered or have been using in commerce similar trademarks for services similar to ours in foreign jurisdictions, we may have difficulty in registering, or enforcing an exclusive right to use, our marks in those foreign jurisdictions.</w:t>
      </w:r>
    </w:p>
    <w:p>
      <w:pPr>
        <w:spacing w:after="0" w:line="165"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There can be no assurance that the efforts we have taken to protect our proprietary rights will be effective, that any patent and trademark applications will lead to issued patents and registered trademarks in all instances, that others will not obtain intellectual property rights to similar or superior technologies, products or services, or that our intellectual property will not be challenged, invalidated, misappropriated or infringed by others. Furthermore, the intellectual property laws and enforcement practices of other countries in which our service is or may in the future be offered may not protect our intellectual property rights to the same extent as the laws of the United States. If we are unable to protect our intellectual property from unauthorized use, our ability to exploit our proprietary technology or our brand image may be harmed, which may materially adversely affect our business and results of operations.</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use of open source software could limit our ability to commercialize our technology.</w:t>
      </w:r>
    </w:p>
    <w:p>
      <w:pPr>
        <w:spacing w:after="0" w:line="117"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Open source software is software made widely and freely available to the public in human-readable source code form, usually with liberal rights to modify and improve such software. Some open source licenses require as a condition of use that proprietary software that is combined with licensed open source software and distributed must be released to the public in source code form and under the terms of the open source license. Accordingly, depending on the manner in which such licenses were interpreted and applied, we could face restrictions on our ability to commercialize certain of our products and we could be required to: (i) release the source code of certain of our proprietary software to the public, including competitors, if the open source software was linked in a manner that would require such release of our proprietary software source code; (ii) seek licenses from third parties for replacement software; and/or (iii) re-engineer our software in order to continue offering our products. Such consequences may materially adversely affect our business.</w:t>
      </w:r>
    </w:p>
    <w:p>
      <w:pPr>
        <w:spacing w:after="0" w:line="27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b w:val="1"/>
          <w:bCs w:val="1"/>
          <w:i w:val="1"/>
          <w:iCs w:val="1"/>
          <w:color w:val="auto"/>
        </w:rPr>
        <w:t>The failure of our equipment or material defects or errors in our software may damage our reputation, result in claims against us that exceed our insurance coverage, thereby requiring us to pay significant damages, and impair our ability to sell our service.</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Our products contain complex systems, components and software that could contain errors or defects, particularly when we incorporate new technology or when new software is first introduced or new versions or enhancements are released. If any of our products are defective, we could be required to redesign or recall those products or pay substantial damages or warranty claims. In addition, such events could result in significant expenses and diversion of development and other resources, a reduction in sales or delay in market acceptance of our products and services, loss of existing customers, terminations of, failures to renew, penalties or damage claims under aviation partner contracts, harm to our reputation and brand image and increased insurance costs. If our in-flight system has a malfunction resulting from an error or defect or a problem with installation or maintenance and such malfunction causes physical damage to an aircraft or impairs its on-board electronics or avionics, significant property loss and serious personal injury or death could result. Any such failure could expose us to substantial personal injury claims, product liability claims or costly repair obligations. The aircraft operated by our customers may be very costly to repair and the damages in any product liability claims could be material. We carry aircraft and non-aircraft product liability insurance consistent with industry norms; however, such insurance coverage may not be sufficient to fully cover claims. A product recall or a product liability claim not covered by insurance could have a material adverse effect on our business, financial condition and results of operations. Further, we indemnify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ind w:right="100"/>
        <w:spacing w:after="0" w:line="263" w:lineRule="auto"/>
        <w:rPr>
          <w:sz w:val="20"/>
          <w:szCs w:val="20"/>
          <w:color w:val="auto"/>
        </w:rPr>
      </w:pPr>
      <w:r>
        <w:rPr>
          <w:rFonts w:ascii="Arial" w:cs="Arial" w:eastAsia="Arial" w:hAnsi="Arial"/>
          <w:sz w:val="18"/>
          <w:szCs w:val="18"/>
          <w:color w:val="auto"/>
        </w:rPr>
        <w:t>some of our customers for losses due to third-party claims and in certain cases the causes of such losses may include failure of our products. Should we be required by the FAA or otherwise to cease providing the Gogo service, even on a temporary basis, as a result of a product malfunction or defect, our business, financial condition and results of operations may also be materially adversely affected.</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Risks Related to Litigation and Regulation</w:t>
      </w:r>
    </w:p>
    <w:p>
      <w:pPr>
        <w:spacing w:after="0" w:line="12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If we fail to comply with the Communications Act and FCC regulations limiting ownership and voting of our capital stock by non-U.S. persons, we could lose our FCC license.</w:t>
      </w:r>
    </w:p>
    <w:p>
      <w:pPr>
        <w:spacing w:after="0" w:line="62" w:lineRule="exact"/>
        <w:rPr>
          <w:sz w:val="20"/>
          <w:szCs w:val="20"/>
          <w:color w:val="auto"/>
        </w:rPr>
      </w:pPr>
    </w:p>
    <w:p>
      <w:pPr>
        <w:ind w:right="40" w:firstLine="589"/>
        <w:spacing w:after="0" w:line="285" w:lineRule="auto"/>
        <w:rPr>
          <w:sz w:val="20"/>
          <w:szCs w:val="20"/>
          <w:color w:val="auto"/>
        </w:rPr>
      </w:pPr>
      <w:r>
        <w:rPr>
          <w:rFonts w:ascii="Arial" w:cs="Arial" w:eastAsia="Arial" w:hAnsi="Arial"/>
          <w:sz w:val="16"/>
          <w:szCs w:val="16"/>
          <w:color w:val="auto"/>
        </w:rPr>
        <w:t>Under the Communications Act and applicable FCC regulations, we are effectively restricted from having more than 25% of our capital stock owned or voted directly or indirectly by non-U.S. persons, including individuals and entities organized outside the United States or controlled by non-U.S. persons. We have established procedures to ascertain the nature and extent of our foreign ownership, and we believe that the indirect ownership of our equity by foreign persons or entities is below the 25% cap. However, as a publicly traded company we may not be able to determine with certainty the exact amount of our stock that is held by foreign persons or entities at any given time. A failure to comply with applicable restrictions on ownership</w:t>
      </w:r>
    </w:p>
    <w:p>
      <w:pPr>
        <w:spacing w:after="0" w:line="2" w:lineRule="exact"/>
        <w:rPr>
          <w:sz w:val="20"/>
          <w:szCs w:val="20"/>
          <w:color w:val="auto"/>
        </w:rPr>
      </w:pPr>
    </w:p>
    <w:p>
      <w:pPr>
        <w:ind w:right="680"/>
        <w:spacing w:after="0" w:line="290" w:lineRule="auto"/>
        <w:rPr>
          <w:sz w:val="20"/>
          <w:szCs w:val="20"/>
          <w:color w:val="auto"/>
        </w:rPr>
      </w:pPr>
      <w:r>
        <w:rPr>
          <w:rFonts w:ascii="Arial" w:cs="Arial" w:eastAsia="Arial" w:hAnsi="Arial"/>
          <w:sz w:val="17"/>
          <w:szCs w:val="17"/>
          <w:color w:val="auto"/>
        </w:rPr>
        <w:t>by non-U.S. persons could result in an order to divest the offending ownership, fines, denial of license renewal and/or spectrum license revocation proceedings, any of which may have a material adverse effect on our business, financial condition and results of operations.</w:t>
      </w:r>
    </w:p>
    <w:p>
      <w:pPr>
        <w:spacing w:after="0" w:line="269"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b w:val="1"/>
          <w:bCs w:val="1"/>
          <w:i w:val="1"/>
          <w:iCs w:val="1"/>
          <w:color w:val="auto"/>
        </w:rPr>
        <w:t>Regulation by United States and foreign government agencies, including the FCC, which issued our exclusive ATG spectrum license, and the FAA, which regulates the civil aviation manufacturing and repair industries in the United States, may increase our costs of providing service or require us to change our services.</w:t>
      </w:r>
    </w:p>
    <w:p>
      <w:pPr>
        <w:spacing w:after="0" w:line="7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Any breach of the terms of our ATG spectrum licenses or other licenses and authorizations obtained by us from time to time, or any violation of the Communications Act or the FCC’s rules, could result in the revocation, suspension, cancellation or reduction in the term of a license or the imposition of fines. From time to time, the FCC may monitor or audit compliance with the Communications Act and the FCC’s rules or with our licenses, including if a third party were to bring a claim of breach or noncompliance. In addition, the Communications Act, from which the FCC obtains its authority, may be amended in the future in a manner that could be adverse to us.</w:t>
      </w:r>
    </w:p>
    <w:p>
      <w:pPr>
        <w:spacing w:after="0" w:line="188" w:lineRule="exact"/>
        <w:rPr>
          <w:sz w:val="20"/>
          <w:szCs w:val="20"/>
          <w:color w:val="auto"/>
        </w:rPr>
      </w:pPr>
    </w:p>
    <w:p>
      <w:pPr>
        <w:ind w:right="20" w:firstLine="589"/>
        <w:spacing w:after="0" w:line="284" w:lineRule="auto"/>
        <w:rPr>
          <w:sz w:val="20"/>
          <w:szCs w:val="20"/>
          <w:color w:val="auto"/>
        </w:rPr>
      </w:pPr>
      <w:r>
        <w:rPr>
          <w:rFonts w:ascii="Arial" w:cs="Arial" w:eastAsia="Arial" w:hAnsi="Arial"/>
          <w:sz w:val="16"/>
          <w:szCs w:val="16"/>
          <w:color w:val="auto"/>
        </w:rPr>
        <w:t>As discussed in more detail in the section entitled “Business—Licenses and Regulation—Federal Aviation Administration,” FAA approvals required to operate our business include STCs and Parts Manufacturing Authority (PMA). While our distribution partners are responsible for obtaining STCs, obtaining PMAs is an expensive and time-consuming process that requires significant focus and resources. Prior to installation of our equipment, any inability to obtain, delay in obtaining (including as a result of a government shutdown or funding shortages), or change in, needed FAA certifications, authorizations, or approvals, could have an adverse effect on our ability to meet our installation commitments, manufacture and sell parts for installation on aircraft, or expand our business. Following installation of our equipment, if we were to discover that our equipment or components of our equipment were not in compliance with specifications on which the STC authorizing installation was based, or if the FAA’s requirements changed, our non-</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compliance could result in our incurring material costs to inspect and in some circumstances modify or replace such equipment, and could in rare circumstances result in our system being turned off or installed aircraft being grounded. If we fail to comply with the FAA’s many regulations and standards that apply to our activities, we could lose the FAA certifications, authorizations, or other approvals on which our manufacturing, installation, maintenance, preventive maintenance, and alteration capabilities are based. In addition, from time to time, the FAA or comparable foreign agencies adopt new regulations or amend existing regulations. The FAA could also change its policies regarding the delegation of inspection and certification responsibilities to private companies, which could adversely affect our business. To the extent that any such new regulations or amendments to existing regulations or policies apply to our activities, our compliance costs would likely increase.</w:t>
      </w:r>
    </w:p>
    <w:p>
      <w:pPr>
        <w:spacing w:after="0" w:line="180"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As a broadband Internet provider, we must comply with CALEA, which requires communications carriers to ensure that their equipment, facilities and services can accommodate certain technical capabilities in executing authorized wiretapping and other electronic surveillance. Currently, our CALEA solution is fully deployed in our network. However, we could be subject to an enforcement action by the FCC or law enforcement agencies for any delays in complying or failure to comply with, CALEA, or similar obligations. Such enforcement actions could subject us to fines, cease and desist orders, or other penalties, all of which may materially adversely affect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5" w:name="page26"/>
    <w:bookmarkEnd w:id="25"/>
    <w:p>
      <w:pPr>
        <w:ind w:right="280"/>
        <w:spacing w:after="0" w:line="277" w:lineRule="auto"/>
        <w:rPr>
          <w:sz w:val="20"/>
          <w:szCs w:val="20"/>
          <w:color w:val="auto"/>
        </w:rPr>
      </w:pPr>
      <w:r>
        <w:rPr>
          <w:rFonts w:ascii="Arial" w:cs="Arial" w:eastAsia="Arial" w:hAnsi="Arial"/>
          <w:sz w:val="18"/>
          <w:szCs w:val="18"/>
          <w:color w:val="auto"/>
        </w:rPr>
        <w:t>business and financial condition. Further, to the extent the FCC adopts additional capability requirements applicable to broadband Internet providers, its decision may increase the costs we incur to comply with such regulations.</w:t>
      </w:r>
    </w:p>
    <w:p>
      <w:pPr>
        <w:spacing w:after="0" w:line="170"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We are also subject to regulation by certain foreign laws and regulatory bodies, including Innovation, Science and Economic Development Canada, which issued our exclusive Canadian ATG subordinate spectrum license and regulates our use of the spectrum licensed to us.</w:t>
      </w:r>
    </w:p>
    <w:p>
      <w:pPr>
        <w:spacing w:after="0" w:line="146" w:lineRule="exact"/>
        <w:rPr>
          <w:sz w:val="20"/>
          <w:szCs w:val="20"/>
          <w:color w:val="auto"/>
        </w:rPr>
      </w:pPr>
    </w:p>
    <w:p>
      <w:pPr>
        <w:jc w:val="both"/>
        <w:ind w:right="340" w:firstLine="589"/>
        <w:spacing w:after="0" w:line="263" w:lineRule="auto"/>
        <w:rPr>
          <w:sz w:val="20"/>
          <w:szCs w:val="20"/>
          <w:color w:val="auto"/>
        </w:rPr>
      </w:pPr>
      <w:r>
        <w:rPr>
          <w:rFonts w:ascii="Arial" w:cs="Arial" w:eastAsia="Arial" w:hAnsi="Arial"/>
          <w:sz w:val="18"/>
          <w:szCs w:val="18"/>
          <w:color w:val="auto"/>
        </w:rPr>
        <w:t>Adverse decisions or regulations of these U.S. and foreign regulatory bodies may have a material adverse effect on our business and results of operations. We are unable to predict the impact of regulations and other policy changes that could be adopted by the various governmental entities that oversee portions of our business.</w:t>
      </w:r>
    </w:p>
    <w:p>
      <w:pPr>
        <w:spacing w:after="0" w:line="292" w:lineRule="exact"/>
        <w:rPr>
          <w:sz w:val="20"/>
          <w:szCs w:val="20"/>
          <w:color w:val="auto"/>
        </w:rPr>
      </w:pPr>
    </w:p>
    <w:p>
      <w:pPr>
        <w:ind w:right="760" w:firstLine="432"/>
        <w:spacing w:after="0" w:line="263" w:lineRule="auto"/>
        <w:rPr>
          <w:sz w:val="20"/>
          <w:szCs w:val="20"/>
          <w:color w:val="auto"/>
        </w:rPr>
      </w:pPr>
      <w:r>
        <w:rPr>
          <w:rFonts w:ascii="Arial" w:cs="Arial" w:eastAsia="Arial" w:hAnsi="Arial"/>
          <w:sz w:val="18"/>
          <w:szCs w:val="18"/>
          <w:b w:val="1"/>
          <w:bCs w:val="1"/>
          <w:i w:val="1"/>
          <w:iCs w:val="1"/>
          <w:color w:val="auto"/>
        </w:rPr>
        <w:t>Our possession and use of personal information present risks and expenses that could harm our business. Unauthorized disclosure or manipulation of such data, whether through breach of our network security or otherwise, could expose us to costly litigation and damage our reputation.</w:t>
      </w:r>
    </w:p>
    <w:p>
      <w:pPr>
        <w:spacing w:after="0" w:line="76"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In the ordinary course of our business, we or our third-party providers collect, process and store sensitive data, including personal information of aircraft passengers and our employees. The secure processing, maintenance and transmission of this information (and other sensitive data such as our proprietary business information and that of our customers and suppliers) is critical to our operations and business strategy. We depend on the security of our networks and, in part, on the security of the network infrastructures of our third-party providers of telecommunications, cloud computing, customer support and other vendors. Despite our security measures, our information technology and infrastructure may be vulnerable to attacks by hackers or compromised due to employee error, malfeasance, hardware or software defects or other disruptions. Further, our in-cabin network operates as an open, unsecured Wi-Fi hotspot, and non-encrypted transmissions users send over this network may be vulnerable to access by other users on the same plane. Unauthorized use of our, or our third-party service providers’, networks, computer systems and services could potentially jeopardize the security of confidential information, including personal information of passengers using our service. Data security threats are constantly evolving and may be difficult to anticipate or to detect for long periods of time. There can be no assurance that any security measures we, or third parties, take will be effective in preventing these activities, given the constantly changing nature of the threats. Any such security incidents, unauthorized access or disclosure, or other loss of information could result in legal claims or proceedings and liability under our contracts with certain customers, which generally require us to indemnify the customer for passenger and other third-party claims arising from data security breaches. In addition, such incidents may disrupt our operations and the services we provide to customers, damage our reputation, and cause a loss of confidence in our products and services, all of which may have a material adverse effect on our business prospects, financial condition and results of operations.</w:t>
      </w:r>
    </w:p>
    <w:p>
      <w:pPr>
        <w:spacing w:after="0" w:line="167"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Failure to protect confidential user data or to provide users with adequate notice of our privacy policies could also subject us to investigations and regulatory penalties imposed by United States federal and state regulatory agencies, non-U.S. regulatory agencies or courts. For example, the FTC could assert jurisdiction to impose penalties if it found our privacy policies or security measures to be inadequate under existing federal law. We could also be subject to certain state laws, including so-called “mini-FTC Acts”, that impose data breach notification requirements, specific data security obligations, or other consumer privacy-related requirements. Our failure to comply with any of these rules or regulations may have a material adverse effect on our business, financial condition and results of operations.</w:t>
      </w:r>
    </w:p>
    <w:p>
      <w:pPr>
        <w:spacing w:after="0" w:line="192"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We also must comply with certain Communications Act and FCC privacy and data security rules for our voice services, including certain provisions applicable to customer proprietary network information. Our failure to comply with these requirements may have a material adverse effect on our business, financial condition and results of operations.</w:t>
      </w:r>
    </w:p>
    <w:p>
      <w:pPr>
        <w:spacing w:after="0" w:line="184"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Other countries in which we may operate or from which our services may be offered, including those in the European Union (“EU”), also have certain privacy and data security requirements that may apply to our business, either now or in the future. These countries’ laws may in some cases be more stringent than the requirements in the United States. For example, European Union member countries have specific requirements relating to cross-border transfers of personal information to certain jurisdictions, including to the United States. In addition, some countries have stricter consumer notice and/or consent requirements relating to personal information collection, use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spacing w:after="0" w:line="255" w:lineRule="auto"/>
        <w:rPr>
          <w:sz w:val="20"/>
          <w:szCs w:val="20"/>
          <w:color w:val="auto"/>
        </w:rPr>
      </w:pPr>
      <w:r>
        <w:rPr>
          <w:rFonts w:ascii="Arial" w:cs="Arial" w:eastAsia="Arial" w:hAnsi="Arial"/>
          <w:sz w:val="18"/>
          <w:szCs w:val="18"/>
          <w:color w:val="auto"/>
        </w:rPr>
        <w:t>sharing. Moreover, international privacy and data security regulations have become more complex. In May 2018, the GDPR took effect, which has imposed even more restrictive privacy-related requirements. Despite the substantial preparation and related expenditures that we undertook to be in compliance with the GDPR as of its effective date, there can be no assurance that we are or will continue to be in compliance. The regulation of data privacy and security in the EU and in other jurisdictions continues to evolve, and it is not possible to predict the ultimate effect of evolving regulation and implementation over time. EU member states also have some flexibility to supplement the GDPR with their own laws and regulations and may apply stricter requirements for certain data processing activities.</w:t>
      </w:r>
    </w:p>
    <w:p>
      <w:pPr>
        <w:spacing w:after="0" w:line="192"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Certain states have also enacted specific privacy laws to which we may be subject. For example, the California Consumer Privacy Act (“CCPA”) took effect January 1, 2020 and provides broad new privacy rights for California consumers, including, among others, the right to obtain copies of their personal information collected in the past 12 months, the ability to opt out from the sale of personal information, and the right to demand deletion of personal information. The CCPA also imposes compliance requirements on companies that do business in California and collect personal information from consumers, including, among others, notice, consent, and service provider requirements. The CCPA also provides for civil penalties for violations, as well as a private right of action for data breaches that may increase data breach litigation. The California Office of the Attorney General has published final regulations to implement portions of the CCPA. In addition, in November 2020 California voters passed the California Privacy Rights Act (“CPRA”) ballot initiative, which introduces significant amendments to the CCPA. The CPRA will go into effect on January 1, 2023, and new regulations are expected to be introduced. Depending on such regulations, the measures we are required to take to comply with the CCPA may be significantly impacted.</w:t>
      </w:r>
    </w:p>
    <w:p>
      <w:pPr>
        <w:spacing w:after="0" w:line="166" w:lineRule="exact"/>
        <w:rPr>
          <w:sz w:val="20"/>
          <w:szCs w:val="20"/>
          <w:color w:val="auto"/>
        </w:rPr>
      </w:pPr>
    </w:p>
    <w:p>
      <w:pPr>
        <w:ind w:right="200" w:firstLine="589"/>
        <w:spacing w:after="0" w:line="286" w:lineRule="auto"/>
        <w:rPr>
          <w:sz w:val="20"/>
          <w:szCs w:val="20"/>
          <w:color w:val="auto"/>
        </w:rPr>
      </w:pPr>
      <w:r>
        <w:rPr>
          <w:rFonts w:ascii="Arial" w:cs="Arial" w:eastAsia="Arial" w:hAnsi="Arial"/>
          <w:sz w:val="17"/>
          <w:szCs w:val="17"/>
          <w:color w:val="auto"/>
        </w:rPr>
        <w:t>Our failure to comply with GDPR, CCPA or other privacy or data security-related laws, rules or regulations imposed by U.S. federal or state governments or agencies or foreign governments or agencies could result in material penalties imposed by regulators or cause us to be in material breach under our airline agreements, which may have a material adverse effect on our business, financial condition and results of operations.</w:t>
      </w:r>
    </w:p>
    <w:p>
      <w:pPr>
        <w:spacing w:after="0" w:line="165" w:lineRule="exact"/>
        <w:rPr>
          <w:sz w:val="20"/>
          <w:szCs w:val="20"/>
          <w:color w:val="auto"/>
        </w:rPr>
      </w:pPr>
    </w:p>
    <w:p>
      <w:pPr>
        <w:ind w:right="160" w:firstLine="589"/>
        <w:spacing w:after="0" w:line="270" w:lineRule="auto"/>
        <w:rPr>
          <w:sz w:val="20"/>
          <w:szCs w:val="20"/>
          <w:color w:val="auto"/>
        </w:rPr>
      </w:pPr>
      <w:r>
        <w:rPr>
          <w:rFonts w:ascii="Arial" w:cs="Arial" w:eastAsia="Arial" w:hAnsi="Arial"/>
          <w:sz w:val="17"/>
          <w:szCs w:val="17"/>
          <w:color w:val="auto"/>
        </w:rPr>
        <w:t>We cannot be sure that a regulator would deem our security measures to be appropriate given the lack of prescriptive measures in certain data protection laws. Without more specific guidance, we cannot know whether our chosen security safeguards are adequate according to each applicable data protection law. Given the evolving nature of security threats and evolving safeguards, we cannot be sure that our chosen security safeguards will protect against security threats to our business. Even security measures that are appropriate, reasonable, and/or in accordance with applicable legal requirements may not be able to fully protect our or our partners’ information technology systems and the data contained in those systems. Moreover, interpretations or changes to new or existing data protection laws may impose on us responsibility for our employees and third parties that assist with aspects of our data processing. As a result, our employees’ or third parties’ intentional, unintentional, or inadvertent actions may increase our vulnerability or expose us to security threats, such as phishing attacks, and we may remain responsible for a successful phishing attack despite the quality and otherwise legal sufficiency of our security measures.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Expenses or liabilities resulting from litigation could adversely affect our results of operations and financial condition.</w:t>
      </w:r>
    </w:p>
    <w:p>
      <w:pPr>
        <w:spacing w:after="0" w:line="117"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Gogo Inc. and Intelsat, as well as certain of Intelsat’s airline partners, are currently defendants in a patent infringement lawsuit initially filed when we owned the CA business. In addition, Gogo Inc. and certain of our current and former executives are defendants in a securities class action lawsuit, and we are a nominal defendant, and members of our board of directors and certain current and former executives are defendants, in a related stockholder derivative lawsuit. We are required to indemnify the directors and current and former officers who are defendants in the class action and derivative lawsuits for their defense costs and any judgments resulting from such suits. In the future, we may be subject to additional securities class action or derivative litigation. From time to time, we may also be subject to other claims or litigation in the ordinary course of our business, including for example, claims related to employment matters. Our operations are characterized by the use of new technologies and services across multiple jurisdictions that implicate various statutes and a range of rules and regulations that may be subject to broad or creative interpretation. This may result in litigation, including class action lawsuits, the outcome of which may be difficult to assess or quantify due to the potential ambiguity inherent in these regulatory schemes and/or the nascence of our technologies and services. Plaintiffs may seek recovery of very large or indeterminate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ind w:right="80"/>
        <w:spacing w:after="0" w:line="296" w:lineRule="auto"/>
        <w:rPr>
          <w:sz w:val="20"/>
          <w:szCs w:val="20"/>
          <w:color w:val="auto"/>
        </w:rPr>
      </w:pPr>
      <w:r>
        <w:rPr>
          <w:rFonts w:ascii="Arial" w:cs="Arial" w:eastAsia="Arial" w:hAnsi="Arial"/>
          <w:sz w:val="16"/>
          <w:szCs w:val="16"/>
          <w:color w:val="auto"/>
        </w:rPr>
        <w:t>amounts, and the magnitude of the potential loss relating to such lawsuits may remain unknown for substantial periods of time. Any such claims or litigation may be time-consuming and costly, divert management resources, require us to change our products and services, or require us to pay significant monetary damages, which may have a material adverse effect on our results of operations. In addition, costly and time-consuming litigation could be necessary to enforce our existing contracts and, even if successful, may have a material adverse effect on our business. In addition, litigation by or against any customer or supplier could have the effect of negatively impacting our reputation and goodwill with existing and potential customers and suppliers.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Regulations related to conflict minerals force us to incur additional expenses and may make our supply chain more complex.</w:t>
      </w:r>
    </w:p>
    <w:p>
      <w:pPr>
        <w:spacing w:after="0" w:line="117"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We are subject to the Dodd-Frank Wall Street Reform and Consumer Protection Act of 2010, which requires us to diligence, disclose and report whether or not our products contain certain minerals and metals, known as “conflict minerals.” These requirements could adversely affect the sourcing, availability and pricing of certain of the materials used in the manufacture of components in our products and equipment. In addition, we have and will continue to incur costs to comply with the disclosure requirements, including costs related to conducting diligence procedures to determine the sources of conflict minerals that may be used or necessary to the production of our products and, if applicable, potential changes to products, processes or sources of supply as a consequence of such verification activities.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b w:val="1"/>
          <w:bCs w:val="1"/>
          <w:i w:val="1"/>
          <w:iCs w:val="1"/>
          <w:color w:val="auto"/>
        </w:rPr>
        <w:t>We and our subsidiaries have substantial debt and may incur substantial additional debt in the future, which could adversely affect our financial health, reduce our profitability, limit our ability to obtain financing in the future and pursue certain business opportunities and reduce the value of your investment.</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December 31, 2020, we had total consolidated indebtedness of approximately $1.2 billion, including $975.0 million outstanding of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9.875% senior secured notes due 2024 (the “2024 Senior Secured Notes”), and $237.8 million outstanding of our 6.00% convertible senior notes due 2022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“2022 Convertible Notes”). Subject to certain limitations set forth in the indenture governing the 2024 Senior Secured Notes, as amended, we and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subsidiaries may incur additional debt in the future, including up to $30.0 million, subject to borrowing base availability (and including letter of credit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swingline sub-facilities) under our asset-based revolving credit facility (the “ABL Credit Facility”) pursuant to the credit agreement, dated as of August 26,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2019 (the “ABL Credit Agreement”), which could increase the risks described below and lead to other risks. The amount of our debt or such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obligations could have important consequences for holders of our common stock, including, but not limited to:</w:t>
      </w:r>
    </w:p>
    <w:p>
      <w:pPr>
        <w:spacing w:after="0" w:line="103" w:lineRule="exact"/>
        <w:rPr>
          <w:sz w:val="20"/>
          <w:szCs w:val="20"/>
          <w:color w:val="auto"/>
        </w:rPr>
      </w:pPr>
    </w:p>
    <w:p>
      <w:pPr>
        <w:ind w:left="880" w:right="12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must be dedicated to the payment of principal and interest on our indebtedness, thereby reducing the funds available to us for other purposes;</w:t>
      </w:r>
    </w:p>
    <w:p>
      <w:pPr>
        <w:spacing w:after="0" w:line="62" w:lineRule="exact"/>
        <w:rPr>
          <w:rFonts w:ascii="Arial" w:cs="Arial" w:eastAsia="Arial" w:hAnsi="Arial"/>
          <w:sz w:val="18"/>
          <w:szCs w:val="18"/>
          <w:color w:val="auto"/>
        </w:rPr>
      </w:pPr>
    </w:p>
    <w:p>
      <w:pPr>
        <w:ind w:left="880" w:right="80" w:hanging="440"/>
        <w:spacing w:after="0" w:line="308"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obtain additional financing for working capital, capital expenditures, acquisitions, debt service requirements or general corporate purposes is limited, and our ability to satisfy our obligations with respect to our indebtedness may be impaired in the future;</w:t>
      </w:r>
    </w:p>
    <w:p>
      <w:pPr>
        <w:spacing w:after="0" w:line="38" w:lineRule="exact"/>
        <w:rPr>
          <w:rFonts w:ascii="Arial" w:cs="Arial" w:eastAsia="Arial" w:hAnsi="Arial"/>
          <w:sz w:val="17"/>
          <w:szCs w:val="17"/>
          <w:color w:val="auto"/>
        </w:rPr>
      </w:pPr>
    </w:p>
    <w:p>
      <w:pPr>
        <w:ind w:left="880" w:right="14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at a competitive disadvantage compared to our competitors with less debt or with comparable debt at more favorable interest rates and which, as a result, may be better positioned to withstand economic downturns;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refinance indebtedness may be limited or the associated costs may increase;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engage in acquisitions without raising additional equity or obtaining additional debt financing may be impaired in the future;</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it may be more difficult for us to satisfy our obligations to our creditors, resulting in possible defaults on and acceleration of such indebtedness;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8" w:name="page29"/>
    <w:bookmarkEnd w:id="28"/>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 and</w:t>
      </w:r>
    </w:p>
    <w:p>
      <w:pPr>
        <w:spacing w:after="0" w:line="117" w:lineRule="exact"/>
        <w:rPr>
          <w:rFonts w:ascii="Arial" w:cs="Arial" w:eastAsia="Arial" w:hAnsi="Arial"/>
          <w:sz w:val="18"/>
          <w:szCs w:val="18"/>
          <w:color w:val="auto"/>
        </w:rPr>
      </w:pPr>
    </w:p>
    <w:p>
      <w:pPr>
        <w:ind w:left="880" w:right="80" w:hanging="440"/>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flexibility to adjust to changing market conditions and our ability to withstand competitive pressures could be limited, or we may be prevented from making capital investments that are necessary or important to our operations in general, growth strategy and efforts to improve operating margins of our business units.</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i w:val="1"/>
          <w:iCs w:val="1"/>
          <w:color w:val="auto"/>
        </w:rPr>
        <w:t>We may have future capital needs and may not be able to obtain additional financing to fund our capital needs on acceptable terms, or at all.</w:t>
      </w:r>
    </w:p>
    <w:p>
      <w:pPr>
        <w:spacing w:after="0" w:line="140"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We have from time to time evaluated, and we continue to evaluate, our potential capital needs in light of increasing demand for our services, limitations on bandwidth capacity and performance and generally evolving technology in our industry. We may utilize one or more types of capital raising in order to fund any initiative in this regard, including the issuance of new equity securities and new debt securities, including debt securities convertible into our common stock. Since our IPO, we have obtained debt financing through our entry into our previous credit facility, issuances of convertible notes and issuances of senior secured notes. Since the Transaction closed on December 1, 2020, we have not completed a full fiscal quarter of operation as a standalone business aviation provider, and we have not demonstrated an ability to generate positive cash flows. Our ability to do so will depend in large part on our ability to increase revenue and manage costs in our business. In addition, our ability to generate positive cash flows from operating activities and the extent and timing of certain capital and other necessary expenditures are subject to numerous variables, such as costs related to execution of our current technology roadmap, including continuing development and deployment of Gogo 5G and other future technologies. The market conditions and the macroeconomic conditions that affect the markets in which we operate could have a material adverse effect on our ability to secure financing on acceptable terms, if at all. We may be unable to secure additional financing on favorable terms or at all or our operating cash flow may be insufficient to satisfy our financial obligations under the indenture governing the 2024 Senior Secured Notes, the indenture governing the 2022 Convertible Notes, the ABL Credit Agreement and other indebtedness outstanding from time to time.</w:t>
      </w:r>
    </w:p>
    <w:p>
      <w:pPr>
        <w:spacing w:after="0" w:line="18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Our ability to obtain additional financing for working capital, capital expenditures, acquisitions, debt service requirements or general corporate purposes is limited by the indenture governing the 2024 Senior Secured Notes and the ABL Credit Agreement. As of December 31, 2020, the remaining permitted indebtedness for Gogo Intermediate Holdings LLC (a wholly owned subsidiary of Gogo Inc.) and its subsidiaries was approximately $35 million in the form of capital leases and borrowings under the ABL Credit Agreement. In the future, if our subsidiaries are in compliance with certain incurrence ratios set forth in the indenture governing the 2024 Senior Secured Notes and in the ABL Credit Agreement, our subsidiaries may be able to incur additional indebtedness, which may increase the risks created by our current substantial indebtedness. Neither the indenture governing the 2024 Senior Secured Notes nor the ABL Credit Agreement prohibits Gogo Inc. from incurring additional indebtedness under any circumstances, but they do limit the amount of cash that our subsidiaries may dividend, transfer or otherwise distribute to us, including cash distributed to us to pay interest on the 2022 Convertible Notes or to pay interest on other indebtedness incurred by us, including indebtedness or preferred stock incurred to refinance, replace, renew or refund the 2022 Convertible Notes.</w:t>
      </w:r>
    </w:p>
    <w:p>
      <w:pPr>
        <w:spacing w:after="0" w:line="185"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The terms of any additional financing may further limit our financial and operating flexibility. Our ability to satisfy our financial obligations will depend upon our future operating performance, the availability of credit generally, economic conditions and financial, business and other factors, many of which are beyond our control. Furthermore, if financing is not available when needed, or is not available on acceptable terms, we may be unable to take advantage of business opportunities or respond to competitive pressures, any of which may have a material adverse effect on our business, financial condition and results of operations. Even if we are able to obtain additional financing, we may be required to use the proceeds from any such financing to repay a portion of our outstanding debt.</w:t>
      </w:r>
    </w:p>
    <w:p>
      <w:pPr>
        <w:spacing w:after="0" w:line="192"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color w:val="auto"/>
        </w:rPr>
        <w:t>If we raise additional funds or seek to reduce our current levels of indebtedness through further issuances of equity, convertible debt securities or other securities convertible into equity, our existing stockholders could suffer significant dilution in their percentage ownership of our company. In addition, any new securities we issue could have rights, preferences and privileges senior to those of holders of our common stock, and we may grant holders of such securities rights with respect to the governance and operations of our business. If we are unable to obtain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ind w:right="20"/>
        <w:spacing w:after="0" w:line="277" w:lineRule="auto"/>
        <w:rPr>
          <w:sz w:val="20"/>
          <w:szCs w:val="20"/>
          <w:color w:val="auto"/>
        </w:rPr>
      </w:pPr>
      <w:r>
        <w:rPr>
          <w:rFonts w:ascii="Arial" w:cs="Arial" w:eastAsia="Arial" w:hAnsi="Arial"/>
          <w:sz w:val="18"/>
          <w:szCs w:val="18"/>
          <w:color w:val="auto"/>
        </w:rPr>
        <w:t>adequate financing or financing on terms satisfactory to us, if and when we require it, our ability to grow or support our business and to respond to business challenges could be significantly limited.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Servicing our debt requires a significant amount of cash, and we may not have sufficient cash flow from our business to pay our substantial debt.</w:t>
      </w:r>
    </w:p>
    <w:p>
      <w:pPr>
        <w:spacing w:after="0" w:line="260"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indebtedness or future indebtedness will depend on the capital markets and our financial condition at such time. We may not be able to engage in any of these activities on desirable terms or at all, and such alternative measures may not be successful and may not permit us to meet our scheduled debt service obligations, which could result in a default on existing indebtedness or future indebtedness.</w:t>
      </w:r>
    </w:p>
    <w:p>
      <w:pPr>
        <w:spacing w:after="0" w:line="165"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We cannot make assurances that we will be able to refinance any of our indebtedness or obtain additional financing, particularly because of our high levels of debt and the debt incurrence restrictions imposed by the agreements and instruments governing our debt. In addition, we do not currently have a revolving credit facility under which we can borrow to make payments of the principal of, to pay interest on or to refinance any indebtedness. In the absence of such sources of capital, we could face substantial liquidity problems and might be required to dispose of material assets or operations to meet our debt service and other obligations. The indenture governing the 2024 Senior Secured Notes and the ABL Credit Agreement restrict our ability to dispose of assets and how we use the proceeds from any such dispositions. In particular, the indenture governing the 2024 Senior Secured Notes provides that if we complete certain sales or transfers of assets, we are required to apply the Net Cash Proceeds (as defined in the indenture governing the 2024 Senior Secured Notes) generated therefrom within 365 days to either permanently repay indebtedness or invest in property or non-current assets of a nature or type used in our or a similar or related business. If we do not so apply the Net Cash Proceeds from the Transaction by December 1, 2021, we will be required to offer to repurchase for cash an aggregate principal amount of 2024 Senior Secured Notes equal to any Net Cash Proceeds not so applied as of such date, at a repurchase price equal to 100% of the principal amount thereof, plus accrued and unpaid interest, if any, to (but not including) the repurchase date. Our inability to utilize the Net Cash Proceeds from the Transaction or other dispositions for other purposes, such as to pay for general operating expenses, may negatively impact our business or financial condition.</w:t>
      </w:r>
    </w:p>
    <w:p>
      <w:pPr>
        <w:spacing w:after="0" w:line="2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The agreements and instruments governing our debt contain restrictions and limitations that could significantly impact our ability to operate our business.</w:t>
      </w:r>
    </w:p>
    <w:p>
      <w:pPr>
        <w:spacing w:after="0" w:line="62"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The indenture governing the 2024 Senior Secured Notes and the ABL Credit Agreement contain covenants that, among other things, limit the ability of our subsidiaries and, in certain circumstances, us to:</w:t>
      </w:r>
    </w:p>
    <w:p>
      <w:pPr>
        <w:spacing w:after="0" w:line="62"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redeem stock or make other distributions;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merge or consolidate with other companies;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25"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Our ability to comply with the covenants and restrictions contained in the indenture governing the 2024 Senior Secured Notes and the ABL Credit Agreement may be affected by economic, financial and industry conditions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right="20"/>
        <w:spacing w:after="0" w:line="273" w:lineRule="auto"/>
        <w:rPr>
          <w:sz w:val="20"/>
          <w:szCs w:val="20"/>
          <w:color w:val="auto"/>
        </w:rPr>
      </w:pPr>
      <w:r>
        <w:rPr>
          <w:rFonts w:ascii="Arial" w:cs="Arial" w:eastAsia="Arial" w:hAnsi="Arial"/>
          <w:sz w:val="17"/>
          <w:szCs w:val="17"/>
          <w:color w:val="auto"/>
        </w:rPr>
        <w:t>beyond our control. Our failure to comply with obligations under the agreements and instruments governing our indebtedness may result in an event of default under such agreements and instruments. We cannot be certain that we will have funds available to remedy these defaults. A default, if not cured or waived, may permit acceleration of our indebtedness. If our indebtedness is accelerated, we cannot be certain that we will have sufficient funds available to pay the accelerated indebtedness or have the ability to refinance the accelerated indebtedness on terms favorable to us or at all. All of these covenants and restrictions could affect our ability to operate our business, may limit our ability in the future to satisfy currently outstanding obligations and may limit our ability to take advantage of potential business opportunities as they arise.</w:t>
      </w:r>
    </w:p>
    <w:p>
      <w:pPr>
        <w:spacing w:after="0" w:line="178"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Additionally, any indebtedness under our ABL Credit Agreement will bear interest at variable rates that use the London inter-bank offered rate (“LIBOR”). On July 27, 2017, the United Kingdom's Financial Conduct Authority, which regulates LIBOR, announced that it intends to stop encouraging or compelling banks to submit LIBOR quotations after 2021 (the “FCA Announcement”). The FCA Announcement indicates that the continuation of LIBOR on the current basis is not guaranteed after 2021 and, based on the foregoing, it appears likely that LIBOR will be discontinued or modified before the end of 2021. In 2020, ICE Benchmark Administration, which administers LIBOR publication, issued a consultation requesting feedback on its intention to continue publication of overnight and one-, three-, six- and 12-month USD LIBOR rates through June 30, 2023 (“IBA Announcement”). There were concurrent announcements by the UK’s Financial Conduct Authority, U.S. bank regulators, the Federal Reserve Board and the Alternative Reference Rates Committee supporting the IBA Announcement and, among other things, encouraging banks to stop entering into new LIBOR-based contracts by the end of 2021. It is not possible to predict the effect the FCA Announcement, the IBA Announcement, any discontinuation, modification or other reforms to LIBOR or the establishment of alternative reference rates may have on LIBOR. Furthermore, the use of alternative reference rates or other reforms could increase the interest rates payable under our current and/or future indebtedness bearing interest at variable rates.</w:t>
      </w:r>
    </w:p>
    <w:p>
      <w:pPr>
        <w:spacing w:after="0" w:line="280"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b w:val="1"/>
          <w:bCs w:val="1"/>
          <w:i w:val="1"/>
          <w:iCs w:val="1"/>
          <w:color w:val="auto"/>
        </w:rPr>
        <w:t>The 2024 Senior Secured Notes, and any indebtedness under the ABL Credit Facility, are secured by substantially all of our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p>
      <w:pPr>
        <w:spacing w:after="0" w:line="63"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2024 Senior Secured Notes, and any indebtedness under the ABL Credit Facility, are secured by a lien on substantially all of our assets. Accordingly, if an event of default were to occur under the indenture governing the 2024 Senior Secured Notes and the ABL Credit Agreement, the holders of the 2024 Senior Secured Notes and, to the extent amounts were outstanding under the ABL Credit Facility, the lenders party to the ABL Credit Agreement would have a prior right to our assets, to the exclusion of our general creditors in the event of our bankruptcy, insolvency, liquidation, or reorganization. In that event, our assets would first be used to repay in full all indebtedness and other obligations under the indenture governing the 2024 Senior Secured Notes and the ABL Credit Agreement, resulting in all or a portion of our assets being unavailable to satisfy the claims of our unsecured indebtedness. Only after satisfying the claims of our unsecured creditors and our subsidiaries’ unsecured creditors would any amount be available for our equity holders. The pledge of these assets and other restrictions may limit our flexibility in raising capital for other purposes. Because substantially all of our assets are pledged under these financing arrangements, our ability to incur additional secured indebtedness or to sell or dispose of assets to raise capital may be impaired, which could have an adverse effect on our financial flexibility.</w:t>
      </w:r>
    </w:p>
    <w:p>
      <w:pPr>
        <w:spacing w:after="0" w:line="293"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b w:val="1"/>
          <w:bCs w:val="1"/>
          <w:i w:val="1"/>
          <w:iCs w:val="1"/>
          <w:color w:val="auto"/>
        </w:rPr>
        <w:t>We may not have sufficient cash flow or the ability to raise the funds necessary to settle conversions of the 2022 Convertible Notes, to repay the 2022 Convertible Notes at maturity or to purchase the 2022 Convertible Notes upon a fundamental change, and the indenture governing the 2024 Senior Secured Notes and the ABL Credit Agreement may limit our ability to pay interest, or dividends, on indebtedness, or preferred stock, issued to refinance the 2022 Convertible Notes.</w:t>
      </w:r>
    </w:p>
    <w:p>
      <w:pPr>
        <w:spacing w:after="0" w:line="79" w:lineRule="exact"/>
        <w:rPr>
          <w:sz w:val="20"/>
          <w:szCs w:val="20"/>
          <w:color w:val="auto"/>
        </w:rPr>
      </w:pPr>
    </w:p>
    <w:p>
      <w:pPr>
        <w:ind w:right="320" w:firstLine="589"/>
        <w:spacing w:after="0" w:line="279" w:lineRule="auto"/>
        <w:rPr>
          <w:sz w:val="20"/>
          <w:szCs w:val="20"/>
          <w:color w:val="auto"/>
        </w:rPr>
      </w:pPr>
      <w:r>
        <w:rPr>
          <w:rFonts w:ascii="Arial" w:cs="Arial" w:eastAsia="Arial" w:hAnsi="Arial"/>
          <w:sz w:val="17"/>
          <w:szCs w:val="17"/>
          <w:color w:val="auto"/>
        </w:rPr>
        <w:t>Holders of the 2022 Convertible Notes will have the right to require us to purchase their 2022 Convertible Notes upon the occurrence of a fundamental change at a purchase price equal to 100% of the principal amount of the 2022 Convertible Notes to be purchased, plus accrued and unpaid interest, if any, to, but not including, the fundamental change purchase date. In addition, in the event the conditional conversion feature of the 2022 Convertible Notes is triggered, holders of the 2022 Convertible Notes will be entitled to convert the 2022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spacing w:after="0" w:line="268" w:lineRule="auto"/>
        <w:rPr>
          <w:sz w:val="20"/>
          <w:szCs w:val="20"/>
          <w:color w:val="auto"/>
        </w:rPr>
      </w:pPr>
      <w:r>
        <w:rPr>
          <w:rFonts w:ascii="Arial" w:cs="Arial" w:eastAsia="Arial" w:hAnsi="Arial"/>
          <w:sz w:val="17"/>
          <w:szCs w:val="17"/>
          <w:color w:val="auto"/>
        </w:rPr>
        <w:t>Convertible Notes at any time during specified periods at their option. The 2020 Convertible Notes became eligible for conversion at the election of holders on October 1, 2020 and are currently convertible until at least March 31, 2021. Upon conversion of the 2022 Convertible Notes, we will be required to make cash payments in respect of the 2022 Convertible Notes being converted, unless we elect to deliver solely shares of our common stock to settle such conversion (other than cash in lieu of any fractional share). Moreover, we will be required to repay the 2022 Convertible Notes in cash on May 15, 2022, their maturity date, unless earlier converted or repurchased. We may not have enough available cash or be able to obtain financing at the time we are required to make purchases of 2022 Convertible Notes surrendered therefor or repay the 2022 Convertible Notes at maturity or upon 2022 Convertible Notes being converted. The indenture governing the 2024 Senior Secured Notes and the ABL Credit Agreement also does not allow our subsidiaries to distribute cash to us for the payment of the principal of the 2022 Convertible Notes. In addition, the indenture governing the 2024 Senior Secured Notes and the ABL Credit Agreement limits the amount of cash our subsidiaries may dividend, transfer or otherwise distribute to us, including cash distributed to pay interest on the 2022 Convertible Notes or to pay any interest on other indebtedness incurred by us, including indebtedness or preferred stock incurred to refinance, replace, renew or refund the 2022 Convertible Notes, which may limit our ability to issue debt or other securities in an amount necessary to refinance the outstanding 2022 Convertible Notes or at rates that such distributions could support. While we have reserved a portion of the net proceeds from the issuance of the 2022 Convertible Notes to fund a portion of future interest payments on the 2022 Convertible Notes, the amount of such funds, together with funds up-streamed from subsidiaries and from other potential sources of liquidity (if any) may not be adequate to fund any future liquidity shortfall. See “—</w:t>
      </w:r>
      <w:r>
        <w:rPr>
          <w:rFonts w:ascii="Arial" w:cs="Arial" w:eastAsia="Arial" w:hAnsi="Arial"/>
          <w:sz w:val="17"/>
          <w:szCs w:val="17"/>
          <w:i w:val="1"/>
          <w:iCs w:val="1"/>
          <w:color w:val="auto"/>
        </w:rPr>
        <w:t>We may have future capital needs and may not be able to obtain additional financing to fund our capital needs on acceptable terms, or at</w:t>
      </w:r>
      <w:r>
        <w:rPr>
          <w:rFonts w:ascii="Arial" w:cs="Arial" w:eastAsia="Arial" w:hAnsi="Arial"/>
          <w:sz w:val="17"/>
          <w:szCs w:val="17"/>
          <w:color w:val="auto"/>
        </w:rPr>
        <w:t xml:space="preserve"> </w:t>
      </w:r>
      <w:r>
        <w:rPr>
          <w:rFonts w:ascii="Arial" w:cs="Arial" w:eastAsia="Arial" w:hAnsi="Arial"/>
          <w:sz w:val="17"/>
          <w:szCs w:val="17"/>
          <w:i w:val="1"/>
          <w:iCs w:val="1"/>
          <w:color w:val="auto"/>
        </w:rPr>
        <w:t>all</w:t>
      </w:r>
      <w:r>
        <w:rPr>
          <w:rFonts w:ascii="Arial" w:cs="Arial" w:eastAsia="Arial" w:hAnsi="Arial"/>
          <w:sz w:val="17"/>
          <w:szCs w:val="17"/>
          <w:color w:val="auto"/>
        </w:rPr>
        <w:t>.”</w:t>
      </w:r>
    </w:p>
    <w:p>
      <w:pPr>
        <w:spacing w:after="0" w:line="180"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Our failure to purchase 2022 Convertible Notes as required by the indenture governing the 2022 Convertible Notes or to pay cash payable upon future conversions of the 2022 Convertible Notes as required by the indenture governing the 2022 Convertible Notes would constitute a default under the indenture governing the 2022 Convertible Notes. A default under the indenture governing the 2022 Convertible Notes or the fundamental change itself could also lead to a default under the agreements and instruments governing our other indebtedness and the acceleration of amounts outstanding thereunder, including the indenture governing the 2024 Senior Secured Notes and the ABL Credit Agreement. If the repayment of the related indebtedness were to be accelerated after any applicable notice or grace periods, we may not have sufficient funds to repay the indebtedness and purchase the 2022 Convertible Notes or make cash payments upon conversions thereof. A default under the indenture governing the 2022 Convertible Notes may have a material adverse effect on our financial condition and results of operations and could cause us to become bankrupt or otherwise insolvent.</w:t>
      </w:r>
    </w:p>
    <w:p>
      <w:pPr>
        <w:spacing w:after="0" w:line="27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rating assigned by a rating agency to us, our subsidiaries or our indebtedness, if any, could cause our cost of capital to increase.</w:t>
      </w:r>
    </w:p>
    <w:p>
      <w:pPr>
        <w:spacing w:after="0" w:line="62"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The 2024 Senior Secured Notes have been rated by nationally recognized rating agencies and may in the future be rated by additional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future lowering of ratings may make it more difficult or more expensive for us to obtain additional debt financing.</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your investment could decline.</w:t>
      </w:r>
    </w:p>
    <w:p>
      <w:pPr>
        <w:spacing w:after="0" w:line="225"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The trading price of our common stock has been volatile since our IPO, which occurred on June 21, 2013 and in which shares of common stock were sold at a price of $17.00 per share. From the IPO date through March 4, 2021, the price of our common stock has ranged from a closing low of $1.40 per share to a closing high of $34.34 per share. In addition to the factors discussed in this Annual Report, the trading price of our common stock may fluctuate widely in response to various factors, many of which are beyond our control. They include:</w:t>
      </w:r>
    </w:p>
    <w:p>
      <w:pPr>
        <w:spacing w:after="0" w:line="63" w:lineRule="exact"/>
        <w:rPr>
          <w:sz w:val="20"/>
          <w:szCs w:val="20"/>
          <w:color w:val="auto"/>
        </w:rPr>
      </w:pPr>
    </w:p>
    <w:p>
      <w:pPr>
        <w:ind w:left="880" w:right="8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aviation industry or general market conditions, including those related to the impact of COVID-19 on restrictions on and demand for air travel, as well as disruptions to supply chains and installations;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technology or customer usage of Wi-Fi and Internet broadband services;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inability to timely and efficiently roll out Gogo 5G or other components of our technology roadmap;</w:t>
      </w:r>
    </w:p>
    <w:p>
      <w:pPr>
        <w:spacing w:after="0" w:line="117"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uncertainties and consequences arising from the United Kingdom’s departure from the European Union, including any financial, trade, tax and legal implications;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17" w:lineRule="exact"/>
        <w:rPr>
          <w:rFonts w:ascii="Arial" w:cs="Arial" w:eastAsia="Arial" w:hAnsi="Arial"/>
          <w:sz w:val="18"/>
          <w:szCs w:val="18"/>
          <w:color w:val="auto"/>
        </w:rPr>
      </w:pPr>
    </w:p>
    <w:p>
      <w:pPr>
        <w:ind w:left="880" w:right="16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operating results and any inability to generate positive cash flows on a consolidated basis in the future or to obtain additional financing;</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or failure to meet publicly disclosed expectations as to our future financial performance;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lack of research and reports by industry analysts;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action by institutional stockholders or other large stockholders, including future sales;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short-selling or other transactions involving derivatives of our securities;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investor perception of us and our industry;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market valuations or earnings of similar companies;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products, contracts, contract amendments, acquisitions or strategic partnerships;</w:t>
      </w:r>
    </w:p>
    <w:p>
      <w:pPr>
        <w:spacing w:after="0" w:line="128" w:lineRule="exact"/>
        <w:rPr>
          <w:rFonts w:ascii="Arial" w:cs="Arial" w:eastAsia="Arial" w:hAnsi="Arial"/>
          <w:sz w:val="17"/>
          <w:szCs w:val="17"/>
          <w:color w:val="auto"/>
        </w:rPr>
      </w:pPr>
    </w:p>
    <w:p>
      <w:pPr>
        <w:ind w:left="880" w:right="4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 including increases or decreases in litigation expenses associated with intellectual property lawsuits we may initiate, or in which we may be named as defendants;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renewal of our FCC license and our ability to obtain additional spectrum;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In addition, the stock markets have experienced extreme price and volume fluctuations in recent years that have affected and continue to affect the market prices of equity securities of many technology companies. Stock prices of many such companies have fluctuated in a manner unrelated or disproportionate to the operating performance of those companies. These broad market fluctuations may adversely affect the trading price of our common stock. In the past, following periods of volatility in the market price of a company’s securities, class action litigation has often been instituted against such company. Any litigation of this type brought against us could result in substantial costs and a diversion of our management’s attention and resources, which may have a material adverse effect on our business, financial condition and results of operations.</w:t>
      </w:r>
    </w:p>
    <w:p>
      <w:pPr>
        <w:spacing w:after="0" w:line="286" w:lineRule="exact"/>
        <w:rPr>
          <w:sz w:val="20"/>
          <w:szCs w:val="20"/>
          <w:color w:val="auto"/>
        </w:rPr>
      </w:pPr>
    </w:p>
    <w:p>
      <w:pPr>
        <w:ind w:right="260" w:firstLine="432"/>
        <w:spacing w:after="0" w:line="375" w:lineRule="auto"/>
        <w:rPr>
          <w:sz w:val="20"/>
          <w:szCs w:val="20"/>
          <w:color w:val="auto"/>
        </w:rPr>
      </w:pPr>
      <w:r>
        <w:rPr>
          <w:rFonts w:ascii="Arial" w:cs="Arial" w:eastAsia="Arial" w:hAnsi="Arial"/>
          <w:sz w:val="15"/>
          <w:szCs w:val="15"/>
          <w:b w:val="1"/>
          <w:bCs w:val="1"/>
          <w:i w:val="1"/>
          <w:iCs w:val="1"/>
          <w:color w:val="auto"/>
        </w:rPr>
        <w:t>Adjustments by holders of the 2022 Convertible Notes of their hedging positions in our common stock and the forward stock purchase transactions, or any modifications of the forward stock purchase transactions, may have a negative effect on the market price of our common stock.</w:t>
      </w:r>
    </w:p>
    <w:p>
      <w:pPr>
        <w:spacing w:after="0" w:line="1"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Any buying or selling of shares of our common stock by holders of the 2022 Convertible Notes to establish or adjust hedged positions with respect to our common stock may affect the market price of our common stock. In addition, the existence of the 2022 Convertible Notes may also encourage short selling by market participants because any conversions of the 2022 Convertible Notes could depress our common stock price. The price of our common stock could be affected by possible sales of our common stock by investors who view the 2022 Convertible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3" w:name="page34"/>
    <w:bookmarkEnd w:id="33"/>
    <w:p>
      <w:pPr>
        <w:ind w:right="380"/>
        <w:spacing w:after="0" w:line="277" w:lineRule="auto"/>
        <w:rPr>
          <w:sz w:val="20"/>
          <w:szCs w:val="20"/>
          <w:color w:val="auto"/>
        </w:rPr>
      </w:pPr>
      <w:r>
        <w:rPr>
          <w:rFonts w:ascii="Arial" w:cs="Arial" w:eastAsia="Arial" w:hAnsi="Arial"/>
          <w:sz w:val="18"/>
          <w:szCs w:val="18"/>
          <w:color w:val="auto"/>
        </w:rPr>
        <w:t>Notes as a more attractive means of equity participation, and by hedging or arbitrage trading activity, which we expect to occur involving our common stock.</w:t>
      </w:r>
    </w:p>
    <w:p>
      <w:pPr>
        <w:spacing w:after="0" w:line="170"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On December 11, 2019, we entered into an amended and restated privately negotiated prepaid forward stock purchase transaction (the “Amended and Restated Forward Transaction”) with JPMorgan Chase Bank, National Association (the “Forward Counterparty”), which replaced the prepaid forward stock purchase transaction entered into with the Forward Counterparty in connection with the issuance of the 2020 Convertible Notes. The Amended and Restated Forward Transaction is generally expected to facilitate privately negotiated derivative transactions, including swaps, between the Forward Counterparty and investors in the 2022 Convertible Notes relating to shares of our common stock by which investors in the 2022 Convertible Notes will establish short positions relating to shares of our common stock and otherwise hedge their investments in the 2022 Convertible Notes. The maturity date of such Amended and Restated Forward Transaction is on or around May 15, 2022, the maturity date for the 2022 Convertible Notes. Such investors may enter into other transactions in connection with or in addition to such derivative transactions, including the purchase or sale of shares of our common stock. As a result of the existence of the Amended and Restated Forward Transaction, such derivative transactions and any related market activity could cause more purchases or sales of shares of our common stock over the term of the Amended and Restated Forward Transaction than there otherwise would have been had we not entered into the Amended and Restated Forward Transaction. Such purchases or sales, including sales made in connection with any refinancing or repurchase of our 2022 Convertible Notes, could potentially increase (or reduce the size of any decrease in) or decrease (or reduce the size of any increase in) the market price of our common stock. In addition, in connection with any repurchase of our 2022 Convertible Notes, the Forward Counterparty may elect to settle a portion of the Amended and Restated Forward Transaction early in accordance with its terms, which would result in a delivery of shares of our common stock to us earlier than the maturity date described above.</w:t>
      </w:r>
    </w:p>
    <w:p>
      <w:pPr>
        <w:spacing w:after="0" w:line="16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In addition, we may request that the Forward Counterparty modify the settlement terms of the Amended and Restated Forward Transaction to provide that, in lieu of the delivery of the number of shares of our common stock to us to settle a portion of the Amended and Restated Forward Transaction in accordance with its terms, the Forward Counterparty would pay to us the net proceeds from the sale by the Forward Counterparty (or its affiliate) of a corresponding number of shares of our common stock in a registered offering (which may include block sales, sales on the NASDAQ Global Select Market (“NASDAQ”),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Forward Counterparty is not required to effect any such settlement in cash in lieu of delivery of shares of our common stock and, if we request for the Forward Counterparty to effect any such settlement, it will be entered into in the discretion of the Forward Counterparty on such terms as we may agree with the Forward Counterparty at the time.</w:t>
      </w:r>
    </w:p>
    <w:p>
      <w:pPr>
        <w:spacing w:after="0" w:line="181"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Additionally, the Forward Counterparty (or its affiliates) is likely to modify its hedge positions in respect of the Amended and Restated Forward Transaction by entering into or unwinding various derivative transactions with respect to shares of our common stock and/or by purchasing the shares of common stock or other securities of ours in secondary market transactions prior to maturity of the Amended and Restated Forward Transaction (and are likely to do so during the final valuation period under the Amended and Restated Forward Transaction and on or around any election by the Forward Counterparty to settle all of a portion of the Amended and Restated Forward Transaction early). The effect, if any, of any of these transactions and activities on the market price of our common stock will depend in part on market conditions and cannot be ascertained at this time, but any of these activities could adversely affect the value of our common stock.</w:t>
      </w:r>
    </w:p>
    <w:p>
      <w:pPr>
        <w:spacing w:after="0" w:line="195"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The Forward Counterparty is a financial institution, and we will be subject to the risk that it might default under the Amended and Restated Forward Transaction. Our exposure to the credit risk of the Forward Counterparty is not secured by any collateral. Global economic conditions have in the recent past resulted in, and may again result in, the actual or perceived failure or financial difficulties of many financial institutions. If the Forward Counterparty becomes subject to insolvency proceedings, we will become an unsecured creditor in those proceedings, with a claim equal to our exposure at that time under our transactions with the Forward Counterparty. Our exposure will depend on many factors, but, generally, an increase in our exposure will be correlated to an increase in the market price of our common stock. In addition, upon a default by the Forward Counterparty, we may suffer more dilution than we currently anticipate with respect to our common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left="600"/>
        <w:spacing w:after="0"/>
        <w:rPr>
          <w:sz w:val="20"/>
          <w:szCs w:val="20"/>
          <w:color w:val="auto"/>
        </w:rPr>
      </w:pPr>
      <w:r>
        <w:rPr>
          <w:rFonts w:ascii="Arial" w:cs="Arial" w:eastAsia="Arial" w:hAnsi="Arial"/>
          <w:sz w:val="18"/>
          <w:szCs w:val="18"/>
          <w:b w:val="1"/>
          <w:bCs w:val="1"/>
          <w:i w:val="1"/>
          <w:iCs w:val="1"/>
          <w:color w:val="auto"/>
        </w:rPr>
        <w:t>Future stock issuances could cause substantial dilution and a decline in our stock price.</w:t>
      </w:r>
    </w:p>
    <w:p>
      <w:pPr>
        <w:spacing w:after="0" w:line="117"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We may issue additional shares of common stock or other equity or debt securities convertible into common stock from time to time in connection with a financing, acquisition, litigation settlement, employee arrangement, as consideration to third party service or equipment providers or otherwise. In addition, a substantial number of shares of our common stock are reserved for issuance upon the conversion of the 2022 Convertible Notes. The conversion of some or all of the 2022 Convertible Notes may dilute the ownership interests of existing stockholders to the extent we deliver shares upon conversion. The 2020 Convertible Notes are currently convertible at the election of holders and, to date, approximately $1.0 million of 2020 Convertible Notes have been converted into shares of common stock. We may issue additional shares of common stock upon any conversion or exchange of 2020 Convertible Notes pursuant to their terms or otherwise. Any sales in the public market of the common stock issuable upon such conversion or exchange could adversely affect prevailing market prices of our common stock. In addition, the existence of the 2022 Convertible Notes may encourage short selling by market participants because the conversion of the 2022 Convertible Notes could be used to satisfy short positions. In addition, the anticipated conversion of the 2022 Convertible Notes into shares of our common stock could depress the price of our common stock.</w:t>
      </w:r>
    </w:p>
    <w:p>
      <w:pPr>
        <w:spacing w:after="0" w:line="168"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Additional shares of common stock are also issuable upon exercise of outstanding stock options, including those subject to our option exchange program, which closed on June 12, 2020, that resulted in a reduction in the applicable exercise price of such options. We may also reserve additional shares of our common stock for issuance upon the exercise of stock options or other similar forms of equity incentives. We cannot predict the size of future issuances or the effect, if any, that they may have on the market price for our common stock. Any of these issuances could result in substantial dilution to our existing stockholders and could cause the trading price of our common stock to decline.</w:t>
      </w:r>
    </w:p>
    <w:p>
      <w:pPr>
        <w:spacing w:after="0" w:line="284" w:lineRule="exact"/>
        <w:rPr>
          <w:sz w:val="20"/>
          <w:szCs w:val="20"/>
          <w:color w:val="auto"/>
        </w:rPr>
      </w:pPr>
    </w:p>
    <w:p>
      <w:pPr>
        <w:ind w:right="420" w:firstLine="432"/>
        <w:spacing w:after="0" w:line="263" w:lineRule="auto"/>
        <w:rPr>
          <w:sz w:val="20"/>
          <w:szCs w:val="20"/>
          <w:color w:val="auto"/>
        </w:rPr>
      </w:pPr>
      <w:r>
        <w:rPr>
          <w:rFonts w:ascii="Arial" w:cs="Arial" w:eastAsia="Arial" w:hAnsi="Arial"/>
          <w:sz w:val="18"/>
          <w:szCs w:val="18"/>
          <w:b w:val="1"/>
          <w:bCs w:val="1"/>
          <w:i w:val="1"/>
          <w:iCs w:val="1"/>
          <w:color w:val="auto"/>
        </w:rPr>
        <w:t>Our President and CEO is a significant stockholder and could exert influence over our company, and if the ownership of our common stock continues to be concentrated, or becomes more concentrated in the future, it could prevent our other stockholders from influencing significant corporate decisions.</w:t>
      </w:r>
    </w:p>
    <w:p>
      <w:pPr>
        <w:spacing w:after="0" w:line="76"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As of December 31, 2020, Oakleigh Thorne, our President and CEO and the Chairman of our Board of Directors, and the entities affiliated with Mr. Thorne (the “Thorne Entities”) beneficially owned approximately 30% of the outstanding shares of our common stock. As a result, Mr. Thorne is able to exercise influence over all matters requiring stockholder approval for the foreseeable future, including approval of significant corporate transactions and the election of directors. Such ability to influence may reduce the market price of our common stock.</w:t>
      </w:r>
    </w:p>
    <w:p>
      <w:pPr>
        <w:spacing w:after="0" w:line="171"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As our President and CEO, Mr. Thorne has control over our day-to-day management and the implementation of major strategic initiatives and investments by our company, subject to authorization and oversight by our Board of Directors. As a member of our Board of Directors, Mr. Thorne owes a fiduciary duty to our stockholders and must act in good faith in a manner he reasonably believes to be in the best interests of our stockholders. As a stockholder, Mr. Thorne is entitled to vote his shares, and shares over which he has voting control, in his own interest, which may not always be in the interests of stockholders generally.</w:t>
      </w:r>
    </w:p>
    <w:p>
      <w:pPr>
        <w:spacing w:after="0" w:line="188"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corporate governance guidelines address potential conflicts between a director’s interests and our interests, and our code of business conduct, among other things, requires our employees and directors to avoid actions or relationships that might conflict or appear to conflict with their job responsibilities or our interests and to disclose their outside activities, financial interests or relationships that may present a possible conflict of interest or the appearance of a conflict to management or corporate counsel. These corporate governance guidelines and code of business ethics do not, by themselves, prohibit transactions with the Thorne Entities.</w:t>
      </w:r>
    </w:p>
    <w:p>
      <w:pPr>
        <w:spacing w:after="0" w:line="29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b w:val="1"/>
          <w:bCs w:val="1"/>
          <w:i w:val="1"/>
          <w:iCs w:val="1"/>
          <w:color w:val="auto"/>
        </w:rPr>
        <w:t>Fulfilling our obligations associated with being a public company is expensive and time-consuming, and any delays or difficulties in satisfying these obligations may have a material adverse effect on our results of operations and our stock price.</w:t>
      </w:r>
    </w:p>
    <w:p>
      <w:pPr>
        <w:spacing w:after="0" w:line="62"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As a public company, the Sarbanes-Oxley Act of 2002 (“Sarbanes-Oxley”), and the related rules and regulations of the SEC, as well as NASDAQ rules, require us to implement various corporate governance practices and adhere to a variety of reporting requirements and complex accounting rules. Compliance with these public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5" w:name="page36"/>
    <w:bookmarkEnd w:id="35"/>
    <w:p>
      <w:pPr>
        <w:ind w:right="40"/>
        <w:spacing w:after="0" w:line="287" w:lineRule="auto"/>
        <w:rPr>
          <w:sz w:val="20"/>
          <w:szCs w:val="20"/>
          <w:color w:val="auto"/>
        </w:rPr>
      </w:pPr>
      <w:r>
        <w:rPr>
          <w:rFonts w:ascii="Arial" w:cs="Arial" w:eastAsia="Arial" w:hAnsi="Arial"/>
          <w:sz w:val="16"/>
          <w:szCs w:val="16"/>
          <w:color w:val="auto"/>
        </w:rPr>
        <w:t>company obligations requires us to devote significant time and resources and places significant additional demands on our finance and accounting staff and on our financial accounting and information systems. We are also required under Sarbanes-Oxley to document and test the effectiveness of our internal control over financial reporting, and our independent registered public accounting firm is required to provide an attestation report on the effectiveness of our internal control over financial reporting. In addition, we are required under the Exchange Act to maintain disclosure controls and procedures and internal control over financial reporting. Our ability to maintain the effectiveness of our internal controls will depend, in part, on our ability to transition responsibility for certain internal control processes from personnel whom we no longer employ following the Transaction to our employees. Any failure to maintain effective controls or implement required new or improved controls may materially adversely affect our results of operations or cause us to fail to meet our reporting obligations.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financial statements. This could result in a decrease in the value of our common stock. Failure to comply with Sarbanes-Oxley could potentially subject us to sanctions or investigations by the SEC, NASDAQ, or other regulatory authorities.</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The utilization of our tax losses could be substantially limited if we experienced an “ownership change” as defined in the Internal Revenue Code.</w:t>
      </w:r>
    </w:p>
    <w:p>
      <w:pPr>
        <w:spacing w:after="0" w:line="152"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As of December 31, 2020, we had approximately $647 million in federal and $452 million in state NOLs. These deferred tax assets are currently fully reserved. The federal NOLs begin to expire in 2031. The state NOLs expire in various tax years and began to expire in 2016. Under Section 382 of the Code and corresponding provisions of state law, if a corporation undergoes an “ownership change,” which is generally defined as an increase of more than 50% of the value of the Company’s stock owned by certain “5-percent shareholders,” as such term is defined in Section 382 of the Code, in its equity ownership over a rolling three-year period, the corporation’s ability to use its pre-change NOLs and other pre-change tax attributes to offset its post-change income or taxes may be limited.</w:t>
      </w:r>
    </w:p>
    <w:p>
      <w:pPr>
        <w:spacing w:after="0" w:line="192"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In September 2020, our Board of Directors adopted a Section 382 Rights Agreement (the “Rights Agreement”), between the Company and Computershare Trust Company, N.A., as rights agent, and declared a dividend of one Right for each outstanding share of common stock of the Company outstanding on the record date of October 2, 2020, to the stockholders of record on that date. The Rights Agreement is designed to facilitate the Company’s ability to protect its NOLs and certain other tax attributes in order to be able to offset potential future income taxes for federal income tax purposes. The Rights Agreement may make it more difficult for the Company to undergo an ownership change by deterring a third party from acquiring 4.9% or more of the shares of our common stock. This may adversely affect the marketability of our common stock by discouraging any individual, firm, corporation, partnership or other person or group of affiliated or associated persons from acquiring beneficial ownership of 4.9% or more shares of our common stock then outstanding. In addition, although the Rights Agreement is intended to reduce the likelihood of an ownership change that could adversely affect utilization of our NOLs, there is no assurance that the Rights Agreement will prevent all transfers that could result in such an ownership change. We may experience ownership changes in the future as a result of subsequent shifts in our common stock ownership, some of which may be outside of our control. In addition, pursuant to the terms of the Rights Agreement, our Board of Directors may determine that it is in the best interests of the Company to exempt certain transactions, that could result in an ownership change, from triggering the Rights Agreement. If an ownership change occurs and our ability to use our NOLs is materially limited, it would harm our future operating results by effectively increasing our future tax obligations.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180" w:firstLine="432"/>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Delaware law, and certain provisions in our existing and any future credit facility could discourage, delay or prevent a change in control of our company and may affect the trading price of our common stock.</w:t>
      </w:r>
    </w:p>
    <w:p>
      <w:pPr>
        <w:spacing w:after="0" w:line="38" w:lineRule="exact"/>
        <w:rPr>
          <w:sz w:val="20"/>
          <w:szCs w:val="20"/>
          <w:color w:val="auto"/>
        </w:rPr>
      </w:pPr>
    </w:p>
    <w:p>
      <w:pPr>
        <w:ind w:right="40" w:firstLine="589"/>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include a number of provisions that may discourage, delay or prevent a change in our management or control over us that stockholders may consider favorable. These provisions include:</w:t>
      </w:r>
    </w:p>
    <w:p>
      <w:pPr>
        <w:spacing w:after="0" w:line="38"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Authorization of the issuance of “blank check” preferred stock that could be issued by our Board of Directors to thwart a takeover attempt;</w:t>
      </w:r>
    </w:p>
    <w:p>
      <w:pPr>
        <w:spacing w:after="0" w:line="128" w:lineRule="exact"/>
        <w:rPr>
          <w:rFonts w:ascii="Arial" w:cs="Arial" w:eastAsia="Arial" w:hAnsi="Arial"/>
          <w:sz w:val="17"/>
          <w:szCs w:val="17"/>
          <w:color w:val="auto"/>
        </w:rPr>
      </w:pPr>
    </w:p>
    <w:p>
      <w:pPr>
        <w:ind w:left="880" w:right="260" w:hanging="440"/>
        <w:spacing w:after="0" w:line="342"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Establishment of a classified Board of Directors, as a result of which our board will be divided into three classes, with each class serving for staggered three-year terms, which prevents stockholders from electing an entirely new Board of Directors at an annual meeting;</w:t>
      </w:r>
    </w:p>
    <w:p>
      <w:pPr>
        <w:spacing w:after="0" w:line="15" w:lineRule="exact"/>
        <w:rPr>
          <w:rFonts w:ascii="Arial" w:cs="Arial" w:eastAsia="Arial" w:hAnsi="Arial"/>
          <w:sz w:val="16"/>
          <w:szCs w:val="16"/>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that directors only be removed from office for cause and only upon a supermajority stockholder vote;</w:t>
      </w:r>
    </w:p>
    <w:p>
      <w:pPr>
        <w:spacing w:after="0" w:line="117"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provision that vacancies on the Board of Directors, including newly-created directorships, may be filled only by a majority vote of directors then in office;</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limitation on who may call special meetings of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thereby requiring all actions to be taken at a meeting of the stockholders; and</w:t>
      </w:r>
    </w:p>
    <w:p>
      <w:pPr>
        <w:spacing w:after="0" w:line="128" w:lineRule="exact"/>
        <w:rPr>
          <w:rFonts w:ascii="Arial" w:cs="Arial" w:eastAsia="Arial" w:hAnsi="Arial"/>
          <w:sz w:val="17"/>
          <w:szCs w:val="17"/>
          <w:color w:val="auto"/>
        </w:rPr>
      </w:pPr>
    </w:p>
    <w:p>
      <w:pPr>
        <w:ind w:left="880" w:right="20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of supermajority stockholder voting to effect certain amendments to our amended and restated certificate of incorporation and amended and restated bylaws.</w:t>
      </w:r>
    </w:p>
    <w:p>
      <w:pPr>
        <w:spacing w:after="0" w:line="170"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Additionally, our Board of Directors adopted the Rights Agreement, which is intended to reduce the likelihood of an ownership change under Section 382 of the Code by deterring a third party from acquiring 4.9% or more of our shares of common stock then outstanding. The Rights Agreement, as well as the provisions described above, may prevent our stockholders from receiving the benefit from any premium to the market price of our common stock offered by a bidder in a takeover context. Even in the absence of a takeover attempt, the existence of the Rights Agreement or such provisions may adversely affect the prevailing market price of our common stock if viewed as discouraging takeover attempts in the future.</w:t>
      </w:r>
    </w:p>
    <w:p>
      <w:pPr>
        <w:spacing w:after="0" w:line="176" w:lineRule="exact"/>
        <w:rPr>
          <w:sz w:val="20"/>
          <w:szCs w:val="20"/>
          <w:color w:val="auto"/>
        </w:rPr>
      </w:pPr>
    </w:p>
    <w:p>
      <w:pPr>
        <w:ind w:right="300" w:firstLine="589"/>
        <w:spacing w:after="0" w:line="311" w:lineRule="auto"/>
        <w:rPr>
          <w:sz w:val="20"/>
          <w:szCs w:val="20"/>
          <w:color w:val="auto"/>
        </w:rPr>
      </w:pPr>
      <w:r>
        <w:rPr>
          <w:rFonts w:ascii="Arial" w:cs="Arial" w:eastAsia="Arial" w:hAnsi="Arial"/>
          <w:sz w:val="16"/>
          <w:szCs w:val="16"/>
          <w:color w:val="auto"/>
        </w:rPr>
        <w:t>The Rights Agreement as well as the provisions of our amended and restated certificate of incorporation and amended and restated bylaws may also make it difficult for stockholders to replace or remove our management or Board of Directors. These provisions may facilitate management entrenchment that may delay, deter, render more difficult or prevent a change in our control, which may not be in the best interests of our stockholders.</w:t>
      </w:r>
    </w:p>
    <w:p>
      <w:pPr>
        <w:spacing w:after="0" w:line="149"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The terms of the 2024 Senior Secured Notes and the 2022 Convertible Notes require our subsidiaries or us, respectively, to repurchase the 2024 Senior Secured Notes or the 2022 Convertible Notes, respectively, in the event of a change of control. A takeover of our company would trigger an option of the holders of the 2024 Senior Secured Notes and the 2022 Convertible Notes to require our subsidiaries or us, respectively, to repurchase the 2024 Senior Secured Notes or the 2022 Convertible Notes, respectively. In addition, under the terms of the ABL Credit Agreement, a takeover of our company would allow the administrative agent and/or the lenders to terminate their commitments under the ABL Credit Agreement and declare any and all outstanding amounts to be due and payable. These provisions may have the effect of delaying or preventing a takeover of our company that would otherwise be beneficial to our stockholders.</w:t>
      </w:r>
    </w:p>
    <w:p>
      <w:pPr>
        <w:spacing w:after="0" w:line="30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b w:val="1"/>
          <w:bCs w:val="1"/>
          <w:i w:val="1"/>
          <w:iCs w:val="1"/>
          <w:color w:val="auto"/>
        </w:rPr>
        <w:t>Our corporate charter and bylaws include provisions limiting ownership by non-U.S. citizens, including the power of our Board of Directors to redeem shares of our common stock from non-U.S. citizens.</w:t>
      </w:r>
    </w:p>
    <w:p>
      <w:pPr>
        <w:spacing w:after="0" w:line="62"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The Communications Act and FCC regulations impose restrictions on foreign ownership of FCC licensees, as described in the above risk factor, “—</w:t>
      </w:r>
      <w:r>
        <w:rPr>
          <w:rFonts w:ascii="Arial" w:cs="Arial" w:eastAsia="Arial" w:hAnsi="Arial"/>
          <w:sz w:val="16"/>
          <w:szCs w:val="16"/>
          <w:i w:val="1"/>
          <w:iCs w:val="1"/>
          <w:color w:val="auto"/>
        </w:rPr>
        <w:t>Risks Related to Our Technology and Intellectual Property—If we fail to comply with the Communications Act and FCC regulations limiting ownership</w:t>
      </w:r>
      <w:r>
        <w:rPr>
          <w:rFonts w:ascii="Arial" w:cs="Arial" w:eastAsia="Arial" w:hAnsi="Arial"/>
          <w:sz w:val="16"/>
          <w:szCs w:val="16"/>
          <w:color w:val="auto"/>
        </w:rPr>
        <w:t xml:space="preserve"> </w:t>
      </w:r>
      <w:r>
        <w:rPr>
          <w:rFonts w:ascii="Arial" w:cs="Arial" w:eastAsia="Arial" w:hAnsi="Arial"/>
          <w:sz w:val="16"/>
          <w:szCs w:val="16"/>
          <w:i w:val="1"/>
          <w:iCs w:val="1"/>
          <w:color w:val="auto"/>
        </w:rPr>
        <w:t>and voting of our capital stock by non-U.S. persons we could lose our FCC license</w:t>
      </w:r>
      <w:r>
        <w:rPr>
          <w:rFonts w:ascii="Arial" w:cs="Arial" w:eastAsia="Arial" w:hAnsi="Arial"/>
          <w:sz w:val="16"/>
          <w:szCs w:val="16"/>
          <w:color w:val="auto"/>
        </w:rPr>
        <w:t>.” Our corporate charter and bylaws include provisions that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7" w:name="page38"/>
    <w:bookmarkEnd w:id="37"/>
    <w:p>
      <w:pPr>
        <w:ind w:right="120"/>
        <w:spacing w:after="0" w:line="263" w:lineRule="auto"/>
        <w:rPr>
          <w:sz w:val="20"/>
          <w:szCs w:val="20"/>
          <w:color w:val="auto"/>
        </w:rPr>
      </w:pPr>
      <w:r>
        <w:rPr>
          <w:rFonts w:ascii="Arial" w:cs="Arial" w:eastAsia="Arial" w:hAnsi="Arial"/>
          <w:sz w:val="18"/>
          <w:szCs w:val="18"/>
          <w:color w:val="auto"/>
        </w:rPr>
        <w:t>permit our Board of Directors to take certain actions in order to comply with FCC regulations regarding foreign ownership, including but not limited to, a right to redeem shares of common stock from non-U.S. citizens at prices at or below fair market value. Non-U.S. citizens should consider carefully the redemption provisions in our certificate of incorporation prior to investing in our common stock.</w:t>
      </w:r>
    </w:p>
    <w:p>
      <w:pPr>
        <w:spacing w:after="0" w:line="18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These restrictions may also decrease the liquidity and value of our stock by reducing the pool of potential investors in our company and making the acquisition of control of us by third parties more difficult. In addition, these restrictions could adversely affect our ability to attract equity financing or consummate an acquisition of a foreign entity using shares of our capital stock.</w:t>
      </w:r>
    </w:p>
    <w:p>
      <w:pPr>
        <w:spacing w:after="0" w:line="28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Currently, we lease approximately 120,000 square feet for our business in Broomfield, Colorado, under a lease agreement that expires in 2029. In addition, we license approximately 8,200 square feet in Chicago, Illinois for those of our employees who live in the metropolitan Chicago area, pursuant to a license agreement with Intelsat that expires on November 30, 2021 and is renewable by agreement of the parties. Before renewing the license agreement, we plan to explore opportunities to lease other space in the Chicago area. We believe that our existing Broomfield facilities, together with our current Chicago space or such other space in the Chicago area as we determine to lease, will be adequate for the foreseeable future.</w:t>
      </w:r>
    </w:p>
    <w:p>
      <w:pPr>
        <w:spacing w:after="0" w:line="26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b w:val="1"/>
          <w:bCs w:val="1"/>
          <w:color w:val="auto"/>
        </w:rPr>
        <w:t xml:space="preserve">Linksmart Litigation </w:t>
      </w:r>
      <w:r>
        <w:rPr>
          <w:rFonts w:ascii="Arial" w:cs="Arial" w:eastAsia="Arial" w:hAnsi="Arial"/>
          <w:sz w:val="16"/>
          <w:szCs w:val="16"/>
          <w:color w:val="auto"/>
        </w:rPr>
        <w:t>- On April 20, 2018, Linksmart Wireless Technology, LLC filed suit against Gogo Inc., Gogo LLC, our former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entity that operated our CA business (“Gogo LLC”), and eight CA airline partners in the U.S. District Court for the Central District of California alleging that CA’s redirection server and login portal infringe a patent owned by the plaintiff. The suits seek an unspecified amount of damages. Intelsat is required under its contracts with these airlines, which it assumed in the Transaction, to indemnify them for defense costs and any liabilities resulting from the suit. The Court has stayed the suits against the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against the asserted patent in the U.S. Patent and Trademark Office, the Court stayed the litigation against such other defendant, Gogo Inc. and Gogo LLC, but such stay was lifted in July 2019 when the U.S. Patent and Trademark Office determined that the petitioner had not met the standard of proof required to commence the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Since the stay was lifted, discovery has been completed and motion practice continues. No date has been set for trial.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plaintiff’s claims are without merit and intend to continue to defend them vigorously. The outcome of this litigation is inherently uncertain. No amounts have been accrued for any potential losses under this matter, as we cannot reasonably predict the outcome of the litigation or any potential losses.</w:t>
      </w:r>
    </w:p>
    <w:p>
      <w:pPr>
        <w:spacing w:after="0" w:line="163"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b w:val="1"/>
          <w:bCs w:val="1"/>
          <w:color w:val="auto"/>
        </w:rPr>
        <w:t xml:space="preserve">Securities Litigation </w:t>
      </w:r>
      <w:r>
        <w:rPr>
          <w:rFonts w:ascii="Arial" w:cs="Arial" w:eastAsia="Arial" w:hAnsi="Arial"/>
          <w:sz w:val="17"/>
          <w:szCs w:val="17"/>
          <w:color w:val="auto"/>
        </w:rPr>
        <w:t>- On June 27, 2018, a purported stockholder of the Company filed a putative class action lawsuit in the United States District</w:t>
      </w:r>
      <w:r>
        <w:rPr>
          <w:rFonts w:ascii="Arial" w:cs="Arial" w:eastAsia="Arial" w:hAnsi="Arial"/>
          <w:sz w:val="17"/>
          <w:szCs w:val="17"/>
          <w:b w:val="1"/>
          <w:bCs w:val="1"/>
          <w:color w:val="auto"/>
        </w:rPr>
        <w:t xml:space="preserve"> </w:t>
      </w:r>
      <w:r>
        <w:rPr>
          <w:rFonts w:ascii="Arial" w:cs="Arial" w:eastAsia="Arial" w:hAnsi="Arial"/>
          <w:sz w:val="17"/>
          <w:szCs w:val="17"/>
          <w:color w:val="auto"/>
        </w:rPr>
        <w:t>Court for the Northern District of Illinois, Eastern Division styled Pierrelouis v. Gogo Inc., naming the Company, its former Chief Executive Officer and Chief Financial Officer, its current Chief Financial Officer and its then-current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the reliability of and installation and remediation costs associated with CA’s 2Ku antenna.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defendants filed a second amended complaint. In July 2020, plaintiffs filed a motion requesting leave to file a proposed third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8" w:name="page39"/>
    <w:bookmarkEnd w:id="38"/>
    <w:p>
      <w:pPr>
        <w:ind w:right="100"/>
        <w:spacing w:after="0" w:line="255" w:lineRule="auto"/>
        <w:rPr>
          <w:sz w:val="20"/>
          <w:szCs w:val="20"/>
          <w:color w:val="auto"/>
        </w:rPr>
      </w:pPr>
      <w:r>
        <w:rPr>
          <w:rFonts w:ascii="Arial" w:cs="Arial" w:eastAsia="Arial" w:hAnsi="Arial"/>
          <w:sz w:val="18"/>
          <w:szCs w:val="18"/>
          <w:color w:val="auto"/>
        </w:rPr>
        <w:t>amendment complaint, which was granted by the Court. Plaintiffs proceeded to file the third amended complaint in July 2020 and we filed a motion to dismiss in September 2020. That motion has been fully briefed and we await the Court’s ruling. We believe that the claims are without merit and intend to continue to defend them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188"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b w:val="1"/>
          <w:bCs w:val="1"/>
          <w:color w:val="auto"/>
        </w:rPr>
        <w:t xml:space="preserve">Derivative Litigation </w:t>
      </w:r>
      <w:r>
        <w:rPr>
          <w:rFonts w:ascii="Arial" w:cs="Arial" w:eastAsia="Arial" w:hAnsi="Arial"/>
          <w:sz w:val="17"/>
          <w:szCs w:val="17"/>
          <w:color w:val="auto"/>
        </w:rPr>
        <w:t>- On September 25, 2018 and September 26, 2018, two purported stockholders of the Company filed substantively identical</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 compensation paid to current Officers and Directors and excessive severance paid to former Officers. The two lawsuits were consolidated and are stayed until a final disposition of the motion to dismiss in the class action suit. We believe that the claims are without merit and intend to defend them vigorously if the litigation resumes. The plaintiffs seek to recover, on our behalf, an unspecified amount of damages from the individual defendants. We have filed a claim with the issuer of our Directors’ and Officers’ insurance policy with respect to these suits. No amounts have been accrued for any potential costs under this matter, as we cannot reasonably predict the outcome of the litigation or any potential costs.</w:t>
      </w:r>
    </w:p>
    <w:p>
      <w:pPr>
        <w:spacing w:after="0" w:line="183" w:lineRule="exact"/>
        <w:rPr>
          <w:sz w:val="20"/>
          <w:szCs w:val="20"/>
          <w:color w:val="auto"/>
        </w:rPr>
      </w:pPr>
    </w:p>
    <w:p>
      <w:pPr>
        <w:ind w:right="200" w:firstLine="589"/>
        <w:spacing w:after="0" w:line="301"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26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common stock has been listed on the NASDAQ Global Select Market (“NASDAQ”) under the symbol “GOGO” since June 21, 2013.</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As of March 4, 2021, there were 45 stockholders of record of our common stock, and the closing price of our common stock was $11.39 per share as reported on the NASDAQ. Because many of our shares of common stock are held by brokers and other institutions on behalf of stockholders, we are unable to estimate the total number of stockholders represented by these record 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i w:val="1"/>
          <w:iCs w:val="1"/>
          <w:color w:val="auto"/>
        </w:rPr>
        <w:t xml:space="preserve">This performance graph shall not be deemed "soliciting material" or to be "filed" with the SEC for purposes of Section 18 of the Exchange </w:t>
      </w:r>
      <w:r>
        <w:rPr>
          <w:rFonts w:ascii="Arial" w:cs="Arial" w:eastAsia="Arial" w:hAnsi="Arial"/>
          <w:sz w:val="18"/>
          <w:szCs w:val="18"/>
          <w:color w:val="auto"/>
        </w:rPr>
        <w:t>Act</w:t>
      </w:r>
      <w:r>
        <w:rPr>
          <w:rFonts w:ascii="Arial" w:cs="Arial" w:eastAsia="Arial" w:hAnsi="Arial"/>
          <w:sz w:val="18"/>
          <w:szCs w:val="18"/>
          <w:i w:val="1"/>
          <w:iCs w:val="1"/>
          <w:color w:val="auto"/>
        </w:rPr>
        <w:t>, or otherwise subject to the liabilities under that Section, and shall not be deemed to be incorporated by reference into any filing of Gogo Inc. under the Securities Act of 1933, as amended (the “Securities Act”), or the Exchange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both"/>
        <w:ind w:firstLine="589"/>
        <w:spacing w:after="0" w:line="257" w:lineRule="auto"/>
        <w:rPr>
          <w:sz w:val="20"/>
          <w:szCs w:val="20"/>
          <w:color w:val="auto"/>
        </w:rPr>
      </w:pPr>
      <w:r>
        <w:rPr>
          <w:rFonts w:ascii="Arial" w:cs="Arial" w:eastAsia="Arial" w:hAnsi="Arial"/>
          <w:sz w:val="18"/>
          <w:szCs w:val="18"/>
          <w:color w:val="auto"/>
        </w:rPr>
        <w:t>The following graph shows a comparison of cumulative total return for our common stock, the Standard &amp; Poor's 500 Stock Index (“S&amp;P 500”) and the Nasdaq Composite Index (“NASDAQ Composite”) for the period from December 31, 2015 through December 31, 2020, the last trading day of 2020. The graph assumes that $100 was invested at the market close on December 31, 2015 in our common stock, the S&amp;P 500 and the NASDAQ Composite and assumes reinvestments of dividends, if any.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128270</wp:posOffset>
            </wp:positionV>
            <wp:extent cx="4568825" cy="2442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6882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Not applicable. Financial information related to fiscal years 2017 and 2016 may be found in Part II, Item 6. Selected Financial Data in our fiscal 2019 Form 10-K filed with the SEC on March 13, 2020. Please refer to the consolidated financial statements included herein in Part II, Item 8. Financial Statements and Supplementary Data for fiscal year 2020, 2019 and 2018 information.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consolidated financial statements and the related notes contained in this Annual Report on Form 10-K.</w:t>
      </w:r>
    </w:p>
    <w:p>
      <w:pPr>
        <w:spacing w:after="0" w:line="76"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i w:val="1"/>
          <w:iCs w:val="1"/>
          <w:color w:val="auto"/>
        </w:rPr>
        <w:t>On December 1, 2020, we completed the previously announced sale of our commercial aviation (“CA”) business to a subsidiary of Intelsat Jackson Holdings S.A. (“Intelsat”) for a purchase price of $400 million in cash, subject to certain adjustments (the “Transaction”). As a result, all periods presented in our consolidated financial statements and other portions of this Annual Report on Form 10-K have been conformed to present the CA business as discontinued operations.</w:t>
      </w:r>
    </w:p>
    <w:p>
      <w:pPr>
        <w:spacing w:after="0" w:line="79"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this report. Our actual results may differ materially from those contained in or implied by any forward-looking statements.</w:t>
      </w:r>
    </w:p>
    <w:p>
      <w:pPr>
        <w:spacing w:after="0" w:line="79"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i w:val="1"/>
          <w:iCs w:val="1"/>
          <w:color w:val="auto"/>
        </w:rPr>
        <w:t>Our fiscal year ends December 31 and, unless otherwise noted, references to years or fiscal are for fiscal years ended December 31. See “—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Gogo is the world’s largest provider of broadband connectivity services for the 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install and maintain in-flight systems of proprietary hardware and software, and deliver customizable connectivity and wireless entertainment services and global support capabilities to our aviation partners. Our services include satellite-based voice and data services made available through strategic partnerships with satellite providers.</w:t>
      </w:r>
    </w:p>
    <w:p>
      <w:pPr>
        <w:spacing w:after="0" w:line="176"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Our chief operating decision maker evaluates performance and business results for our operations, and makes resource and operating decisions, on a consolidated basis. As such, we do not present segment information 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21"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The COVID-19 pandemic caused a significant decline in international and domestic business aviation travel, which materially and adversely affected our business in 2020. Beginning in March 2020, our business saw a sharp decrease in flight activity, as well as an increase in requests for account suspensions and decreases in new plan activations. Though we continue to see strong signs of recovery from the lows we experienced in mid-April 2020, we expect COVID-19 to continue to negatively impact our business and we are unable to predict how long or with what degree of severity that impact will continue. The impact of the pandemic has varied across different parts of our customer base – for example corporate flight departments, charter operators and commercial aircraft (under the ATG Network Sharing Agreement) – and we expect the pace of recovery to vary by customer type also.</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jc w:val="both"/>
        <w:ind w:right="420" w:firstLine="589"/>
        <w:spacing w:after="0" w:line="263" w:lineRule="auto"/>
        <w:rPr>
          <w:sz w:val="20"/>
          <w:szCs w:val="20"/>
          <w:color w:val="auto"/>
        </w:rPr>
      </w:pPr>
      <w:r>
        <w:rPr>
          <w:rFonts w:ascii="Arial" w:cs="Arial" w:eastAsia="Arial" w:hAnsi="Arial"/>
          <w:sz w:val="18"/>
          <w:szCs w:val="18"/>
          <w:color w:val="auto"/>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76" w:lineRule="exact"/>
        <w:rPr>
          <w:sz w:val="20"/>
          <w:szCs w:val="20"/>
          <w:color w:val="auto"/>
        </w:rPr>
      </w:pPr>
    </w:p>
    <w:p>
      <w:pPr>
        <w:ind w:left="1160" w:right="80" w:hanging="572"/>
        <w:spacing w:after="0" w:line="342" w:lineRule="auto"/>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costs associated with the implementation of, and our ability to implement on a timely basis our technology roadmap, including upgrades to and installation of the ATG technologies we currently offer, Gogo 5G, and any other next generation or other new technology;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left="1160" w:right="180" w:hanging="572"/>
        <w:spacing w:after="0" w:line="263"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manage issues and related costs that may arise in connection with the implementation of our technology roadmap, including technological issues and related remediation efforts and failures or delays on the part of antenna and other equipment developers and providers, some of which are single source;</w:t>
      </w:r>
    </w:p>
    <w:p>
      <w:pPr>
        <w:spacing w:after="0" w:line="75"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license additional spectrum and make other improvements to our network and operations as technology and user expectations change;</w:t>
      </w:r>
    </w:p>
    <w:p>
      <w:pPr>
        <w:spacing w:after="0" w:line="62" w:lineRule="exact"/>
        <w:rPr>
          <w:rFonts w:ascii="Arial" w:cs="Arial" w:eastAsia="Arial" w:hAnsi="Arial"/>
          <w:sz w:val="18"/>
          <w:szCs w:val="18"/>
          <w:color w:val="auto"/>
        </w:rPr>
      </w:pPr>
    </w:p>
    <w:p>
      <w:pPr>
        <w:ind w:left="1160" w:right="72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aircraft in service in our markets, including consolidations or changes in fleet size by one or more of our large-fleet customers;</w:t>
      </w:r>
    </w:p>
    <w:p>
      <w:pPr>
        <w:spacing w:after="0" w:line="62" w:lineRule="exact"/>
        <w:rPr>
          <w:rFonts w:ascii="Arial" w:cs="Arial" w:eastAsia="Arial" w:hAnsi="Arial"/>
          <w:sz w:val="18"/>
          <w:szCs w:val="18"/>
          <w:color w:val="auto"/>
        </w:rPr>
      </w:pPr>
    </w:p>
    <w:p>
      <w:pPr>
        <w:ind w:left="1160" w:right="42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economic environment and other trends that affect both business and leisure aviation travel, including the impact of COVID-19 on restrictions on and demand for air travel, as well as disruptions to supply chains and installations;</w:t>
      </w:r>
    </w:p>
    <w:p>
      <w:pPr>
        <w:spacing w:after="0" w:line="62" w:lineRule="exact"/>
        <w:rPr>
          <w:rFonts w:ascii="Arial" w:cs="Arial" w:eastAsia="Arial" w:hAnsi="Arial"/>
          <w:sz w:val="18"/>
          <w:szCs w:val="18"/>
          <w:color w:val="auto"/>
        </w:rPr>
      </w:pPr>
    </w:p>
    <w:p>
      <w:pPr>
        <w:ind w:left="1160" w:right="380" w:hanging="572"/>
        <w:spacing w:after="0" w:line="263"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engage suppliers of equipment components and network services on a timely basis and on commercially reasonable terms;</w:t>
      </w:r>
    </w:p>
    <w:p>
      <w:pPr>
        <w:spacing w:after="0" w:line="140" w:lineRule="exact"/>
        <w:rPr>
          <w:rFonts w:ascii="Arial" w:cs="Arial" w:eastAsia="Arial" w:hAnsi="Arial"/>
          <w:sz w:val="16"/>
          <w:szCs w:val="16"/>
          <w:color w:val="auto"/>
        </w:rPr>
      </w:pPr>
    </w:p>
    <w:p>
      <w:pPr>
        <w:ind w:left="1160" w:right="40" w:hanging="572"/>
        <w:spacing w:after="0" w:line="263"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expand our service offerings and manage our network; and</w:t>
      </w:r>
    </w:p>
    <w:p>
      <w:pPr>
        <w:spacing w:after="0" w:line="75" w:lineRule="exact"/>
        <w:rPr>
          <w:rFonts w:ascii="Arial" w:cs="Arial" w:eastAsia="Arial" w:hAnsi="Arial"/>
          <w:sz w:val="18"/>
          <w:szCs w:val="18"/>
          <w:color w:val="auto"/>
        </w:rPr>
      </w:pPr>
    </w:p>
    <w:p>
      <w:pPr>
        <w:ind w:left="1160" w:right="440" w:hanging="572"/>
        <w:spacing w:after="0" w:line="308" w:lineRule="auto"/>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laws, regulations and policies affecting our business or the business of our customers and suppliers, including changes that impact the design of our equipment and our ability to obtain required certifications for our equipment.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59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Aircraft online (at period end)</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29"/>
        </w:trPr>
        <w:tc>
          <w:tcPr>
            <w:tcW w:w="5940" w:type="dxa"/>
            <w:vAlign w:val="bottom"/>
          </w:tcPr>
          <w:p>
            <w:pPr>
              <w:ind w:left="380"/>
              <w:spacing w:after="0"/>
              <w:rPr>
                <w:sz w:val="20"/>
                <w:szCs w:val="20"/>
                <w:color w:val="auto"/>
              </w:rPr>
            </w:pPr>
            <w:r>
              <w:rPr>
                <w:rFonts w:ascii="Arial" w:cs="Arial" w:eastAsia="Arial" w:hAnsi="Arial"/>
                <w:sz w:val="18"/>
                <w:szCs w:val="18"/>
                <w:color w:val="auto"/>
              </w:rPr>
              <w:t>ATG</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5,224</w:t>
            </w:r>
          </w:p>
        </w:tc>
      </w:tr>
      <w:tr>
        <w:trPr>
          <w:trHeight w:val="230"/>
        </w:trPr>
        <w:tc>
          <w:tcPr>
            <w:tcW w:w="5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Satellite</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4,702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5,124</w:t>
            </w: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Average monthly connectivity service revenue per aircraft online</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ATG</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2,951</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3,113</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3,027</w:t>
            </w: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Satellite</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243</w:t>
            </w: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Units sold</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ATG</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1,062</w:t>
            </w:r>
          </w:p>
        </w:tc>
      </w:tr>
      <w:tr>
        <w:trPr>
          <w:trHeight w:val="230"/>
        </w:trPr>
        <w:tc>
          <w:tcPr>
            <w:tcW w:w="5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Satellite</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460</w:t>
            </w: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Average equipment revenue per unit sold (in thousands)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ATG</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66</w:t>
            </w: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Satellite</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3373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54" w:lineRule="exact"/>
        <w:rPr>
          <w:sz w:val="20"/>
          <w:szCs w:val="20"/>
          <w:color w:val="auto"/>
        </w:rPr>
      </w:pPr>
    </w:p>
    <w:p>
      <w:pPr>
        <w:jc w:val="both"/>
        <w:ind w:left="1160" w:right="280" w:hanging="572"/>
        <w:spacing w:after="0" w:line="263"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ATG aircraft online. </w:t>
      </w:r>
      <w:r>
        <w:rPr>
          <w:rFonts w:ascii="Arial" w:cs="Arial" w:eastAsia="Arial" w:hAnsi="Arial"/>
          <w:sz w:val="18"/>
          <w:szCs w:val="18"/>
          <w:color w:val="auto"/>
        </w:rPr>
        <w:t>We define ATG aircraft online as the total number of business aircraft for which we provide ATG services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last day of each period presented. This number excludes aircraft receiving ATG service as part of the ATG Network Sharing Agreement with Intelsat.</w:t>
      </w:r>
    </w:p>
    <w:p>
      <w:pPr>
        <w:spacing w:after="0" w:line="75"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Satellite aircraft online</w:t>
      </w:r>
      <w:r>
        <w:rPr>
          <w:rFonts w:ascii="Arial" w:cs="Arial" w:eastAsia="Arial" w:hAnsi="Arial"/>
          <w:sz w:val="18"/>
          <w:szCs w:val="18"/>
          <w:color w:val="auto"/>
        </w:rPr>
        <w:t>. We define satellite aircraft online as the total number of business aircraft for which we provide satellite services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last day of each period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left="1160" w:hanging="572"/>
        <w:spacing w:after="0" w:line="279" w:lineRule="auto"/>
        <w:tabs>
          <w:tab w:leader="none" w:pos="11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Average monthly connectivity service revenue per ATG aircraft online. </w:t>
      </w:r>
      <w:r>
        <w:rPr>
          <w:rFonts w:ascii="Arial" w:cs="Arial" w:eastAsia="Arial" w:hAnsi="Arial"/>
          <w:sz w:val="17"/>
          <w:szCs w:val="17"/>
          <w:color w:val="auto"/>
        </w:rPr>
        <w:t>We define average monthly connectivity service revenue per ATG</w:t>
      </w:r>
      <w:r>
        <w:rPr>
          <w:rFonts w:ascii="Arial" w:cs="Arial" w:eastAsia="Arial" w:hAnsi="Arial"/>
          <w:sz w:val="17"/>
          <w:szCs w:val="17"/>
          <w:i w:val="1"/>
          <w:iCs w:val="1"/>
          <w:color w:val="auto"/>
        </w:rPr>
        <w:t xml:space="preserve"> </w:t>
      </w:r>
      <w:r>
        <w:rPr>
          <w:rFonts w:ascii="Arial" w:cs="Arial" w:eastAsia="Arial" w:hAnsi="Arial"/>
          <w:sz w:val="17"/>
          <w:szCs w:val="17"/>
          <w:color w:val="auto"/>
        </w:rPr>
        <w:t>aircraft online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the ATG Network Sharing Agreement with Intelsat is excluded from this calculation.</w:t>
      </w:r>
    </w:p>
    <w:p>
      <w:pPr>
        <w:spacing w:after="0" w:line="63" w:lineRule="exact"/>
        <w:rPr>
          <w:rFonts w:ascii="Arial" w:cs="Arial" w:eastAsia="Arial" w:hAnsi="Arial"/>
          <w:sz w:val="17"/>
          <w:szCs w:val="17"/>
          <w:color w:val="auto"/>
        </w:rPr>
      </w:pPr>
    </w:p>
    <w:p>
      <w:pPr>
        <w:jc w:val="both"/>
        <w:ind w:left="1160" w:hanging="572"/>
        <w:spacing w:after="0" w:line="286" w:lineRule="auto"/>
        <w:tabs>
          <w:tab w:leader="none" w:pos="11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Average monthly service revenue per satellite aircraft online</w:t>
      </w:r>
      <w:r>
        <w:rPr>
          <w:rFonts w:ascii="Arial" w:cs="Arial" w:eastAsia="Arial" w:hAnsi="Arial"/>
          <w:sz w:val="17"/>
          <w:szCs w:val="17"/>
          <w:color w:val="auto"/>
        </w:rPr>
        <w:t>. We define average monthly service revenue per satellite aircraft online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satellite service revenue for the period divided by the number of months in the period, divided by the number of satellite aircraft online during the period (expressed as an average of the month end figures for each month in such period).</w:t>
      </w:r>
    </w:p>
    <w:p>
      <w:pPr>
        <w:spacing w:after="0" w:line="57" w:lineRule="exact"/>
        <w:rPr>
          <w:rFonts w:ascii="Arial" w:cs="Arial" w:eastAsia="Arial" w:hAnsi="Arial"/>
          <w:sz w:val="17"/>
          <w:szCs w:val="17"/>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Units sold</w:t>
      </w:r>
      <w:r>
        <w:rPr>
          <w:rFonts w:ascii="Arial" w:cs="Arial" w:eastAsia="Arial" w:hAnsi="Arial"/>
          <w:sz w:val="18"/>
          <w:szCs w:val="18"/>
          <w:color w:val="auto"/>
        </w:rPr>
        <w:t>. We define units sold as the number of ATG or satellite units for which we recognized revenue during the period.</w:t>
      </w:r>
    </w:p>
    <w:p>
      <w:pPr>
        <w:spacing w:after="0" w:line="117"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Average equipment revenue per ATG unit sold. </w:t>
      </w:r>
      <w:r>
        <w:rPr>
          <w:rFonts w:ascii="Arial" w:cs="Arial" w:eastAsia="Arial" w:hAnsi="Arial"/>
          <w:sz w:val="18"/>
          <w:szCs w:val="18"/>
          <w:color w:val="auto"/>
        </w:rPr>
        <w:t>We define average equipment revenue per ATG unit sold as the aggregate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all ATG units sold during the period, divided by the number of ATG units sold.</w:t>
      </w:r>
    </w:p>
    <w:p>
      <w:pPr>
        <w:spacing w:after="0" w:line="62" w:lineRule="exact"/>
        <w:rPr>
          <w:rFonts w:ascii="Arial" w:cs="Arial" w:eastAsia="Arial" w:hAnsi="Arial"/>
          <w:sz w:val="18"/>
          <w:szCs w:val="18"/>
          <w:color w:val="auto"/>
        </w:rPr>
      </w:pPr>
    </w:p>
    <w:p>
      <w:pPr>
        <w:ind w:left="1160" w:right="20" w:hanging="572"/>
        <w:spacing w:after="0" w:line="308" w:lineRule="auto"/>
        <w:tabs>
          <w:tab w:leader="none" w:pos="11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Average equipment revenue per satellite unit sold</w:t>
      </w:r>
      <w:r>
        <w:rPr>
          <w:rFonts w:ascii="Arial" w:cs="Arial" w:eastAsia="Arial" w:hAnsi="Arial"/>
          <w:sz w:val="17"/>
          <w:szCs w:val="17"/>
          <w:color w:val="auto"/>
        </w:rPr>
        <w:t>. We define average equipment revenue per satellite unit sold as the aggregate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earned from all satellite units sold during the period, divided by the number of satellite units sold.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21"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As a result of the Transaction, all periods presented in this Form 10-K have been conformed to present the CA business as a discontinued operation. We report the financial results of discontinued operations separately from continuing operations to distinguish the financial impact of disposal transactions from ongoing operations. The results of operations and cash flows of a discontinued operation are restated for all comparative periods presented. Refer to Note 2, “Discontinued Operations,” to our consolidated financial statements for further information.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briefly describes certain key components of revenue and expenses as presented in our consolidated statements of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generate two types of revenue: service revenue and equipment revenue.</w:t>
      </w:r>
    </w:p>
    <w:p>
      <w:pPr>
        <w:spacing w:after="0" w:line="225"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Service revenue primarily consists of monthly subscription and usage fees paid by aircraft owners and operators for telecommunication, data, and in-flight entertainment services. Service revenue is recognized as the services are provided to the customer. Beginning December 2020, service revenue includes revenue earned from the ATG Network Sharing Agreement with Intelsat.</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Equipment revenue primarily consists of proceeds from the sale of ATG and satellite connectivity equipment and entertainment equipment.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Equipment revenue is generally recognized when the equipment is shipped to OEMs and dealers.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Cost of service revenue consists of ATG network costs, satellite provider service costs, transaction costs and costs related to network operations.</w:t>
      </w:r>
    </w:p>
    <w:p>
      <w:pPr>
        <w:spacing w:after="0" w:line="248" w:lineRule="exact"/>
        <w:rPr>
          <w:sz w:val="20"/>
          <w:szCs w:val="20"/>
          <w:color w:val="auto"/>
        </w:rPr>
      </w:pPr>
    </w:p>
    <w:p>
      <w:pPr>
        <w:ind w:right="240" w:firstLine="589"/>
        <w:spacing w:after="0" w:line="279" w:lineRule="auto"/>
        <w:rPr>
          <w:sz w:val="20"/>
          <w:szCs w:val="20"/>
          <w:color w:val="auto"/>
        </w:rPr>
      </w:pPr>
      <w:r>
        <w:rPr>
          <w:rFonts w:ascii="Arial" w:cs="Arial" w:eastAsia="Arial" w:hAnsi="Arial"/>
          <w:sz w:val="17"/>
          <w:szCs w:val="17"/>
          <w:color w:val="auto"/>
        </w:rPr>
        <w:t>Before closing the Transaction, we operated two divisions – business aviation (“BA”) and commercial aviation (“CA”). In January 2019, BA assumed responsibility for operating and maintaining our ATG network and was allocated the majority of the ATG network costs incurred in fiscal year 2019. In January 2020, we adopted a new allocation methodology for the ATG network costs utilizing pricing and usage for each of CA and BA. This allocation methodology has been applied retrospectively to prior periods presented as the CA business is reported in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discontinued operations. Since the completion of the Transaction, we ceased allocating ATG network costs to the divested CA business.</w:t>
      </w:r>
    </w:p>
    <w:p>
      <w:pPr>
        <w:spacing w:after="0" w:line="225" w:lineRule="exact"/>
        <w:rPr>
          <w:sz w:val="20"/>
          <w:szCs w:val="20"/>
          <w:color w:val="auto"/>
        </w:rPr>
      </w:pPr>
    </w:p>
    <w:p>
      <w:pPr>
        <w:ind w:right="600" w:firstLine="589"/>
        <w:spacing w:after="0" w:line="277" w:lineRule="auto"/>
        <w:rPr>
          <w:sz w:val="20"/>
          <w:szCs w:val="20"/>
          <w:color w:val="auto"/>
        </w:rPr>
      </w:pPr>
      <w:r>
        <w:rPr>
          <w:rFonts w:ascii="Arial" w:cs="Arial" w:eastAsia="Arial" w:hAnsi="Arial"/>
          <w:sz w:val="18"/>
          <w:szCs w:val="18"/>
          <w:color w:val="auto"/>
        </w:rPr>
        <w:t>Cost of equipment revenue primarily consists of the costs of purchasing component parts used in the manufacture of our equipment and the production, installation, technical support and quality assurance costs associated with the equipment sales.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Design and Development Expenses:</w:t>
      </w:r>
    </w:p>
    <w:p>
      <w:pPr>
        <w:spacing w:after="0" w:line="117"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color w:val="auto"/>
        </w:rPr>
        <w:t>Engineering, design and development expenses include the costs incurred to design and develop our technologies and products and to obtain and maintain FAA and other regulatory certifications. This includes the design, development and integration of our ATG ground networks and airborne line replaceable units, the design and development of products and enhancements thereto, and program management activities. Engineering, design and development expenses also include costs associated with enhancements to existing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right="120" w:firstLine="589"/>
        <w:spacing w:after="0" w:line="308" w:lineRule="auto"/>
        <w:rPr>
          <w:sz w:val="20"/>
          <w:szCs w:val="20"/>
          <w:color w:val="auto"/>
        </w:rPr>
      </w:pPr>
      <w:r>
        <w:rPr>
          <w:rFonts w:ascii="Arial" w:cs="Arial" w:eastAsia="Arial" w:hAnsi="Arial"/>
          <w:sz w:val="17"/>
          <w:szCs w:val="17"/>
          <w:color w:val="auto"/>
        </w:rPr>
        <w:t>Sales and marketing expenses consist of costs associated with activities related to customer sales (including sales commissions), digital marketing and lead generation, advertising and promotions, product management, trade shows and customer service support for end users.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General and administrative expenses include personnel and related operating costs of the business support functions, including finance and accounting, legal, human resources, administrative, information technology, facilities and executive groups.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Depreciation expense includes expense associated with the depreciation of our network equipment, office equipment, furniture, fixtures and leasehold improvements, which is recorded over their estimated useful lives. Amortization expense includes the amortization of our finite-lived intangible assets on a straight-line basis over their estimated useful lives, which range from three to ten years depending on the assets being amortized.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of America (“GAAP”). The preparation of our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166"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We believe that the following accounting estimates are the most critical to aid in fully understanding and evaluating our reported financial results, and that they require our most difficult, subjective or complex judgments, resulting from the need to make estimates. For a discussion of our significant accounting policies to which many of these critical estimates relate, see Note 3, “Summary of Significant Accounting Policies,” to our consolidated financial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firstLine="589"/>
        <w:spacing w:after="0" w:line="263" w:lineRule="auto"/>
        <w:rPr>
          <w:sz w:val="20"/>
          <w:szCs w:val="20"/>
          <w:color w:val="auto"/>
        </w:rPr>
      </w:pPr>
      <w:r>
        <w:rPr>
          <w:rFonts w:ascii="Arial" w:cs="Arial" w:eastAsia="Arial" w:hAnsi="Arial"/>
          <w:sz w:val="18"/>
          <w:szCs w:val="18"/>
          <w:color w:val="auto"/>
        </w:rPr>
        <w:t>We believe that the assumptions and estimates associated with revenue recognition, indefinite-lived intangible assets and stock-based compensation expense have the greatest potential impact on our consolidated financial statements. Therefore, we consider these to be our critical accounting policies and estimates.</w:t>
      </w:r>
    </w:p>
    <w:p>
      <w:pPr>
        <w:spacing w:after="0" w:line="184" w:lineRule="exact"/>
        <w:rPr>
          <w:sz w:val="20"/>
          <w:szCs w:val="20"/>
          <w:color w:val="auto"/>
        </w:rPr>
      </w:pPr>
    </w:p>
    <w:p>
      <w:pPr>
        <w:ind w:right="740" w:firstLine="589"/>
        <w:spacing w:after="0" w:line="277" w:lineRule="auto"/>
        <w:rPr>
          <w:sz w:val="20"/>
          <w:szCs w:val="20"/>
          <w:color w:val="auto"/>
        </w:rPr>
      </w:pPr>
      <w:r>
        <w:rPr>
          <w:rFonts w:ascii="Arial" w:cs="Arial" w:eastAsia="Arial" w:hAnsi="Arial"/>
          <w:sz w:val="18"/>
          <w:szCs w:val="18"/>
          <w:color w:val="auto"/>
        </w:rPr>
        <w:t>Note that these critical accounting policies and estimates relate solely to our continuing operations. The accounting policies related to our discontinued operations are discussed in Note 2, “Discontinued Operations,” to our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We account for revenue in accordance with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03" w:lineRule="exact"/>
        <w:rPr>
          <w:sz w:val="20"/>
          <w:szCs w:val="20"/>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Recognition of revenue as we satisfy the performance obligations.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5, “Revenue Recognition,” to our consolidated financial statements for additional information.</w:t>
      </w:r>
    </w:p>
    <w:p>
      <w:pPr>
        <w:spacing w:after="0" w:line="225"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We sell airborne telecommunications equipment to OEMs and dealers, who purchase the equipment based on their planned production or aftermarket sales, or in some cases based on specific orders made by aircraft owners and operators. These distribution partners resell the equipment and install the equipment for the aircraft owners and operators. Revenue for equipment sales to distribution partners is recognized upon shipment of equipment after an executed contract, purchase order or other documented agreement has been received and control of the equipment has transferred.</w:t>
      </w:r>
    </w:p>
    <w:p>
      <w:pPr>
        <w:spacing w:after="0" w:line="157"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We also provide connectivity, entertainment and voice services to the owners and operators of business aircraft for a monthly subscription fee or a usage-based fee. These services are typically contracted for a one-year period and automatically renew unless cancelled at the end of the service period. Revenue is recognized on a monthly basis as services are provided.</w:t>
      </w:r>
    </w:p>
    <w:p>
      <w:pPr>
        <w:spacing w:after="0" w:line="184"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In all cases, we evaluate whether a contract exists as it relates to collectability of the contract. Once a contract is deemed to exist, we evaluate the transaction price and deliverables under the contract.</w:t>
      </w:r>
    </w:p>
    <w:p>
      <w:pPr>
        <w:spacing w:after="0" w:line="170" w:lineRule="exact"/>
        <w:rPr>
          <w:sz w:val="20"/>
          <w:szCs w:val="20"/>
          <w:color w:val="auto"/>
        </w:rPr>
      </w:pPr>
    </w:p>
    <w:p>
      <w:pPr>
        <w:jc w:val="both"/>
        <w:ind w:right="460" w:firstLine="589"/>
        <w:spacing w:after="0" w:line="311" w:lineRule="auto"/>
        <w:rPr>
          <w:sz w:val="20"/>
          <w:szCs w:val="20"/>
          <w:color w:val="auto"/>
        </w:rPr>
      </w:pPr>
      <w:r>
        <w:rPr>
          <w:rFonts w:ascii="Arial" w:cs="Arial" w:eastAsia="Arial" w:hAnsi="Arial"/>
          <w:sz w:val="16"/>
          <w:szCs w:val="16"/>
          <w:color w:val="auto"/>
        </w:rPr>
        <w:t>A limited number of contracts contain multiple equipment and service deliverables. For these contracts, we account for each distinct good or service as a separate performance obligation. We allocate the contract’s transaction price to each performance obligation using the relative standalone selling price, which is based on the actual selling price for any good or service sold separately to a similar class of customer.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 xml:space="preserve">We account for our indefinite-lived intangible assets in accordance with Accounting Standards Codification Topic 350-40, </w:t>
      </w:r>
      <w:r>
        <w:rPr>
          <w:rFonts w:ascii="Arial" w:cs="Arial" w:eastAsia="Arial" w:hAnsi="Arial"/>
          <w:sz w:val="18"/>
          <w:szCs w:val="18"/>
          <w:i w:val="1"/>
          <w:iCs w:val="1"/>
          <w:color w:val="auto"/>
        </w:rPr>
        <w:t>Intangibles-Goodwill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w:t>
      </w:r>
      <w:r>
        <w:rPr>
          <w:rFonts w:ascii="Arial" w:cs="Arial" w:eastAsia="Arial" w:hAnsi="Arial"/>
          <w:sz w:val="18"/>
          <w:szCs w:val="18"/>
          <w:color w:val="auto"/>
        </w:rPr>
        <w:t>(“ASC 350-40”).</w:t>
      </w:r>
    </w:p>
    <w:p>
      <w:pPr>
        <w:spacing w:after="0" w:line="17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Our indefinite-lived intangible assets consist of our FCC spectrum licenses. Indefinite-lived intangible assets are not amortized but are reviewed for impairment at least annually or whenever events indicate that the carrying amount of such assets may not be recoverable. We perform our annual impairment test during the fourth quarter of each fiscal year. We assess qualitative factors to determine the likelihood of impairment. Our qualitative analysis includes, but is not limited to, assessing the changes in macroeconomic conditions, regulatory environment, industry and market</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conditions or events, such as COVID-19, financial performance versus budget and any other events or circumstances specific to the FCC licenses. If it is more likely than not that the fair value of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right="180"/>
        <w:spacing w:after="0" w:line="308" w:lineRule="auto"/>
        <w:rPr>
          <w:sz w:val="20"/>
          <w:szCs w:val="20"/>
          <w:color w:val="auto"/>
        </w:rPr>
      </w:pPr>
      <w:r>
        <w:rPr>
          <w:rFonts w:ascii="Arial" w:cs="Arial" w:eastAsia="Arial" w:hAnsi="Arial"/>
          <w:sz w:val="17"/>
          <w:szCs w:val="17"/>
          <w:color w:val="auto"/>
        </w:rPr>
        <w:t>FCC spectrum licenses is greater than the carrying value, no further testing is required. Otherwise, we apply the quantitative impairment test method. We determined that the income approach, utilizing the Greenfield method, is the most appropriate way to value our indefinite-lived assets.</w:t>
      </w:r>
    </w:p>
    <w:p>
      <w:pPr>
        <w:spacing w:after="0" w:line="146"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For the Greenfield method we estimate the value of our FCC spectrum licenses by calculating the present value of the cash flows of a hypothetical new market participant whose only assets are such licenses to determine the fair value of the FCC licenses. It includes all necessary costs and expenses to build the company’s infrastructure during the start-up period, projected revenue, and cash flows once the infrastructure is completed. Since there is limited corroborating data available in the marketplace that would demonstrate a market participant’s experience in establishing an “air-to-ground” business, we utilize our historic results and future projections as the underlying basis for the application of the Greenfield method. We follow the traditional discounted cash flow method, calculating the present value of a new market participant’s estimated debt free cash flows, based on our historical weighted average cost of capital adjusted to reflect the cost of capital for a new market participant.</w:t>
      </w:r>
    </w:p>
    <w:p>
      <w:pPr>
        <w:spacing w:after="0" w:line="177"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Our impairment calculations contain uncertainties, including the impact of COVID-19, because they require management to make assumptions and to apply judgment to estimate future projected cash flows and estimated growth rates and discount rates, as well as new market participant assumptions. Estimates of future projected cash flows used in connection with the discounted cash flow analysis were consistent with the plans and estimates that we used to manage the business, including estimates of the impact of COVID-19, although there was inherent uncertainty in these estimates.</w:t>
      </w:r>
    </w:p>
    <w:p>
      <w:pPr>
        <w:spacing w:after="0" w:line="157" w:lineRule="exact"/>
        <w:rPr>
          <w:sz w:val="20"/>
          <w:szCs w:val="20"/>
          <w:color w:val="auto"/>
        </w:rPr>
      </w:pPr>
    </w:p>
    <w:p>
      <w:pPr>
        <w:ind w:right="20" w:firstLine="589"/>
        <w:spacing w:after="0" w:line="308" w:lineRule="auto"/>
        <w:rPr>
          <w:sz w:val="20"/>
          <w:szCs w:val="20"/>
          <w:color w:val="auto"/>
        </w:rPr>
      </w:pPr>
      <w:r>
        <w:rPr>
          <w:rFonts w:ascii="Arial" w:cs="Arial" w:eastAsia="Arial" w:hAnsi="Arial"/>
          <w:sz w:val="17"/>
          <w:szCs w:val="17"/>
          <w:color w:val="auto"/>
        </w:rPr>
        <w:t>Our annual assessment as of October 1, 2020 indicated no impairment. We are continuously monitoring the COVID-19 pandemic and its impact. If the negative impact of the pandemic exceeds management’s estimates, we could incur material impairment charges in future periods.</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8, “Intangible Assets,” to our consolidated financial statements for further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620" w:firstLine="589"/>
        <w:spacing w:after="0" w:line="277" w:lineRule="auto"/>
        <w:rPr>
          <w:sz w:val="20"/>
          <w:szCs w:val="20"/>
          <w:color w:val="auto"/>
        </w:rPr>
      </w:pPr>
      <w:r>
        <w:rPr>
          <w:rFonts w:ascii="Arial" w:cs="Arial" w:eastAsia="Arial" w:hAnsi="Arial"/>
          <w:sz w:val="18"/>
          <w:szCs w:val="18"/>
          <w:color w:val="auto"/>
        </w:rPr>
        <w:t xml:space="preserve">We account for stock-based compensation expense in accordance with Accounting Standards Codification Topic 708,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(“ASC 718”).</w:t>
      </w:r>
    </w:p>
    <w:p>
      <w:pPr>
        <w:spacing w:after="0" w:line="170"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We account for stock-based compensation expense based on the grant date fair value of the award for awards deemed to be equity awards. For awards deemed to be liability awards, we recognize stock-based compensation expense based on the fair value of the award at each reporting date. We recognize this cost as an expense over the requisite service period, which is generally the vesting period of the respective award. We use the Black-Scholes option-pricing model to determine the estimated fair value of stock options. Critical inputs into the Black-Scholes option-pricing model include: the annualized volatility of our common stock; the expected term of the option in years; the grant date fair value of our common stock; the option exercise price; the risk-free interest rate; and the annual rate of quarterly dividends on the stock, which are estimated as follows:</w:t>
      </w:r>
    </w:p>
    <w:p>
      <w:pPr>
        <w:spacing w:after="0" w:line="70" w:lineRule="exact"/>
        <w:rPr>
          <w:sz w:val="20"/>
          <w:szCs w:val="20"/>
          <w:color w:val="auto"/>
        </w:rPr>
      </w:pPr>
    </w:p>
    <w:p>
      <w:pPr>
        <w:ind w:left="1160" w:right="220" w:hanging="572"/>
        <w:spacing w:after="0" w:line="259"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Volatility. </w:t>
      </w:r>
      <w:r>
        <w:rPr>
          <w:rFonts w:ascii="Arial" w:cs="Arial" w:eastAsia="Arial" w:hAnsi="Arial"/>
          <w:sz w:val="18"/>
          <w:szCs w:val="18"/>
          <w:color w:val="auto"/>
        </w:rPr>
        <w:t>Beginning in 2020, we calculated volatility based exclusively on our own common stock. In prior years, we had not been a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long enough to calculate volatility based exclusively on our own common stock, and thus calculated the expected volatility as of each grant date based on a weighting of our own common stock and reported data for a peer group of publicly traded companies for which historical information was available.</w:t>
      </w:r>
    </w:p>
    <w:p>
      <w:pPr>
        <w:spacing w:after="0" w:line="78" w:lineRule="exact"/>
        <w:rPr>
          <w:rFonts w:ascii="Arial" w:cs="Arial" w:eastAsia="Arial" w:hAnsi="Arial"/>
          <w:sz w:val="18"/>
          <w:szCs w:val="18"/>
          <w:color w:val="auto"/>
        </w:rPr>
      </w:pPr>
    </w:p>
    <w:p>
      <w:pPr>
        <w:ind w:left="1160" w:right="80" w:hanging="572"/>
        <w:spacing w:after="0" w:line="279" w:lineRule="auto"/>
        <w:tabs>
          <w:tab w:leader="none" w:pos="116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Term. </w:t>
      </w:r>
      <w:r>
        <w:rPr>
          <w:rFonts w:ascii="Arial" w:cs="Arial" w:eastAsia="Arial" w:hAnsi="Arial"/>
          <w:sz w:val="17"/>
          <w:szCs w:val="17"/>
          <w:color w:val="auto"/>
        </w:rPr>
        <w:t>The expected term of the stock options is determined based upon the simplified approach, allowed under SEC Staff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Bulletin No. 110, which assumes that the stock options will be exercised evenly from vesting to expiration, as we do not have sufficient historical exercise data to provide a reasonable basis upon which to estimate the expected term. As we obtain data associated with future exercises, the expected term of future grants will be adjusted accordingly.</w:t>
      </w:r>
    </w:p>
    <w:p>
      <w:pPr>
        <w:spacing w:after="0" w:line="63"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of Our Common Stock. </w:t>
      </w:r>
      <w:r>
        <w:rPr>
          <w:rFonts w:ascii="Arial" w:cs="Arial" w:eastAsia="Arial" w:hAnsi="Arial"/>
          <w:sz w:val="18"/>
          <w:szCs w:val="18"/>
          <w:color w:val="auto"/>
        </w:rPr>
        <w:t>The fair value of our common stock underlying the stock options and other stock-based awards was valued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reference to the publicly traded closing price of our common stock on the grant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7" w:name="page48"/>
    <w:bookmarkEnd w:id="47"/>
    <w:p>
      <w:pPr>
        <w:ind w:left="1160" w:right="16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Exercise Price. </w:t>
      </w:r>
      <w:r>
        <w:rPr>
          <w:rFonts w:ascii="Arial" w:cs="Arial" w:eastAsia="Arial" w:hAnsi="Arial"/>
          <w:sz w:val="18"/>
          <w:szCs w:val="18"/>
          <w:color w:val="auto"/>
        </w:rPr>
        <w:t>The option exercise price was determined based on the publicly traded closing price of our common stock on the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term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options for each option group.</w:t>
      </w:r>
    </w:p>
    <w:p>
      <w:pPr>
        <w:spacing w:after="0" w:line="62" w:lineRule="exact"/>
        <w:rPr>
          <w:rFonts w:ascii="Arial" w:cs="Arial" w:eastAsia="Arial" w:hAnsi="Arial"/>
          <w:sz w:val="18"/>
          <w:szCs w:val="18"/>
          <w:color w:val="auto"/>
        </w:rPr>
      </w:pPr>
    </w:p>
    <w:p>
      <w:pPr>
        <w:ind w:left="1160" w:right="38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We have never declared or paid any cash dividends and do not presently plan to pay cash dividends in the foreseeable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Consequently, we use an expected dividend yield of zero.</w:t>
      </w:r>
    </w:p>
    <w:p>
      <w:pPr>
        <w:spacing w:after="0" w:line="170"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If any of the assumptions used in the Black-Scholes model changes significantly, stock-based compensation expense for future awards may differ materially from the expense recognized for awards previously granted. The inputs that create the most sensitivity in our option valuation are the volatility and expected term.</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14</w:t>
      </w:r>
      <w:r>
        <w:rPr>
          <w:rFonts w:ascii="Arial" w:cs="Arial" w:eastAsia="Arial" w:hAnsi="Arial"/>
          <w:sz w:val="18"/>
          <w:szCs w:val="18"/>
          <w:color w:val="221E1F"/>
        </w:rPr>
        <w:t>, “Stock-Based Compensation</w:t>
      </w:r>
      <w:r>
        <w:rPr>
          <w:rFonts w:ascii="Arial" w:cs="Arial" w:eastAsia="Arial" w:hAnsi="Arial"/>
          <w:sz w:val="18"/>
          <w:szCs w:val="18"/>
          <w:color w:val="auto"/>
        </w:rPr>
        <w:t>,”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See Note 3, “Summary of Significant Accounting Policies,”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following table sets forth, for the periods presented, certain data from our consolidated statements of operations. The information contained in the table below should be read in conjunction with our consolidated financial statements and related notes.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8" w:name="page49"/>
    <w:bookmarkEnd w:id="48"/>
    <w:p>
      <w:pPr>
        <w:jc w:val="center"/>
        <w:ind w:left="58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7" w:lineRule="exact"/>
        <w:rPr>
          <w:sz w:val="20"/>
          <w:szCs w:val="20"/>
          <w:color w:val="auto"/>
        </w:rPr>
      </w:pPr>
    </w:p>
    <w:p>
      <w:pPr>
        <w:jc w:val="center"/>
        <w:ind w:left="580"/>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For the Years Ended December 31,</w:t>
            </w:r>
          </w:p>
        </w:tc>
        <w:tc>
          <w:tcPr>
            <w:tcW w:w="1100" w:type="dxa"/>
            <w:vAlign w:val="bottom"/>
            <w:tcBorders>
              <w:bottom w:val="single" w:sz="8" w:color="auto"/>
            </w:tcBorders>
          </w:tcPr>
          <w:p>
            <w:pPr>
              <w:spacing w:after="0"/>
              <w:rPr>
                <w:sz w:val="14"/>
                <w:szCs w:val="14"/>
                <w:color w:val="auto"/>
              </w:rPr>
            </w:pPr>
          </w:p>
        </w:tc>
      </w:tr>
      <w:tr>
        <w:trPr>
          <w:trHeight w:val="155"/>
        </w:trPr>
        <w:tc>
          <w:tcPr>
            <w:tcW w:w="528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52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w:t>
            </w:r>
          </w:p>
        </w:tc>
        <w:tc>
          <w:tcPr>
            <w:tcW w:w="13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r>
      <w:tr>
        <w:trPr>
          <w:trHeight w:val="162"/>
        </w:trPr>
        <w:tc>
          <w:tcPr>
            <w:tcW w:w="5280" w:type="dxa"/>
            <w:vAlign w:val="bottom"/>
          </w:tcPr>
          <w:p>
            <w:pPr>
              <w:ind w:left="380"/>
              <w:spacing w:after="0"/>
              <w:rPr>
                <w:sz w:val="20"/>
                <w:szCs w:val="20"/>
                <w:color w:val="auto"/>
              </w:rPr>
            </w:pPr>
            <w:r>
              <w:rPr>
                <w:rFonts w:ascii="Arial" w:cs="Arial" w:eastAsia="Arial" w:hAnsi="Arial"/>
                <w:sz w:val="14"/>
                <w:szCs w:val="14"/>
                <w:color w:val="auto"/>
              </w:rPr>
              <w:t>Service revenue</w:t>
            </w:r>
          </w:p>
        </w:tc>
        <w:tc>
          <w:tcPr>
            <w:tcW w:w="16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211,987</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221,922</w:t>
            </w:r>
          </w:p>
        </w:tc>
        <w:tc>
          <w:tcPr>
            <w:tcW w:w="14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196,377</w:t>
            </w:r>
          </w:p>
        </w:tc>
      </w:tr>
      <w:tr>
        <w:trPr>
          <w:trHeight w:val="162"/>
        </w:trPr>
        <w:tc>
          <w:tcPr>
            <w:tcW w:w="52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Equipment revenue</w:t>
            </w:r>
          </w:p>
        </w:tc>
        <w:tc>
          <w:tcPr>
            <w:tcW w:w="13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57,731</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87,063</w:t>
            </w:r>
          </w:p>
        </w:tc>
        <w:tc>
          <w:tcPr>
            <w:tcW w:w="14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93,776</w:t>
            </w:r>
          </w:p>
        </w:tc>
      </w:tr>
      <w:tr>
        <w:trPr>
          <w:trHeight w:val="155"/>
        </w:trPr>
        <w:tc>
          <w:tcPr>
            <w:tcW w:w="5280" w:type="dxa"/>
            <w:vAlign w:val="bottom"/>
            <w:tcBorders>
              <w:bottom w:val="single" w:sz="8" w:color="CFF0FC"/>
            </w:tcBorders>
          </w:tcPr>
          <w:p>
            <w:pPr>
              <w:ind w:left="620"/>
              <w:spacing w:after="0" w:line="155" w:lineRule="exact"/>
              <w:rPr>
                <w:sz w:val="20"/>
                <w:szCs w:val="20"/>
                <w:color w:val="auto"/>
              </w:rPr>
            </w:pPr>
            <w:r>
              <w:rPr>
                <w:rFonts w:ascii="Arial" w:cs="Arial" w:eastAsia="Arial" w:hAnsi="Arial"/>
                <w:sz w:val="14"/>
                <w:szCs w:val="14"/>
                <w:b w:val="1"/>
                <w:bCs w:val="1"/>
                <w:color w:val="auto"/>
              </w:rPr>
              <w:t>Total revenue</w:t>
            </w:r>
          </w:p>
        </w:tc>
        <w:tc>
          <w:tcPr>
            <w:tcW w:w="13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269,718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308,985</w:t>
            </w: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290,153</w:t>
            </w:r>
          </w:p>
        </w:tc>
      </w:tr>
      <w:tr>
        <w:trPr>
          <w:trHeight w:val="156"/>
        </w:trPr>
        <w:tc>
          <w:tcPr>
            <w:tcW w:w="52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expenses:</w:t>
            </w:r>
          </w:p>
        </w:tc>
        <w:tc>
          <w:tcPr>
            <w:tcW w:w="13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r>
      <w:tr>
        <w:trPr>
          <w:trHeight w:val="162"/>
        </w:trPr>
        <w:tc>
          <w:tcPr>
            <w:tcW w:w="5280" w:type="dxa"/>
            <w:vAlign w:val="bottom"/>
          </w:tcPr>
          <w:p>
            <w:pPr>
              <w:ind w:left="380"/>
              <w:spacing w:after="0"/>
              <w:rPr>
                <w:sz w:val="20"/>
                <w:szCs w:val="20"/>
                <w:color w:val="auto"/>
              </w:rPr>
            </w:pPr>
            <w:r>
              <w:rPr>
                <w:rFonts w:ascii="Arial" w:cs="Arial" w:eastAsia="Arial" w:hAnsi="Arial"/>
                <w:sz w:val="14"/>
                <w:szCs w:val="14"/>
                <w:color w:val="auto"/>
              </w:rPr>
              <w:t>Cost of service revenue (exclusive of items shown below)</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45,073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42,142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37,139</w:t>
            </w:r>
          </w:p>
        </w:tc>
      </w:tr>
      <w:tr>
        <w:trPr>
          <w:trHeight w:val="162"/>
        </w:trPr>
        <w:tc>
          <w:tcPr>
            <w:tcW w:w="52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Cost of equipment revenue (exclusive of items shown below)</w:t>
            </w: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39,299</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51,744</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55,416</w:t>
            </w:r>
          </w:p>
        </w:tc>
      </w:tr>
      <w:tr>
        <w:trPr>
          <w:trHeight w:val="162"/>
        </w:trPr>
        <w:tc>
          <w:tcPr>
            <w:tcW w:w="5280" w:type="dxa"/>
            <w:vAlign w:val="bottom"/>
          </w:tcPr>
          <w:p>
            <w:pPr>
              <w:ind w:left="380"/>
              <w:spacing w:after="0"/>
              <w:rPr>
                <w:sz w:val="20"/>
                <w:szCs w:val="20"/>
                <w:color w:val="auto"/>
              </w:rPr>
            </w:pPr>
            <w:r>
              <w:rPr>
                <w:rFonts w:ascii="Arial" w:cs="Arial" w:eastAsia="Arial" w:hAnsi="Arial"/>
                <w:sz w:val="14"/>
                <w:szCs w:val="14"/>
                <w:color w:val="auto"/>
              </w:rPr>
              <w:t>Engineering, design and development</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25,227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26,013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18,519</w:t>
            </w:r>
          </w:p>
        </w:tc>
      </w:tr>
      <w:tr>
        <w:trPr>
          <w:trHeight w:val="162"/>
        </w:trPr>
        <w:tc>
          <w:tcPr>
            <w:tcW w:w="52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Sales and marketing</w:t>
            </w: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15,135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21,236</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24,396</w:t>
            </w:r>
          </w:p>
        </w:tc>
      </w:tr>
      <w:tr>
        <w:trPr>
          <w:trHeight w:val="162"/>
        </w:trPr>
        <w:tc>
          <w:tcPr>
            <w:tcW w:w="528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54,467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54,628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57,903</w:t>
            </w:r>
          </w:p>
        </w:tc>
      </w:tr>
      <w:tr>
        <w:trPr>
          <w:trHeight w:val="162"/>
        </w:trPr>
        <w:tc>
          <w:tcPr>
            <w:tcW w:w="52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13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14,166</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16,690</w:t>
            </w:r>
          </w:p>
        </w:tc>
        <w:tc>
          <w:tcPr>
            <w:tcW w:w="14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14,363</w:t>
            </w:r>
          </w:p>
        </w:tc>
      </w:tr>
      <w:tr>
        <w:trPr>
          <w:trHeight w:val="156"/>
        </w:trPr>
        <w:tc>
          <w:tcPr>
            <w:tcW w:w="5280" w:type="dxa"/>
            <w:vAlign w:val="bottom"/>
            <w:tcBorders>
              <w:bottom w:val="single" w:sz="8" w:color="CFF0FC"/>
            </w:tcBorders>
          </w:tcPr>
          <w:p>
            <w:pPr>
              <w:ind w:left="620"/>
              <w:spacing w:after="0" w:line="155" w:lineRule="exact"/>
              <w:rPr>
                <w:sz w:val="20"/>
                <w:szCs w:val="20"/>
                <w:color w:val="auto"/>
              </w:rPr>
            </w:pPr>
            <w:r>
              <w:rPr>
                <w:rFonts w:ascii="Arial" w:cs="Arial" w:eastAsia="Arial" w:hAnsi="Arial"/>
                <w:sz w:val="14"/>
                <w:szCs w:val="14"/>
                <w:b w:val="1"/>
                <w:bCs w:val="1"/>
                <w:color w:val="auto"/>
              </w:rPr>
              <w:t>Total operating expenses</w:t>
            </w:r>
          </w:p>
        </w:tc>
        <w:tc>
          <w:tcPr>
            <w:tcW w:w="13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193,367</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212,453</w:t>
            </w: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207,736</w:t>
            </w:r>
          </w:p>
        </w:tc>
      </w:tr>
      <w:tr>
        <w:trPr>
          <w:trHeight w:val="155"/>
        </w:trPr>
        <w:tc>
          <w:tcPr>
            <w:tcW w:w="52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income</w:t>
            </w:r>
          </w:p>
        </w:tc>
        <w:tc>
          <w:tcPr>
            <w:tcW w:w="138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76,351</w:t>
            </w: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96,532</w:t>
            </w:r>
          </w:p>
        </w:tc>
        <w:tc>
          <w:tcPr>
            <w:tcW w:w="14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82,417</w:t>
            </w:r>
          </w:p>
        </w:tc>
      </w:tr>
      <w:tr>
        <w:trPr>
          <w:trHeight w:val="156"/>
        </w:trPr>
        <w:tc>
          <w:tcPr>
            <w:tcW w:w="5280" w:type="dxa"/>
            <w:vAlign w:val="bottom"/>
          </w:tcPr>
          <w:p>
            <w:pPr>
              <w:spacing w:after="0" w:line="155" w:lineRule="exact"/>
              <w:rPr>
                <w:sz w:val="20"/>
                <w:szCs w:val="20"/>
                <w:color w:val="auto"/>
              </w:rPr>
            </w:pPr>
            <w:r>
              <w:rPr>
                <w:rFonts w:ascii="Arial" w:cs="Arial" w:eastAsia="Arial" w:hAnsi="Arial"/>
                <w:sz w:val="14"/>
                <w:szCs w:val="14"/>
                <w:b w:val="1"/>
                <w:bCs w:val="1"/>
                <w:color w:val="auto"/>
              </w:rPr>
              <w:t>Other (income) expense:</w:t>
            </w: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2"/>
        </w:trPr>
        <w:tc>
          <w:tcPr>
            <w:tcW w:w="52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Interest income</w:t>
            </w: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(4,122)</w:t>
            </w:r>
          </w:p>
        </w:tc>
      </w:tr>
      <w:tr>
        <w:trPr>
          <w:trHeight w:val="162"/>
        </w:trPr>
        <w:tc>
          <w:tcPr>
            <w:tcW w:w="528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125,787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130,473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122,620</w:t>
            </w:r>
          </w:p>
        </w:tc>
      </w:tr>
      <w:tr>
        <w:trPr>
          <w:trHeight w:val="162"/>
        </w:trPr>
        <w:tc>
          <w:tcPr>
            <w:tcW w:w="52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extinguishment of debt</w:t>
            </w: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57,962</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19,653</w:t>
            </w:r>
          </w:p>
        </w:tc>
      </w:tr>
      <w:tr>
        <w:trPr>
          <w:trHeight w:val="162"/>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Other (income) expense</w:t>
            </w:r>
          </w:p>
        </w:tc>
        <w:tc>
          <w:tcPr>
            <w:tcW w:w="13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w:t>
            </w:r>
          </w:p>
        </w:tc>
      </w:tr>
      <w:tr>
        <w:trPr>
          <w:trHeight w:val="156"/>
        </w:trPr>
        <w:tc>
          <w:tcPr>
            <w:tcW w:w="5280" w:type="dxa"/>
            <w:vAlign w:val="bottom"/>
            <w:shd w:val="clear" w:color="auto" w:fill="CFF0FC"/>
          </w:tcPr>
          <w:p>
            <w:pPr>
              <w:ind w:left="620"/>
              <w:spacing w:after="0" w:line="155" w:lineRule="exact"/>
              <w:rPr>
                <w:sz w:val="20"/>
                <w:szCs w:val="20"/>
                <w:color w:val="auto"/>
              </w:rPr>
            </w:pPr>
            <w:r>
              <w:rPr>
                <w:rFonts w:ascii="Arial" w:cs="Arial" w:eastAsia="Arial" w:hAnsi="Arial"/>
                <w:sz w:val="14"/>
                <w:szCs w:val="14"/>
                <w:b w:val="1"/>
                <w:bCs w:val="1"/>
                <w:color w:val="auto"/>
              </w:rPr>
              <w:t>Total other expense</w:t>
            </w:r>
          </w:p>
        </w:tc>
        <w:tc>
          <w:tcPr>
            <w:tcW w:w="138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125,056</w:t>
            </w: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184,466</w:t>
            </w:r>
          </w:p>
        </w:tc>
        <w:tc>
          <w:tcPr>
            <w:tcW w:w="14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138,231</w:t>
            </w:r>
          </w:p>
        </w:tc>
      </w:tr>
      <w:tr>
        <w:trPr>
          <w:trHeight w:val="156"/>
        </w:trPr>
        <w:tc>
          <w:tcPr>
            <w:tcW w:w="5280" w:type="dxa"/>
            <w:vAlign w:val="bottom"/>
          </w:tcPr>
          <w:p>
            <w:pPr>
              <w:spacing w:after="0" w:line="155" w:lineRule="exact"/>
              <w:rPr>
                <w:sz w:val="20"/>
                <w:szCs w:val="20"/>
                <w:color w:val="auto"/>
              </w:rPr>
            </w:pPr>
            <w:r>
              <w:rPr>
                <w:rFonts w:ascii="Arial" w:cs="Arial" w:eastAsia="Arial" w:hAnsi="Arial"/>
                <w:sz w:val="14"/>
                <w:szCs w:val="14"/>
                <w:b w:val="1"/>
                <w:bCs w:val="1"/>
                <w:color w:val="auto"/>
              </w:rPr>
              <w:t>Loss from continuing operations before income taxes</w:t>
            </w: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(48,705)</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(87,934)</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(55,814)</w:t>
            </w:r>
          </w:p>
        </w:tc>
      </w:tr>
      <w:tr>
        <w:trPr>
          <w:trHeight w:val="162"/>
        </w:trPr>
        <w:tc>
          <w:tcPr>
            <w:tcW w:w="52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 provision (benefit)</w:t>
            </w:r>
          </w:p>
        </w:tc>
        <w:tc>
          <w:tcPr>
            <w:tcW w:w="13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563</w:t>
            </w:r>
          </w:p>
        </w:tc>
        <w:tc>
          <w:tcPr>
            <w:tcW w:w="14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(3,354)</w:t>
            </w:r>
          </w:p>
        </w:tc>
      </w:tr>
      <w:tr>
        <w:trPr>
          <w:trHeight w:val="156"/>
        </w:trPr>
        <w:tc>
          <w:tcPr>
            <w:tcW w:w="5280" w:type="dxa"/>
            <w:vAlign w:val="bottom"/>
          </w:tcPr>
          <w:p>
            <w:pPr>
              <w:spacing w:after="0" w:line="155" w:lineRule="exact"/>
              <w:rPr>
                <w:sz w:val="20"/>
                <w:szCs w:val="20"/>
                <w:color w:val="auto"/>
              </w:rPr>
            </w:pPr>
            <w:r>
              <w:rPr>
                <w:rFonts w:ascii="Arial" w:cs="Arial" w:eastAsia="Arial" w:hAnsi="Arial"/>
                <w:sz w:val="14"/>
                <w:szCs w:val="14"/>
                <w:b w:val="1"/>
                <w:bCs w:val="1"/>
                <w:color w:val="auto"/>
              </w:rPr>
              <w:t>Net loss from continuing operations</w:t>
            </w: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(48,559)</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(88,497)</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(52,460)</w:t>
            </w: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Net loss from discontinued operations, net of tax</w:t>
            </w:r>
          </w:p>
        </w:tc>
        <w:tc>
          <w:tcPr>
            <w:tcW w:w="13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(201,477)</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(57,507)</w:t>
            </w:r>
          </w:p>
        </w:tc>
        <w:tc>
          <w:tcPr>
            <w:tcW w:w="14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(109,571)</w:t>
            </w:r>
          </w:p>
        </w:tc>
      </w:tr>
      <w:tr>
        <w:trPr>
          <w:trHeight w:val="156"/>
        </w:trPr>
        <w:tc>
          <w:tcPr>
            <w:tcW w:w="5280" w:type="dxa"/>
            <w:vAlign w:val="bottom"/>
          </w:tcPr>
          <w:p>
            <w:pPr>
              <w:spacing w:after="0" w:line="155" w:lineRule="exact"/>
              <w:rPr>
                <w:sz w:val="20"/>
                <w:szCs w:val="20"/>
                <w:color w:val="auto"/>
              </w:rPr>
            </w:pPr>
            <w:r>
              <w:rPr>
                <w:rFonts w:ascii="Arial" w:cs="Arial" w:eastAsia="Arial" w:hAnsi="Arial"/>
                <w:sz w:val="14"/>
                <w:szCs w:val="14"/>
                <w:b w:val="1"/>
                <w:bCs w:val="1"/>
                <w:color w:val="auto"/>
              </w:rPr>
              <w:t>Net loss</w:t>
            </w:r>
          </w:p>
        </w:tc>
        <w:tc>
          <w:tcPr>
            <w:tcW w:w="138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(250,036)</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(146,004)</w:t>
            </w:r>
          </w:p>
        </w:tc>
        <w:tc>
          <w:tcPr>
            <w:tcW w:w="14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(162,031)</w:t>
            </w:r>
          </w:p>
        </w:tc>
      </w:tr>
      <w:tr>
        <w:trPr>
          <w:trHeight w:val="20"/>
        </w:trPr>
        <w:tc>
          <w:tcPr>
            <w:tcW w:w="5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Revenue and percent change for the years ended December 31, 2020 and 2019 were as follows </w:t>
      </w:r>
      <w:r>
        <w:rPr>
          <w:rFonts w:ascii="Arial" w:cs="Arial" w:eastAsia="Arial" w:hAnsi="Arial"/>
          <w:sz w:val="17"/>
          <w:szCs w:val="17"/>
          <w:i w:val="1"/>
          <w:iCs w:val="1"/>
          <w:color w:val="auto"/>
        </w:rPr>
        <w:t>(in thousands, except for percent change)</w:t>
      </w:r>
      <w:r>
        <w:rPr>
          <w:rFonts w:ascii="Arial" w:cs="Arial" w:eastAsia="Arial" w:hAnsi="Arial"/>
          <w:sz w:val="17"/>
          <w:szCs w:val="17"/>
          <w:color w:val="auto"/>
        </w:rPr>
        <w:t>:</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For the Years</w:t>
            </w:r>
          </w:p>
        </w:tc>
        <w:tc>
          <w:tcPr>
            <w:tcW w:w="114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126"/>
        </w:trPr>
        <w:tc>
          <w:tcPr>
            <w:tcW w:w="4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3"/>
            <w:vMerge w:val="restart"/>
          </w:tcPr>
          <w:p>
            <w:pPr>
              <w:jc w:val="center"/>
              <w:ind w:left="450"/>
              <w:spacing w:after="0"/>
              <w:rPr>
                <w:sz w:val="20"/>
                <w:szCs w:val="20"/>
                <w:color w:val="auto"/>
              </w:rPr>
            </w:pPr>
            <w:r>
              <w:rPr>
                <w:rFonts w:ascii="Arial" w:cs="Arial" w:eastAsia="Arial" w:hAnsi="Arial"/>
                <w:sz w:val="18"/>
                <w:szCs w:val="18"/>
                <w:b w:val="1"/>
                <w:bCs w:val="1"/>
                <w:color w:val="auto"/>
                <w:w w:val="90"/>
              </w:rPr>
              <w:t>Ended</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 over</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211,987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221,922</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revenue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57,731</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87,063</w:t>
            </w: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269,718</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308,985</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Revenue decreased to $269.7 million for the year ended December 31, 2020, as compared with $309.0 million for the prior year, due to decreases in service and equipment revenue.</w:t>
      </w:r>
    </w:p>
    <w:p>
      <w:pPr>
        <w:spacing w:after="0" w:line="170"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Service revenue decreased to $212.0 million for the year ended December 31, 2020, as compared with $221.9 million for the prior year, primarily due to ATG deactivations and suspensions related to the COVID-19 pandemic. Average monthly service revenue per ATG unit online decreased to $2,951 during the year ended December 31, 2020, as compared with $3,113 for the prior year.</w:t>
      </w:r>
    </w:p>
    <w:p>
      <w:pPr>
        <w:spacing w:after="0" w:line="184"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Equipment revenue decreased to $57.7 million for the year ended December 31, 2020, as compared with $87.1 million for the prior year, primarily due to decreases in the number of ATG and satellite units sold related to the COVID-19 pandemic. 667 ATG units were sold during the year ended December 31, 2020, as compared with 909 units for the prior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ind w:right="40" w:firstLine="589"/>
        <w:spacing w:after="0" w:line="277" w:lineRule="auto"/>
        <w:rPr>
          <w:sz w:val="20"/>
          <w:szCs w:val="20"/>
          <w:color w:val="auto"/>
        </w:rPr>
      </w:pPr>
      <w:r>
        <w:rPr>
          <w:rFonts w:ascii="Arial" w:cs="Arial" w:eastAsia="Arial" w:hAnsi="Arial"/>
          <w:sz w:val="18"/>
          <w:szCs w:val="18"/>
          <w:color w:val="auto"/>
        </w:rPr>
        <w:t>We expect service and equipment revenue to increase in the future as the impact of the COVID-19 pandemic dissipates and additional ATG aircraft come online.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 xml:space="preserve">Cost of service revenue and percent change for the years ended December 31, 2020 and 2019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For the Years</w:t>
            </w:r>
          </w:p>
        </w:tc>
        <w:tc>
          <w:tcPr>
            <w:tcW w:w="114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3"/>
            <w:vMerge w:val="restart"/>
          </w:tcPr>
          <w:p>
            <w:pPr>
              <w:jc w:val="center"/>
              <w:ind w:left="450"/>
              <w:spacing w:after="0"/>
              <w:rPr>
                <w:sz w:val="20"/>
                <w:szCs w:val="20"/>
                <w:color w:val="auto"/>
              </w:rPr>
            </w:pPr>
            <w:r>
              <w:rPr>
                <w:rFonts w:ascii="Arial" w:cs="Arial" w:eastAsia="Arial" w:hAnsi="Arial"/>
                <w:sz w:val="18"/>
                <w:szCs w:val="18"/>
                <w:b w:val="1"/>
                <w:bCs w:val="1"/>
                <w:color w:val="auto"/>
                <w:w w:val="90"/>
              </w:rPr>
              <w:t>Ended</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 over</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45,073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42,142</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1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39,299</w:t>
            </w:r>
          </w:p>
        </w:tc>
        <w:tc>
          <w:tcPr>
            <w:tcW w:w="1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51,744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Cost of service revenue increased to $45.1 million for the year ended December 31, 2020, as compared with $42.1 million for the prior year, primarily due to an increase in allocated ATG network costs. Following the completion of the Transaction, ATG network costs are no longer shared with the divested CA business.</w:t>
      </w:r>
    </w:p>
    <w:p>
      <w:pPr>
        <w:spacing w:after="0" w:line="184"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We expect cost of service revenue to increase over time, primarily due to service revenue growth and increasing ATG network costs associated with Gogo 5G.</w:t>
      </w:r>
    </w:p>
    <w:p>
      <w:pPr>
        <w:spacing w:after="0" w:line="170"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Cost of equipment revenue decreased to $39.3 million for the year ended December 31, 2020, as compared with $51.7 million for the prior year, primarily due to a decrease in equipment revenue.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expect that our cost of equipment revenue will vary with changes in equipment revenue and unit sold.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1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Engineering, design and development expenses decreased to $25.2 million for the year ended December 31, 2020, as compared with $26.0 million for the prior year, due to a decrease in personnel, travel costs and miscellaneous other costs resulting from cost controls implemented by management, primarily in response to the impact of the COVID-19 pandemic on our business.</w:t>
      </w:r>
    </w:p>
    <w:p>
      <w:pPr>
        <w:spacing w:after="0" w:line="184"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We expect engineering, design and development expenses to remain flat or increase slightly as a percentage of service revenue in the near term, driven by Gogo 5G development costs, and decrease as a percentage of service revenue over the long term as the level of investment decreases and revenue increases.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Sales and marketing expenses decreased to $15.1 million for the year ended December 31, 2020, as compared with $21.2 million for the prior year, primarily due to decreased personnel and advertising expenses and cost controls implemented by management in response to the impact of the COVID-19 pandemic on our business.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expect sales and marketing expenses to remain relatively flat as a percentage of service revenue.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General and administrative expenses decreased slightly to $54.5 million for the year ended December 31, 2020, as compared with $54.6 million for the prior year.</w:t>
      </w:r>
    </w:p>
    <w:p>
      <w:pPr>
        <w:spacing w:after="0" w:line="170"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We expect general and administrative expenses to decrease as a percentage of service revenue over time as we identify efficiencies and drive down costs and as the business grows given the fixed cost nature of this category.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Depreciation and amortization expense decreased to $14.2 million for the year ended December 31, 2020, as compared with $16.7 million for the prior year, primarily due to certain ATG network assets becoming fully depreciated.</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expect that our depreciation and amortization expense will increase in the future as we launch our Gogo 5G network.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 xml:space="preserve">Other (income) expense and percent change for the years ended December 31, 2020 and 2019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For the Years</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 Change</w:t>
            </w:r>
          </w:p>
        </w:tc>
      </w:tr>
      <w:tr>
        <w:trPr>
          <w:trHeight w:val="223"/>
        </w:trPr>
        <w:tc>
          <w:tcPr>
            <w:tcW w:w="6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0"/>
              </w:rPr>
              <w:t>Ended December 31,</w:t>
            </w: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 over</w:t>
            </w:r>
          </w:p>
        </w:tc>
      </w:tr>
      <w:tr>
        <w:trPr>
          <w:trHeight w:val="223"/>
        </w:trPr>
        <w:tc>
          <w:tcPr>
            <w:tcW w:w="65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2019</w:t>
            </w: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125,787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130,473</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57,962</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nm</w:t>
            </w:r>
          </w:p>
        </w:tc>
      </w:tr>
      <w:tr>
        <w:trPr>
          <w:trHeight w:val="229"/>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nm</w:t>
            </w:r>
          </w:p>
        </w:tc>
      </w:tr>
      <w:tr>
        <w:trPr>
          <w:trHeight w:val="223"/>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125,056</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184,466</w:t>
            </w:r>
          </w:p>
        </w:tc>
        <w:tc>
          <w:tcPr>
            <w:tcW w:w="1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r>
      <w:tr>
        <w:trPr>
          <w:trHeight w:val="20"/>
        </w:trPr>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20" w:firstLine="589"/>
        <w:spacing w:after="0" w:line="277" w:lineRule="auto"/>
        <w:rPr>
          <w:sz w:val="20"/>
          <w:szCs w:val="20"/>
          <w:color w:val="auto"/>
        </w:rPr>
      </w:pPr>
      <w:r>
        <w:rPr>
          <w:rFonts w:ascii="Arial" w:cs="Arial" w:eastAsia="Arial" w:hAnsi="Arial"/>
          <w:sz w:val="18"/>
          <w:szCs w:val="18"/>
          <w:color w:val="auto"/>
        </w:rPr>
        <w:t>Total other expense decreased to $125.1 million for the year ended December 31, 2020, as compared with $184.5 million for the prior year, primarily due to the loss on extinguishment of debt that occurred in 2019.</w:t>
      </w:r>
    </w:p>
    <w:p>
      <w:pPr>
        <w:spacing w:after="0" w:line="170"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Absent a debt refinancing in 2021, we expect our interest expense to increase due to the higher average debt outstanding resulting from the issuance of the 2020 Additional Notes in November 2020. See Note 9, “Long-Term Debt and Other Liabilities” to our consolidated financial statements for additional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89"/>
        <w:spacing w:after="0" w:line="342" w:lineRule="auto"/>
        <w:rPr>
          <w:sz w:val="20"/>
          <w:szCs w:val="20"/>
          <w:color w:val="auto"/>
        </w:rPr>
      </w:pPr>
      <w:r>
        <w:rPr>
          <w:rFonts w:ascii="Arial" w:cs="Arial" w:eastAsia="Arial" w:hAnsi="Arial"/>
          <w:sz w:val="16"/>
          <w:szCs w:val="16"/>
          <w:color w:val="auto"/>
        </w:rPr>
        <w:t>The effective income tax rate for the year ended December 31, 2020 was 0.3%, as compared with (0.6%) for the prior year. Income tax expense for the year ended December 31, 2020 was not significant primarily due to the recording of a valuation allowance against our net deferred tax assets.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expect our income tax provision to increase in future periods to the extent we become profitable.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Loss from discontinued operations increased to $201.5 million for the year ended December 31, 2020, as compared with a loss of $57.5 million for the prior year, primarily due to a decrease in revenue and $47.4 million of charges related to the impairment of long-lived assets, partially offset by the $38.0 million gain on sale of discontinued operations.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Revenue decreased 55.7% as compared with the prior year, primarily as a result of the negative impact of COVID-19 on commercial 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travel. Additionally, results for the year ended December 31, 2020 included charges of $47.4 million and $10.7 million related to the impairment of long-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lived assets and provisions for expected credit losses, respectively, while no such charges were incurred in the prior year. These changes were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declines in cost of service revenue, cost of equipment revenue, engineering, design and development expenses and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primarily due to the cost control measures implemented in 2020 in response to the impact of COVID-19 on the CA business.</w:t>
      </w:r>
    </w:p>
    <w:p>
      <w:pPr>
        <w:spacing w:after="0" w:line="211"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Upon the closing of the Transaction on December 1, 2020, we received initial gross proceeds of $386.3 million, which reflects the $400.0 million purchase price, adjusted for cash, debt, transaction expenses and working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right="80"/>
        <w:spacing w:after="0" w:line="271" w:lineRule="auto"/>
        <w:rPr>
          <w:sz w:val="20"/>
          <w:szCs w:val="20"/>
          <w:color w:val="auto"/>
        </w:rPr>
      </w:pPr>
      <w:r>
        <w:rPr>
          <w:rFonts w:ascii="Arial" w:cs="Arial" w:eastAsia="Arial" w:hAnsi="Arial"/>
          <w:sz w:val="17"/>
          <w:szCs w:val="17"/>
          <w:color w:val="auto"/>
        </w:rPr>
        <w:t>capital. The final purchase price remains subject to change due to customary post-closing purchase price adjustment procedures set forth in the purchase and sale agreement between Gogo and Intelsat, that are not yet complete. In February 2021, Intelsat delivered a draft closing statement that would reduce the working capital portion of the purchase price computation by $9.4 million, which would result in Gogo returning to Intelsat $9.4 million of the initial gross proceeds. Gogo is reviewing Intelsat’s draft closing statement in accordance with the terms of the purchase and sale agreement. As this post-closing purchase price adjustment is not yet finalized and therefore represents a contingent gain, $9.4 million has been recorded as a deferred gain on sale included within Accrued liabilities. As a result, we have recognized within Other (income) expense a pretax gain on sale of $38.0 million, computed as the $386.3 million of initial gross proceeds less (i) the potential $9.4 million post-closing purchase price adjustment, (ii) the carrying value of the assets and liabilities transferred in the Transaction and (iii) Transaction-related costs.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2, “Discontinued Operations,”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Revenue and percent change for the years ended December 31, 2019 and 2018 were as follows </w:t>
      </w:r>
      <w:r>
        <w:rPr>
          <w:rFonts w:ascii="Arial" w:cs="Arial" w:eastAsia="Arial" w:hAnsi="Arial"/>
          <w:sz w:val="17"/>
          <w:szCs w:val="17"/>
          <w:i w:val="1"/>
          <w:iCs w:val="1"/>
          <w:color w:val="auto"/>
        </w:rPr>
        <w:t>(in thousands, except for percent change)</w:t>
      </w:r>
      <w:r>
        <w:rPr>
          <w:rFonts w:ascii="Arial" w:cs="Arial" w:eastAsia="Arial" w:hAnsi="Arial"/>
          <w:sz w:val="17"/>
          <w:szCs w:val="17"/>
          <w:color w:val="auto"/>
        </w:rPr>
        <w:t>:</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For the Years Ended</w:t>
            </w: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 Change</w:t>
            </w:r>
          </w:p>
        </w:tc>
      </w:tr>
      <w:tr>
        <w:trPr>
          <w:trHeight w:val="223"/>
        </w:trPr>
        <w:tc>
          <w:tcPr>
            <w:tcW w:w="4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 over</w:t>
            </w:r>
          </w:p>
        </w:tc>
      </w:tr>
      <w:tr>
        <w:trPr>
          <w:trHeight w:val="223"/>
        </w:trPr>
        <w:tc>
          <w:tcPr>
            <w:tcW w:w="44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196,377</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revenue</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87,063</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93,776</w:t>
            </w: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308,985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290,153</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Revenue increased to $309.0 million for the year ended December 31, 2019, as compared with $290.2 million for the prior year, due to an increase in service revenue offset in part by a decrease in equipment revenue.</w:t>
      </w:r>
    </w:p>
    <w:p>
      <w:pPr>
        <w:spacing w:after="0" w:line="170"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Service revenue increased to $221.9 million for the year ended December 31, 2019, as compared with $196.4 million for the prior year, primarily due to more customers subscribing to our ATG service. The number of ATG aircraft online increased 8.5% to 5,669 as of December 31, 2019, as compared with 5,224 as of December 31, 2018. Average monthly service revenue per ATG unit online increased to $3,113 during the year ended December 31, 2019, as compared with $3,027 for the prior year.</w:t>
      </w:r>
    </w:p>
    <w:p>
      <w:pPr>
        <w:spacing w:after="0" w:line="187"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Equipment revenue decreased to $87.1 million for the year ended December 31, 2019, as compared with $93.8 million for the prior year, primarily due to a decrease in sales of ATG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 xml:space="preserve">Cost of service revenue and percent change for the years ended December 31, 2019 and 2018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For the Years Ended</w:t>
            </w: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 Change</w:t>
            </w:r>
          </w:p>
        </w:tc>
        <w:tc>
          <w:tcPr>
            <w:tcW w:w="1680" w:type="dxa"/>
            <w:vAlign w:val="bottom"/>
          </w:tcPr>
          <w:p>
            <w:pPr>
              <w:spacing w:after="0"/>
              <w:rPr>
                <w:sz w:val="20"/>
                <w:szCs w:val="20"/>
                <w:color w:val="auto"/>
              </w:rPr>
            </w:pPr>
          </w:p>
        </w:tc>
      </w:tr>
      <w:tr>
        <w:trPr>
          <w:trHeight w:val="223"/>
        </w:trPr>
        <w:tc>
          <w:tcPr>
            <w:tcW w:w="17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 over</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88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42,142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37,139</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17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51,744</w:t>
            </w:r>
          </w:p>
        </w:tc>
        <w:tc>
          <w:tcPr>
            <w:tcW w:w="1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55,416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680" w:type="dxa"/>
            <w:vAlign w:val="bottom"/>
          </w:tcPr>
          <w:p>
            <w:pPr>
              <w:spacing w:after="0"/>
              <w:rPr>
                <w:sz w:val="20"/>
                <w:szCs w:val="20"/>
                <w:color w:val="auto"/>
              </w:rPr>
            </w:pPr>
          </w:p>
        </w:tc>
      </w:tr>
      <w:tr>
        <w:trPr>
          <w:trHeight w:val="647"/>
        </w:trPr>
        <w:tc>
          <w:tcPr>
            <w:tcW w:w="1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540" w:firstLine="589"/>
        <w:spacing w:after="0" w:line="277" w:lineRule="auto"/>
        <w:rPr>
          <w:sz w:val="20"/>
          <w:szCs w:val="20"/>
          <w:color w:val="auto"/>
        </w:rPr>
      </w:pPr>
      <w:r>
        <w:rPr>
          <w:rFonts w:ascii="Arial" w:cs="Arial" w:eastAsia="Arial" w:hAnsi="Arial"/>
          <w:sz w:val="18"/>
          <w:szCs w:val="18"/>
          <w:color w:val="auto"/>
        </w:rPr>
        <w:t>Cost of service revenue increased to $42.1 million for the year ended December 31, 2019, as compared with $37.1 million for the prior year, primarily due to a Federal Universal Service fund charge.</w:t>
      </w:r>
    </w:p>
    <w:p>
      <w:pPr>
        <w:spacing w:after="0" w:line="170"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Cost of equipment revenue decreased to $51.7 million for the year ended December 31, 2019, as compared with $55.4 million for the prior year, primarily due to a decrease in equipment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17"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Engineering, design and development expenses increased to $26.0 million for the year ended December 31, 2019, as compared with $18.5 million for the prior year, due to the incurrence of 5G development costs in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Sales and marketing expenses decreased to $21.2 million for the year ended December 31, 2019, as compared with $24.4 million for the prior year, primarily due to a decrease in personnel-related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General and administrative expenses decreased to $54.6 million for the year ended December 31, 2019, as compared with $57.9 million for the prior year, primarily due to decreases in legal and personnel-related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Depreciation and amortization expense increased to $16.7 million for the year ended December 31, 2019, as compared with $14.4 million for the prior year, primarily due to an increase in amortization of capitalized software.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 xml:space="preserve">Other (income) expense and percent change for the years ended December 31, 2019 and 2018 were as follows </w:t>
      </w:r>
      <w:r>
        <w:rPr>
          <w:rFonts w:ascii="Arial" w:cs="Arial" w:eastAsia="Arial" w:hAnsi="Arial"/>
          <w:sz w:val="18"/>
          <w:szCs w:val="18"/>
          <w:i w:val="1"/>
          <w:iCs w:val="1"/>
          <w:color w:val="auto"/>
        </w:rPr>
        <w:t>(in thousands, except for percent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For the Years</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 Change</w:t>
            </w:r>
          </w:p>
        </w:tc>
      </w:tr>
      <w:tr>
        <w:trPr>
          <w:trHeight w:val="223"/>
        </w:trPr>
        <w:tc>
          <w:tcPr>
            <w:tcW w:w="6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0"/>
              </w:rPr>
              <w:t>Ended December 31,</w:t>
            </w: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 over</w:t>
            </w:r>
          </w:p>
        </w:tc>
      </w:tr>
      <w:tr>
        <w:trPr>
          <w:trHeight w:val="223"/>
        </w:trPr>
        <w:tc>
          <w:tcPr>
            <w:tcW w:w="65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2018</w:t>
            </w: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130,473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122,620</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57,962</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19,653</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w:t>
            </w:r>
          </w:p>
        </w:tc>
      </w:tr>
      <w:tr>
        <w:trPr>
          <w:trHeight w:val="229"/>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23"/>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184,466</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138,231</w:t>
            </w:r>
          </w:p>
        </w:tc>
        <w:tc>
          <w:tcPr>
            <w:tcW w:w="1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Total other expense was $184.5 million for the year ended December 31, 2019, as compared with $138.2 million for the prior year, due to a larger loss on extinguishment of debt and increased interest expense due to higher average debt levels outstanding during the year ended December 31, 2019 as compared with the prior year. See Note 9, “Long Term Debt and Other Liabilities,” to our consolidated financial statements for additional information related to the loss on extinguishment of debt. See Note 10, “Interest Costs,” to our consolidated financial statements for additional information related to our interest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89"/>
        <w:spacing w:after="0" w:line="342" w:lineRule="auto"/>
        <w:rPr>
          <w:sz w:val="20"/>
          <w:szCs w:val="20"/>
          <w:color w:val="auto"/>
        </w:rPr>
      </w:pPr>
      <w:r>
        <w:rPr>
          <w:rFonts w:ascii="Arial" w:cs="Arial" w:eastAsia="Arial" w:hAnsi="Arial"/>
          <w:sz w:val="16"/>
          <w:szCs w:val="16"/>
          <w:color w:val="auto"/>
        </w:rPr>
        <w:t>The effective income tax rate for the year ended December 31, 2019 was (0.6%), as compared with 6.0% for the prior year. Income tax expense for the year ended December 31, 2019 was not significant primarily due to the recording of a valuation allowance against our net deferred tax assets.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right="20" w:firstLine="589"/>
        <w:spacing w:after="0" w:line="342" w:lineRule="auto"/>
        <w:rPr>
          <w:sz w:val="20"/>
          <w:szCs w:val="20"/>
          <w:color w:val="auto"/>
        </w:rPr>
      </w:pPr>
      <w:r>
        <w:rPr>
          <w:rFonts w:ascii="Arial" w:cs="Arial" w:eastAsia="Arial" w:hAnsi="Arial"/>
          <w:sz w:val="16"/>
          <w:szCs w:val="16"/>
          <w:color w:val="auto"/>
        </w:rPr>
        <w:t>Loss from discontinued operations decreased to $57.5 million for the year ended December 31, 2019, as compared with a loss of $109.6 million for the prior year, primarily due to a decrease in revenue of $76.9 million, more than offset by a $126.4 million reduction in operating expenses.</w:t>
      </w:r>
    </w:p>
    <w:p>
      <w:pPr>
        <w:spacing w:after="0" w:line="124"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Revenue decreased 12.7% as compared with the prior year, driven by a decline in equipment revenue due to fewer installations of CA equipment on airline partners’ aircraft and the transition of one airline to a different business model in January 2018 that increased equipment revenue by $45.4 million for the year-ended December 31, 2018. The reduction in operating expenses was driven by a reduction in cost of equipment revenue related to the reduced equipment revenue discussed above, as well as decreased engineering, design and development expenses related to programs and personnel, and decreased sales and marketing expenses related to personnel.</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2, “Discontinued Operations,”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In our discussion below, we discuss Adjusted EBITDA, as defined below, which is a non-GAAP financial measurement. Management uses Adjusted EBITDA for business planning purposes, including managing our business and measuring our performance against internally projected results of operations. This supplemental performance measure also provides another basis for comparing period-to-period results by excluding potential differences caused by non-operational and unusual or non-recurring items. Adjusted EBITDA may vary from and may not be comparable to similarly titled measures used by other companies. Adjusted EBITDA is not a recognized measurement under accounting principles generally accepted in the United States, or GAAP; when analyzing our performance with Adjusted EBITDA, investors should (i) evaluate each adjustment in our reconciliation to the corresponding GAAP measure, and the explanatory footnotes regarding those adjustments, and (ii) use Adjusted EBITDA in addition to, and not as an alternative to, net loss attributable to common stock as a measure of operating results.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Reconciliation of Non-GAAP Measures</w:t>
      </w:r>
    </w:p>
    <w:p>
      <w:pPr>
        <w:spacing w:after="0" w:line="117"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represents net loss attributable to common stock before interest expense, interest income, income taxes and depreciation and amortization expense.</w:t>
      </w:r>
    </w:p>
    <w:p>
      <w:pPr>
        <w:spacing w:after="0" w:line="170"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u w:val="single" w:color="auto"/>
          <w:color w:val="auto"/>
        </w:rPr>
        <w:t>Adjusted EBITDA</w:t>
      </w:r>
      <w:r>
        <w:rPr>
          <w:rFonts w:ascii="Arial" w:cs="Arial" w:eastAsia="Arial" w:hAnsi="Arial"/>
          <w:sz w:val="18"/>
          <w:szCs w:val="18"/>
          <w:color w:val="auto"/>
        </w:rPr>
        <w:t xml:space="preserve"> represents EBITDA adjusted for (i) stock-based compensation expense included in the results of continuing operations, (ii) the results of discontinued operations, including stock-based compensation expense and the gain on the sale of CA, and (iii) loss on extinguishment of debt.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192"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believe that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 directly related to the performance of our business, such as the expected volatility, the risk-free interest rate and the expected term of the options. Therefore, we believe that the exclusion of this cost provides a clearer view of the 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165"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the results of our discontinued operations because they are not part of our ongoing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ind w:right="260" w:firstLine="589"/>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the loss on extinguishment of debt from Adjusted EBITDA because of the non-recurring nature of this activity.</w:t>
      </w:r>
    </w:p>
    <w:p>
      <w:pPr>
        <w:spacing w:after="0" w:line="170"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We also present Adjusted EBITDA as a supplemental performance measure because we believe that this measure provides investors, securities analysts and other users of our financial statements with important supplemental information with which to evaluate our performance and to enable them to assess our performance on the same basis as management.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510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Net loss attributable to common stock (GAAP)</w:t>
            </w:r>
          </w:p>
        </w:tc>
        <w:tc>
          <w:tcPr>
            <w:tcW w:w="18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(250,036)</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(146,004)</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(162,031)</w:t>
            </w:r>
          </w:p>
        </w:tc>
      </w:tr>
      <w:tr>
        <w:trPr>
          <w:trHeight w:val="229"/>
        </w:trPr>
        <w:tc>
          <w:tcPr>
            <w:tcW w:w="5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expense</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125,787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130,473</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122,620</w:t>
            </w:r>
          </w:p>
        </w:tc>
      </w:tr>
      <w:tr>
        <w:trPr>
          <w:trHeight w:val="230"/>
        </w:trPr>
        <w:tc>
          <w:tcPr>
            <w:tcW w:w="51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(4,122)</w:t>
            </w:r>
          </w:p>
        </w:tc>
      </w:tr>
      <w:tr>
        <w:trPr>
          <w:trHeight w:val="229"/>
        </w:trPr>
        <w:tc>
          <w:tcPr>
            <w:tcW w:w="5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 provision (benefit)</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w:t>
            </w:r>
          </w:p>
        </w:tc>
      </w:tr>
      <w:tr>
        <w:trPr>
          <w:trHeight w:val="230"/>
        </w:trPr>
        <w:tc>
          <w:tcPr>
            <w:tcW w:w="51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14,166</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16,690</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14,363</w:t>
            </w:r>
          </w:p>
        </w:tc>
      </w:tr>
      <w:tr>
        <w:trPr>
          <w:trHeight w:val="223"/>
        </w:trPr>
        <w:tc>
          <w:tcPr>
            <w:tcW w:w="5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EBITDA</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(110,951)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(32,524)</w:t>
            </w:r>
          </w:p>
        </w:tc>
      </w:tr>
      <w:tr>
        <w:trPr>
          <w:trHeight w:val="230"/>
        </w:trPr>
        <w:tc>
          <w:tcPr>
            <w:tcW w:w="51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8,654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8,536</w:t>
            </w:r>
          </w:p>
        </w:tc>
      </w:tr>
      <w:tr>
        <w:trPr>
          <w:trHeight w:val="229"/>
        </w:trPr>
        <w:tc>
          <w:tcPr>
            <w:tcW w:w="5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from discontinued operations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201,477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57,507</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109,571</w:t>
            </w:r>
          </w:p>
        </w:tc>
      </w:tr>
      <w:tr>
        <w:trPr>
          <w:trHeight w:val="229"/>
        </w:trPr>
        <w:tc>
          <w:tcPr>
            <w:tcW w:w="51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Loss on extinguishment of debt</w:t>
            </w:r>
          </w:p>
        </w:tc>
        <w:tc>
          <w:tcPr>
            <w:tcW w:w="1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57,962</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19,653</w:t>
            </w:r>
          </w:p>
        </w:tc>
      </w:tr>
      <w:tr>
        <w:trPr>
          <w:trHeight w:val="223"/>
        </w:trPr>
        <w:tc>
          <w:tcPr>
            <w:tcW w:w="5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Adjusted EBITDA</w:t>
            </w:r>
          </w:p>
        </w:tc>
        <w:tc>
          <w:tcPr>
            <w:tcW w:w="15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98,334</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121,845</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105,236</w:t>
            </w:r>
          </w:p>
        </w:tc>
      </w:tr>
      <w:tr>
        <w:trPr>
          <w:trHeight w:val="20"/>
        </w:trPr>
        <w:tc>
          <w:tcPr>
            <w:tcW w:w="5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limitations of Non-GAAP measures</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Although EBITDA and Adjusted EBITDA are measurements frequently used by investors and securities analysts in their evaluations of companies, EBITDA and Adjusted EBITDA each have limitations as an analytical tool, and you should not consider them in isolation or as a substitute for, or more meaningful than, amounts determined in accordance with GAAP.</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Some of these limitations include:</w:t>
      </w:r>
    </w:p>
    <w:p>
      <w:pPr>
        <w:spacing w:after="0" w:line="117" w:lineRule="exact"/>
        <w:rPr>
          <w:sz w:val="20"/>
          <w:szCs w:val="20"/>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income or expense;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EBITDA and Adjusted EBITDA do not reflect cash requirements for our income taxes;</w:t>
      </w:r>
    </w:p>
    <w:p>
      <w:pPr>
        <w:spacing w:after="0" w:line="117"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does not reflect non-cash components of employee compensation;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does not reflect the results of discontinued operations;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does not reflect the loss on extinguishment of debt, which was significant in certain periods; and</w:t>
      </w:r>
    </w:p>
    <w:p>
      <w:pPr>
        <w:spacing w:after="0" w:line="117"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since other companies in our or related industries may calculate these measures differently from the way we do, their usefulness as comparative measures may be limited.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We have historically financed our growth and cash needs primarily through the issuance of common stock, non-convertible debt, senior convertible preferred stock, convertible debt, term facilities and cash from operating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right="200"/>
        <w:spacing w:after="0" w:line="257" w:lineRule="auto"/>
        <w:rPr>
          <w:sz w:val="20"/>
          <w:szCs w:val="20"/>
          <w:color w:val="auto"/>
        </w:rPr>
      </w:pPr>
      <w:r>
        <w:rPr>
          <w:rFonts w:ascii="Arial" w:cs="Arial" w:eastAsia="Arial" w:hAnsi="Arial"/>
          <w:sz w:val="18"/>
          <w:szCs w:val="18"/>
          <w:color w:val="auto"/>
        </w:rPr>
        <w:t>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We actively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188"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are also currently considering undertaking a comprehensive refinancing of our existing indebtedness in the near-term in order to better align our capital structure with our business, following consummation of the Transaction, and reduce our annual interest expense. Such financing activity may take the form of one or more forms of indebtedness, including, but not limited to, secured or unsecured bonds, term loans and revolving credit facilities. Our ability to execute on any financing transaction will depend upon our future operating performance, the availability of credit generally, economic conditions and financial, business and other factors, many of which are beyond our control.</w:t>
      </w:r>
    </w:p>
    <w:p>
      <w:pPr>
        <w:spacing w:after="0" w:line="176"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See the disclosure below under the heading “Debt Instruments” for the definitions of the debt and convertible debt instruments to which we refer in this section, as well as the indentures and other agreements that govern them.</w:t>
      </w:r>
    </w:p>
    <w:p>
      <w:pPr>
        <w:spacing w:after="0" w:line="170"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As detailed in Note 9, “Long-Term Debt and Other Liabilities,” in April 2019 and May 2019, we entered into financing transactions that extended the maturity of our senior secured indebtedness to 2024 and generated funds sufficient to repay, repurchase or retire our 2020 Convertible Notes (all of which we have repurchased). In August 2019, we entered into the ABL Credit Facility, which provides for a revolving line of credit of up to $30.0 million, subject to borrowing base availability, and includes letter of credit and swingline sub-facilities. The ABL Credit Agreement provides that the revolving line of credit may be increased by up to an additional $30.0 million under certain circumstances. Since March 2020, in order to enhance our liquidity in response to the uncertainty in the global markets resulting from the COVID-19 pandemic, we have made certain drawings and repayments under the revolving ABL Credit Facility. As of December 31, 2020, no amounts were outstanding under the ABL Credit Facility and $21.9 million remained available for borrowing under the terms of the agreement that would allow for the company to meet the “payment conditions” criteria as described in the agreement. Our intent is to continue to access the capital markets to refinance our future debt obligations on an as-needed basis.</w:t>
      </w:r>
    </w:p>
    <w:p>
      <w:pPr>
        <w:spacing w:after="0" w:line="166"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Excluding the impact of our IPO, our prior credit facility, the 2022 Convertible Notes, the 2020 Convertible Notes, the 2024 Senior Secured Notes, the 2022 Senior Secured Notes and the ABL Credit Facility, to date we have not generated positive cash flows. Additionally, as disclosed elsewhere in this report, the extent of the impact of COVID-19 on our business and our financial and operational performance will depend on future developments, including the duration, spread and severity of the outbreak, the timetable for administering and efficacy of vaccines, the duration and geographic scope of related travel advisories and restrictions and the extent of the impact of COVID-19 on overall demand for commercial and business aviation travel, all of which are highly uncertain and cannot be predicted. If the recent recovery observed in the BA business does not continue, our liquidity and financial condition may be materially adversely affected. See “</w:t>
      </w:r>
      <w:r>
        <w:rPr>
          <w:rFonts w:ascii="Arial" w:cs="Arial" w:eastAsia="Arial" w:hAnsi="Arial"/>
          <w:sz w:val="17"/>
          <w:szCs w:val="17"/>
          <w:i w:val="1"/>
          <w:iCs w:val="1"/>
          <w:color w:val="auto"/>
        </w:rPr>
        <w:t>Risk Factors─Risks Related to our Business─The COVID-19 pandemic and the measures implemented to combat it</w:t>
      </w:r>
      <w:r>
        <w:rPr>
          <w:rFonts w:ascii="Arial" w:cs="Arial" w:eastAsia="Arial" w:hAnsi="Arial"/>
          <w:sz w:val="17"/>
          <w:szCs w:val="17"/>
          <w:color w:val="auto"/>
        </w:rPr>
        <w:t xml:space="preserve"> </w:t>
      </w:r>
      <w:r>
        <w:rPr>
          <w:rFonts w:ascii="Arial" w:cs="Arial" w:eastAsia="Arial" w:hAnsi="Arial"/>
          <w:sz w:val="17"/>
          <w:szCs w:val="17"/>
          <w:i w:val="1"/>
          <w:iCs w:val="1"/>
          <w:color w:val="auto"/>
        </w:rPr>
        <w:t>have had, and may continue to have, a material adverse effect on our business</w:t>
      </w:r>
      <w:r>
        <w:rPr>
          <w:rFonts w:ascii="Arial" w:cs="Arial" w:eastAsia="Arial" w:hAnsi="Arial"/>
          <w:sz w:val="17"/>
          <w:szCs w:val="17"/>
          <w:color w:val="auto"/>
        </w:rPr>
        <w:t>.”</w:t>
      </w:r>
    </w:p>
    <w:p>
      <w:pPr>
        <w:spacing w:after="0" w:line="178" w:lineRule="exact"/>
        <w:rPr>
          <w:sz w:val="20"/>
          <w:szCs w:val="20"/>
          <w:color w:val="auto"/>
        </w:rPr>
      </w:pPr>
    </w:p>
    <w:p>
      <w:pPr>
        <w:jc w:val="both"/>
        <w:ind w:right="140" w:firstLine="589"/>
        <w:spacing w:after="0" w:line="259" w:lineRule="auto"/>
        <w:rPr>
          <w:sz w:val="20"/>
          <w:szCs w:val="20"/>
          <w:color w:val="auto"/>
        </w:rPr>
      </w:pPr>
      <w:r>
        <w:rPr>
          <w:rFonts w:ascii="Arial" w:cs="Arial" w:eastAsia="Arial" w:hAnsi="Arial"/>
          <w:sz w:val="18"/>
          <w:szCs w:val="18"/>
          <w:color w:val="auto"/>
        </w:rPr>
        <w:t>As of December 31, 2020, our cash and cash equivalents balance was $435.3 million. Based on our current plans, including the measures taken in our response to COVID-19 and the proceeds received in connection with the closing of the Transaction, we believe that our cash and cash equivalents and cash flows provided by operating activities and access to the ABL credit facility will be sufficient to meet our operating obligations, including our capital expenditure requirements, for the next twelve months.</w:t>
      </w:r>
    </w:p>
    <w:p>
      <w:pPr>
        <w:spacing w:after="0" w:line="187" w:lineRule="exact"/>
        <w:rPr>
          <w:sz w:val="20"/>
          <w:szCs w:val="20"/>
          <w:color w:val="auto"/>
        </w:rPr>
      </w:pPr>
    </w:p>
    <w:p>
      <w:pPr>
        <w:ind w:right="340" w:firstLine="589"/>
        <w:spacing w:after="0" w:line="255" w:lineRule="auto"/>
        <w:rPr>
          <w:sz w:val="20"/>
          <w:szCs w:val="20"/>
          <w:color w:val="auto"/>
        </w:rPr>
      </w:pPr>
      <w:r>
        <w:rPr>
          <w:rFonts w:ascii="Arial" w:cs="Arial" w:eastAsia="Arial" w:hAnsi="Arial"/>
          <w:sz w:val="18"/>
          <w:szCs w:val="18"/>
          <w:color w:val="auto"/>
        </w:rPr>
        <w:t>The 2024 Indenture and the ABL Credit Agreement contain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additional equity, permitted incurrences of debt by us or by GIH and its subsidiaries, or the pursuit of potential strategic alternatives.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6"/>
          </w:tcPr>
          <w:p>
            <w:pPr>
              <w:ind w:left="600"/>
              <w:spacing w:after="0"/>
              <w:rPr>
                <w:sz w:val="20"/>
                <w:szCs w:val="20"/>
                <w:color w:val="auto"/>
              </w:rPr>
            </w:pPr>
            <w:r>
              <w:rPr>
                <w:rFonts w:ascii="Arial" w:cs="Arial" w:eastAsia="Arial" w:hAnsi="Arial"/>
                <w:sz w:val="18"/>
                <w:szCs w:val="18"/>
                <w:color w:val="auto"/>
                <w:w w:val="92"/>
              </w:rPr>
              <w:t xml:space="preserve">The following table presents a summary of our cash flow activity for the periods set forth below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continuing operations:</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4,513</w:t>
            </w: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(12,872)</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(8,990)</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32,850</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162,820</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44,479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29,654</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discontinued operations</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220,139</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(30,339)</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(207,557)</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exchange rate changes on cash</w:t>
            </w: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258,195</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(13,441)</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177,675</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191,116</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203,729</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435,870</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177,675</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191,116</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435,870</w:t>
            </w:r>
          </w:p>
        </w:tc>
        <w:tc>
          <w:tcPr>
            <w:tcW w:w="6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177,675</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191,116</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Less: current restricted cash</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Less: non-current restricted cash</w:t>
            </w:r>
          </w:p>
        </w:tc>
        <w:tc>
          <w:tcPr>
            <w:tcW w:w="10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7,099</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6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435,345</w:t>
            </w:r>
          </w:p>
        </w:tc>
        <w:tc>
          <w:tcPr>
            <w:tcW w:w="14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170,016</w:t>
            </w:r>
          </w:p>
        </w:tc>
        <w:tc>
          <w:tcPr>
            <w:tcW w:w="14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184,155</w:t>
            </w: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39,323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Following is a discussion of the year-over-year changes in cash flow activities.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 from continuing operations:</w:t>
      </w:r>
    </w:p>
    <w:p>
      <w:pPr>
        <w:spacing w:after="0" w:line="117"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 xml:space="preserve">The following table presents a summary of our cash flows from operating activities from continuing operations for the periods set forth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(88,497)</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(52,460)</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Non-cash charges and credits</w:t>
            </w: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42,677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103,951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61,267</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12,114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(28,326)</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(6,915)</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6,232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1,892</w:t>
            </w: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For the year ended December 31, 2020, cash provided by operating activities from continuing operations was $4.5 million, as compared with cash used in operating activities from continuing operations of $12.9 million for the prior year. The principal contributors to the increase in operating cash flows were:</w:t>
      </w:r>
    </w:p>
    <w:p>
      <w:pPr>
        <w:spacing w:after="0" w:line="76" w:lineRule="exact"/>
        <w:rPr>
          <w:sz w:val="20"/>
          <w:szCs w:val="20"/>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$38.7 million increase in cash flows related to operating assets and liabilities resulting from:</w:t>
      </w:r>
    </w:p>
    <w:p>
      <w:pPr>
        <w:spacing w:after="0" w:line="115"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An increase in cash flows primarily due to the following:</w:t>
      </w:r>
    </w:p>
    <w:p>
      <w:pPr>
        <w:spacing w:after="0" w:line="122" w:lineRule="exact"/>
        <w:rPr>
          <w:rFonts w:ascii="Arial" w:cs="Arial" w:eastAsia="Arial" w:hAnsi="Arial"/>
          <w:sz w:val="18"/>
          <w:szCs w:val="18"/>
          <w:color w:val="auto"/>
        </w:rPr>
      </w:pPr>
    </w:p>
    <w:p>
      <w:pPr>
        <w:ind w:left="2340" w:hanging="577"/>
        <w:spacing w:after="0"/>
        <w:tabs>
          <w:tab w:leader="none" w:pos="2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Changes in accrued interest due to changes in the timing of payments as compared to the prior year;</w:t>
      </w:r>
    </w:p>
    <w:p>
      <w:pPr>
        <w:spacing w:after="0" w:line="117" w:lineRule="exact"/>
        <w:rPr>
          <w:rFonts w:ascii="Arial" w:cs="Arial" w:eastAsia="Arial" w:hAnsi="Arial"/>
          <w:sz w:val="18"/>
          <w:szCs w:val="18"/>
          <w:color w:val="auto"/>
        </w:rPr>
      </w:pPr>
    </w:p>
    <w:p>
      <w:pPr>
        <w:ind w:left="2340" w:right="100" w:hanging="577"/>
        <w:spacing w:after="0" w:line="277" w:lineRule="auto"/>
        <w:tabs>
          <w:tab w:leader="none" w:pos="2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Changes in accounts receivable due primarily to the timing of collections and a decrease in revenue as a result of COVID-19; and</w:t>
      </w:r>
    </w:p>
    <w:p>
      <w:pPr>
        <w:spacing w:after="0" w:line="62" w:lineRule="exact"/>
        <w:rPr>
          <w:rFonts w:ascii="Arial" w:cs="Arial" w:eastAsia="Arial" w:hAnsi="Arial"/>
          <w:sz w:val="18"/>
          <w:szCs w:val="18"/>
          <w:color w:val="auto"/>
        </w:rPr>
      </w:pPr>
    </w:p>
    <w:p>
      <w:pPr>
        <w:ind w:left="2340" w:hanging="577"/>
        <w:spacing w:after="0"/>
        <w:tabs>
          <w:tab w:leader="none" w:pos="2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Changes in accounts payable and accrued liabilities due primarily to the timing of payments.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ind w:left="1760" w:right="320" w:hanging="578"/>
        <w:spacing w:after="0" w:line="259" w:lineRule="auto"/>
        <w:tabs>
          <w:tab w:leader="none" w:pos="1760" w:val="left"/>
        </w:tabs>
        <w:numPr>
          <w:ilvl w:val="1"/>
          <w:numId w:val="34"/>
        </w:numPr>
        <w:rPr>
          <w:rFonts w:ascii="Courier New" w:cs="Courier New" w:eastAsia="Courier New" w:hAnsi="Courier New"/>
          <w:sz w:val="18"/>
          <w:szCs w:val="18"/>
          <w:color w:val="auto"/>
        </w:rPr>
      </w:pPr>
      <w:r>
        <w:rPr>
          <w:rFonts w:ascii="Arial" w:cs="Arial" w:eastAsia="Arial" w:hAnsi="Arial"/>
          <w:sz w:val="18"/>
          <w:szCs w:val="18"/>
          <w:color w:val="auto"/>
        </w:rPr>
        <w:t>Partial offsets to the above due to a decrease in cash flows resulting from changes in contract assets primarily due to additional promotional sales programs in the current year as compared to the prior year.</w:t>
      </w:r>
    </w:p>
    <w:p>
      <w:pPr>
        <w:spacing w:after="0" w:line="76" w:lineRule="exact"/>
        <w:rPr>
          <w:rFonts w:ascii="Courier New" w:cs="Courier New" w:eastAsia="Courier New" w:hAnsi="Courier New"/>
          <w:sz w:val="18"/>
          <w:szCs w:val="18"/>
          <w:color w:val="auto"/>
        </w:rPr>
      </w:pPr>
    </w:p>
    <w:p>
      <w:pPr>
        <w:ind w:left="1160" w:hanging="572"/>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Partially offset by a $21.3 million change in net loss and non-cash charges and credits, as noted above under “—Results of Operations.”</w:t>
      </w:r>
    </w:p>
    <w:p>
      <w:pPr>
        <w:spacing w:after="0" w:line="248"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For the year ended December 31, 2019, cash used in operating activities from continuing operations was $12.9 million, as compared with cash provided by operating activities from continuing operations of $1.9 million for the prior year. The principal contributors to the decrease in operating cash flows were:</w:t>
      </w:r>
    </w:p>
    <w:p>
      <w:pPr>
        <w:spacing w:after="0" w:line="76" w:lineRule="exact"/>
        <w:rPr>
          <w:sz w:val="20"/>
          <w:szCs w:val="20"/>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$21.4 million decrease in cash flows related to changes in operating assets and liabilities resulting from:</w:t>
      </w:r>
    </w:p>
    <w:p>
      <w:pPr>
        <w:spacing w:after="0" w:line="115"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A decrease in cash flows due to the following:</w:t>
      </w:r>
    </w:p>
    <w:p>
      <w:pPr>
        <w:spacing w:after="0" w:line="122" w:lineRule="exact"/>
        <w:rPr>
          <w:rFonts w:ascii="Arial" w:cs="Arial" w:eastAsia="Arial" w:hAnsi="Arial"/>
          <w:sz w:val="18"/>
          <w:szCs w:val="18"/>
          <w:color w:val="auto"/>
        </w:rPr>
      </w:pPr>
    </w:p>
    <w:p>
      <w:pPr>
        <w:ind w:left="2340" w:hanging="577"/>
        <w:spacing w:after="0"/>
        <w:tabs>
          <w:tab w:leader="none" w:pos="23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Changes in accrued interest due to the timing of payments as compared to the prior year; and</w:t>
      </w:r>
    </w:p>
    <w:p>
      <w:pPr>
        <w:spacing w:after="0" w:line="117" w:lineRule="exact"/>
        <w:rPr>
          <w:rFonts w:ascii="Arial" w:cs="Arial" w:eastAsia="Arial" w:hAnsi="Arial"/>
          <w:sz w:val="18"/>
          <w:szCs w:val="18"/>
          <w:color w:val="auto"/>
        </w:rPr>
      </w:pPr>
    </w:p>
    <w:p>
      <w:pPr>
        <w:ind w:left="2340" w:hanging="577"/>
        <w:spacing w:after="0"/>
        <w:tabs>
          <w:tab w:leader="none" w:pos="23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Changes in accounts receivable primarily due to the timing of collections.</w:t>
      </w:r>
    </w:p>
    <w:p>
      <w:pPr>
        <w:spacing w:after="0" w:line="117" w:lineRule="exact"/>
        <w:rPr>
          <w:sz w:val="20"/>
          <w:szCs w:val="20"/>
          <w:color w:val="auto"/>
        </w:rPr>
      </w:pPr>
    </w:p>
    <w:p>
      <w:pPr>
        <w:ind w:left="1760" w:right="660" w:hanging="578"/>
        <w:spacing w:after="0" w:line="289" w:lineRule="auto"/>
        <w:tabs>
          <w:tab w:leader="none" w:pos="1760" w:val="left"/>
        </w:tabs>
        <w:numPr>
          <w:ilvl w:val="1"/>
          <w:numId w:val="36"/>
        </w:numPr>
        <w:rPr>
          <w:rFonts w:ascii="Courier New" w:cs="Courier New" w:eastAsia="Courier New" w:hAnsi="Courier New"/>
          <w:sz w:val="17"/>
          <w:szCs w:val="17"/>
          <w:color w:val="auto"/>
        </w:rPr>
      </w:pPr>
      <w:r>
        <w:rPr>
          <w:rFonts w:ascii="Arial" w:cs="Arial" w:eastAsia="Arial" w:hAnsi="Arial"/>
          <w:sz w:val="17"/>
          <w:szCs w:val="17"/>
          <w:color w:val="auto"/>
        </w:rPr>
        <w:t>Partial offsets to the above due to increases in cash flows resulting from changes in inventories primarily due to decreased equipment purchases and an increase in equipment revenue during 2019 as compared with 2018.</w:t>
      </w:r>
    </w:p>
    <w:p>
      <w:pPr>
        <w:spacing w:after="0" w:line="51" w:lineRule="exact"/>
        <w:rPr>
          <w:rFonts w:ascii="Courier New" w:cs="Courier New" w:eastAsia="Courier New" w:hAnsi="Courier New"/>
          <w:sz w:val="17"/>
          <w:szCs w:val="17"/>
          <w:color w:val="auto"/>
        </w:rPr>
      </w:pPr>
    </w:p>
    <w:p>
      <w:pPr>
        <w:ind w:left="1160" w:right="380" w:hanging="572"/>
        <w:spacing w:after="0" w:line="342" w:lineRule="auto"/>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Partially offset by a $6.6 million change in net loss and non-cash charges and credits, primarily due to an increased net loss in 2019 as compared to 2018 driven by an increase in loss on extinguishment of debt, as noted above under “—Results of Operations.”</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cash provided by (used in) investing activities from continuing operations:</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Cash used in investing activities from continuing operations was $9.0 million for the year ended December 31, 2020, while cash provided by investing activities from continuing operations was $32.9 million and $162.8 million, respectively, for the years ended December 31, 2019 and 2018. Investing activities are comprised of capital expenditures related to software development, data center upgrades and cell site construction. Additionally, cash used in investing activities from continuing operations includes net changes in our short-term investments consisting of a cash inflow of $39.3 million and $173.5 million, respectively, for the years ended December 31, 2019 and 2018.</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cash provided by (used in) financing activities from continuing operations:</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Cash provided by financing activities from continuing operations for the year ended December 31, 2020 was $44.5 million, primarily due to the $51.8 million of proceeds from the issuance of 2020 Additional Notes, offset by the repurchase of convertible notes, payments on finance leases and stock-based compensation activity.</w:t>
      </w:r>
    </w:p>
    <w:p>
      <w:pPr>
        <w:spacing w:after="0" w:line="184"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Cash used in financing activities from continuing operations for the year ended December 31, 2019 was $2.8 million, primarily due to the redemption of our outstanding 2022 Senior Secured Notes (including the make-whole premium payable under the indenture governing the 2022 Senior Secured Notes) for a redemption price totaling $741.4 million, the repurchase of $159.5 million of outstanding 2020 Convertible Notes and the payment of $23.0 million of deferred financing costs associated with the issuance of the Initial Notes and the 2019 Additional Notes, offset in part by $920.7 million of gross proceeds from the issuance of the Initial Notes and the 2019 Additional Notes.</w:t>
      </w:r>
    </w:p>
    <w:p>
      <w:pPr>
        <w:spacing w:after="0" w:line="188"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Cash provided by financing activities from continuing operations for the year ended December 31, 2018 was $29.7 million, primarily due to the issuance of the 2022 Convertible Notes with gross proceeds of $237.8 million, offset in part by $200.4 million of payments to repurchase 2020 Convertible Notes (comprised of $199.9 million of outstanding principal and $0.5 million of fees) and $8.1 million of debt issuance costs.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8" w:name="page59"/>
    <w:bookmarkEnd w:id="58"/>
    <w:p>
      <w:pPr>
        <w:ind w:left="600"/>
        <w:spacing w:after="0"/>
        <w:rPr>
          <w:sz w:val="20"/>
          <w:szCs w:val="20"/>
          <w:color w:val="auto"/>
        </w:rPr>
      </w:pPr>
      <w:r>
        <w:rPr>
          <w:rFonts w:ascii="Arial" w:cs="Arial" w:eastAsia="Arial" w:hAnsi="Arial"/>
          <w:sz w:val="18"/>
          <w:szCs w:val="18"/>
          <w:b w:val="1"/>
          <w:bCs w:val="1"/>
          <w:i w:val="1"/>
          <w:iCs w:val="1"/>
          <w:color w:val="auto"/>
        </w:rPr>
        <w:t>Net cash provided by (used in) discontinued operations: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Cash provided by discontinued operations for the year ended December 31, 2020 was $220.1 million as compared to cash used by discontinued operations of $30.3 million for the year ended December 31, 2019. The $250.4 million change was primarily due to a $464.0 million increase in cash provided by investing activities offset by a $214.1 million decrease in cash provided by operating activities. The increase in cash provided by investing activities was due to the $386.3 million of proceeds received in the Transaction and a $79.9 million decrease in capital expenditures due to the impact of COVID-19 on the installation of CA equipment on airline partners’ aircraft. The decrease in cash flows from operating activities was due to a $133.1 million increase in net loss and non-cash charges and credits, primarily due to the impact of COVID-19, and an $81.0 million decrease in cash flows related to operating assets and liabilities primarily due to changes in accounts receivable, inventory, deferred lease proceeds and accrued liabilities, offset in part by changes in accounts payable and contract assets.</w:t>
      </w:r>
    </w:p>
    <w:p>
      <w:pPr>
        <w:spacing w:after="0" w:line="178" w:lineRule="exact"/>
        <w:rPr>
          <w:sz w:val="20"/>
          <w:szCs w:val="20"/>
          <w:color w:val="auto"/>
        </w:rPr>
      </w:pPr>
    </w:p>
    <w:p>
      <w:pPr>
        <w:ind w:right="160" w:firstLine="589"/>
        <w:spacing w:after="0" w:line="254" w:lineRule="auto"/>
        <w:rPr>
          <w:sz w:val="20"/>
          <w:szCs w:val="20"/>
          <w:color w:val="auto"/>
        </w:rPr>
      </w:pPr>
      <w:r>
        <w:rPr>
          <w:rFonts w:ascii="Arial" w:cs="Arial" w:eastAsia="Arial" w:hAnsi="Arial"/>
          <w:sz w:val="18"/>
          <w:szCs w:val="18"/>
          <w:color w:val="auto"/>
        </w:rPr>
        <w:t>Cash used by discontinued operations for the year ended December 31, 2019 was $30.3 million as compared to cash used by discontinued operations of $207.6 million for the year ended December 31, 2018. The $177.3 million change was primarily due to a $161.1 million increase in cash provided by operating activities and a $14.5 million increase in cash provided by investing activities. The increase in cash flows from operating activities was due to a $105.2 million increase in cash flows related to changes in operating assets and liabilities, resulting primarily from changes in inventory and accounts receivable, and a $56.0 million decrease in net loss and non-cash charges and credits, as noted above under “—Results of Operations.” The increase in cash provided by investing activities was due to a decrease in capital expenditures for the installation of CA equipment on airline partners’ aircraft.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Our business requires significant capital expenditures, primarily for technology development, equipment and capacity expansion. For the periods presented in this report, capital expenditures for our former CA business, presented as discontinued operations, included the significant purchase of airborne equipment related to the roll out and/or upgrade of service to our former airline partners’ fleets. Capital spending for continuing operations for the periods presented in this report is associated with the expansion of our ATG network and data centers. We capitalized software development costs related to network technology solutions and new product/service offerings. We also capitalized costs related to the build-out of our office locations.</w:t>
      </w:r>
    </w:p>
    <w:p>
      <w:pPr>
        <w:spacing w:after="0" w:line="161" w:lineRule="exact"/>
        <w:rPr>
          <w:sz w:val="20"/>
          <w:szCs w:val="20"/>
          <w:color w:val="auto"/>
        </w:rPr>
      </w:pPr>
    </w:p>
    <w:p>
      <w:pPr>
        <w:ind w:right="800" w:firstLine="589"/>
        <w:spacing w:after="0" w:line="342" w:lineRule="auto"/>
        <w:rPr>
          <w:sz w:val="20"/>
          <w:szCs w:val="20"/>
          <w:color w:val="auto"/>
        </w:rPr>
      </w:pPr>
      <w:r>
        <w:rPr>
          <w:rFonts w:ascii="Arial" w:cs="Arial" w:eastAsia="Arial" w:hAnsi="Arial"/>
          <w:sz w:val="16"/>
          <w:szCs w:val="16"/>
          <w:color w:val="auto"/>
        </w:rPr>
        <w:t>Capital expenditures for our continuing operations for the years ended December 31, 2020 and 2019 were $9.0 million and $6.5 million, respectively. The increase in capital expenditures in 2020 as compared with 2019 was primarily due to an increase in capitalized software.</w:t>
      </w:r>
    </w:p>
    <w:p>
      <w:pPr>
        <w:spacing w:after="0" w:line="124"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We expect that our capital expenditures for our continuing operations will vary in the future depending on the timing of network-related capital expenditures as we build out Gogo 5G and further invest in capitalized software.</w:t>
      </w:r>
    </w:p>
    <w:p>
      <w:pPr>
        <w:spacing w:after="0" w:line="170" w:lineRule="exact"/>
        <w:rPr>
          <w:sz w:val="20"/>
          <w:szCs w:val="20"/>
          <w:color w:val="auto"/>
        </w:rPr>
      </w:pPr>
    </w:p>
    <w:p>
      <w:pPr>
        <w:ind w:right="720" w:firstLine="589"/>
        <w:spacing w:after="0" w:line="342" w:lineRule="auto"/>
        <w:rPr>
          <w:sz w:val="20"/>
          <w:szCs w:val="20"/>
          <w:color w:val="auto"/>
        </w:rPr>
      </w:pPr>
      <w:r>
        <w:rPr>
          <w:rFonts w:ascii="Arial" w:cs="Arial" w:eastAsia="Arial" w:hAnsi="Arial"/>
          <w:sz w:val="16"/>
          <w:szCs w:val="16"/>
          <w:color w:val="auto"/>
        </w:rPr>
        <w:t>Capital expenditures for our continuing operations for the years ended December 31, 2019 and 2018 were $6.5 million and $10.6 million, respectively. The decrease in capital expenditures in 2019 as compared with 2018 was primarily due to a decrease in capitalized software.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Following is a discussion of the debt instruments we had in place as of December 31, 2020 and which we utilized during the years ended December 31, 2020, 2019 and 2018.</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2024 Senior Secured Notes</w:t>
      </w:r>
    </w:p>
    <w:p>
      <w:pPr>
        <w:spacing w:after="0" w:line="225"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On April 25, 2019 (the “Issue Date”), Gogo Intermediate Holdings LLC (“GIH”) (a wholly owned subsidiary of Gogo Inc.) and Gogo Finance Co. Inc. (a wholly owned subsidiary of GIH) (“Gogo Finance” and, together with GIH, the “Issuers”) issued $905 million aggregate principal amount of</w:t>
      </w:r>
    </w:p>
    <w:p>
      <w:pPr>
        <w:ind w:right="40"/>
        <w:spacing w:after="0" w:line="260" w:lineRule="auto"/>
        <w:rPr>
          <w:sz w:val="20"/>
          <w:szCs w:val="20"/>
          <w:color w:val="auto"/>
        </w:rPr>
      </w:pPr>
      <w:r>
        <w:rPr>
          <w:rFonts w:ascii="Arial" w:cs="Arial" w:eastAsia="Arial" w:hAnsi="Arial"/>
          <w:sz w:val="18"/>
          <w:szCs w:val="18"/>
          <w:color w:val="auto"/>
        </w:rPr>
        <w:t>9.875% senior secured notes due 2024 (the “Initial Notes”) under an indenture (the “Base Indenture”), dated as of April 25, 2019, among the Issuers, us, as guarantor, certain subsidiaries of GIH, as guarantors (the “Initial 2024 Subsidiary Guarantors” and, together with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9" w:name="page60"/>
    <w:bookmarkEnd w:id="59"/>
    <w:p>
      <w:pPr>
        <w:ind w:right="40"/>
        <w:spacing w:after="0" w:line="268" w:lineRule="auto"/>
        <w:rPr>
          <w:sz w:val="20"/>
          <w:szCs w:val="20"/>
          <w:color w:val="auto"/>
        </w:rPr>
      </w:pPr>
      <w:r>
        <w:rPr>
          <w:rFonts w:ascii="Arial" w:cs="Arial" w:eastAsia="Arial" w:hAnsi="Arial"/>
          <w:sz w:val="17"/>
          <w:szCs w:val="17"/>
          <w:color w:val="auto"/>
        </w:rPr>
        <w:t>the “Initial 2024 Guarantors”), and U.S. Bank National Association, as trustee (the “Trustee”) and collateral agent (the “Collateral Agent”). On May 3, 2019, the Issuers, the Initial 2024 Guarantors and the Trustee entered into the first supplemental indenture (the “First Supplemental Indenture”) to increase the amount of indebtedness that may be incurred under Credit Facilities (as defined in the 2024 Indenture) by GIH or its subsidiaries that are 2024 Guarantors (as defined below) by $20 million in aggregate principal amount. On March 6, 2020, the Issuers, the Initial 2024 Guarantors, Gogo Air International GmbH (an indirect subsidiary of GIH) (“Gogo International”) and the Trustee entered into a second supplemental indenture (the “Second Supplemental Indenture”) to add Gogo International as a guarantor under the 2024 Indenture. On July 31, 2020, the Issuers, the Initial 2024 Guarantors, Gogo International and Gogo Inflight Internet Canada Ltd., Gogo ATG LLC and Gogo CA Licenses LLC (collectively, the “Additional Guarantors” and, together with the Initial 2024 Guarantors and Gogo International, the “2024 Guarantors”) and the Trustee entered into a third supplemental indenture (the “Third Supplemental Indenture”) to add the Additional Guarantors as guarantors under the 2024 Indenture. On November 9, 2020, the Company, the Issuers, the 2024 Guarantors and the Trustee entered into a fourth supplemental indenture (together with the Base Indenture, the First Supplemental Indenture, the Second Supplemental Indenture and the Third Supplemental Indenture, the “2024 Indenture”) to increase the amount of indebtedness under the Credit Facilities (as defined in the Base Indenture) that may be incurred by the Issuers or the Subsidiary Guarantors (as defined in the Base Indenture) by $50 million in aggregate principal amount.</w:t>
      </w:r>
    </w:p>
    <w:p>
      <w:pPr>
        <w:spacing w:after="0" w:line="186"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On May 7, 2019, the Issuers issued an additional $20 million aggregate principal amount of 9.875% senior secured notes due 2024 (the “2019 Additional Notes”). On November 13, 2020, the Issuers issued an additional $50 million aggregate principal amount of 2024 Senior Secured Notes (the “2020 Additional Notes” and, together with the Initial Notes and the 2019 Additional Notes, the “2024 Senior Secured Notes”). The 2024 Senior Secured Notes were offered and sole in transactions exempt from registration under the Securities Act. The Initial Notes were issued at a price equal to 99.512% of their face value, the 2019 Additional Notes were issued at a price equal to 100.5% of their face value, resulting in aggregate gross proceeds of $920.7 million and the 2020 Additional Notes were issued at a price equal to 103.5% of their face value, resulting in aggregate gross proceeds of $51.8 million. Additionally, we received approximately $0.1 million for interest that accrued from April 25, 2019 through May 7, 2019 with respect to the 2019 Additional Notes that was included in our interest payment on November 1, 2019.</w:t>
      </w:r>
    </w:p>
    <w:p>
      <w:pPr>
        <w:spacing w:after="0" w:line="178"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The 2024 Senior Secured Notes are guaranteed on a senior secured basis by Gogo Inc. and all of GIH’s existing and future restricted subsidiaries (other than Gogo Finance), subject to certain exceptions. The 2024 Senior Secured Notes and the related guarantees are secured by second-priority liens on the ABL Priority Collateral (as defined below) and by first-priority liens on the Cash Flow Priority Collateral (as defined below), including pledged equity interests of the Issuers and all of GIH’s existing and future restricted subsidiaries guaranteeing the 2024 Senior Secured Notes, except for certain excluded assets and subject to permitted liens. Upon the closing of the Transaction, certain subsidiaries were released from their guarantees under the 2024 Indenture, and certain of the ABL Priority Collateral and Cash Flow Priority Collateral were released.</w:t>
      </w:r>
    </w:p>
    <w:p>
      <w:pPr>
        <w:spacing w:after="0" w:line="178" w:lineRule="exact"/>
        <w:rPr>
          <w:sz w:val="20"/>
          <w:szCs w:val="20"/>
          <w:color w:val="auto"/>
        </w:rPr>
      </w:pPr>
    </w:p>
    <w:p>
      <w:pPr>
        <w:ind w:right="360" w:firstLine="589"/>
        <w:spacing w:after="0" w:line="263" w:lineRule="auto"/>
        <w:rPr>
          <w:sz w:val="20"/>
          <w:szCs w:val="20"/>
          <w:color w:val="auto"/>
        </w:rPr>
      </w:pPr>
      <w:r>
        <w:rPr>
          <w:rFonts w:ascii="Arial" w:cs="Arial" w:eastAsia="Arial" w:hAnsi="Arial"/>
          <w:sz w:val="18"/>
          <w:szCs w:val="18"/>
          <w:color w:val="auto"/>
        </w:rPr>
        <w:t>As of December 31, 2020 and 2019, the outstanding principal amount of the 2024 Senior Secured Notes was $975 million and $925 million, respectively, the unaccreted debt discount was $1.5 million and $3.9 million, respectively, and the net carrying amount was $973.5 million and $921.1 million, respectively.</w:t>
      </w:r>
    </w:p>
    <w:p>
      <w:pPr>
        <w:spacing w:after="0" w:line="184"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We used a portion of the net proceeds from the issuance of the Initial Notes and the 2019 Additional Notes to fund the redemption of all the outstanding 2022 Senior Secured Notes (as defined below) and to repurchase $159 million aggregate principal amount of the 2020 Convertible Notes (as defined below).</w:t>
      </w:r>
    </w:p>
    <w:p>
      <w:pPr>
        <w:spacing w:after="0" w:line="184"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The 2024 Senior Secured Notes will mature on May 1, 2024. The 2024 Senior Secured Notes bear interest at a rate of 9.875% per year, payable semiannually in arrears on May 1 and November 1 of each year, beginning on November 1, 2019.</w:t>
      </w:r>
    </w:p>
    <w:p>
      <w:pPr>
        <w:spacing w:after="0" w:line="170"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We paid approximately $22.6 million of origination fees and financing costs related to the issuance of the 2024 Senior Secured Notes, which have been accounted for as deferred financing costs. The deferred financing costs on our consolidated balance sheet are being amortized over the contractual term of the 2024 Senior Secured Notes using the effective interest method. Total amortization expense was $3.7 million and $2.3 million, respectively, for the years ended December 31, 2020 and 2019. Amortization expense is included in interest expense in the consolidated statements of operations. As of December 31, 2020 and 2019, the balance of unamortized deferred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t>financing costs related to the 2024 Senior Secured Notes was $16.6 million and $19.7 million, respectively, and is included as a reduction to long-term debt in our consolidated balance sheet. See Note 10, “Interest Costs,” for additional information.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2024 Senior Secured Notes are the senior secured indebtedness of the Issuers and are:</w:t>
      </w:r>
    </w:p>
    <w:p>
      <w:pPr>
        <w:spacing w:after="0" w:line="117" w:lineRule="exact"/>
        <w:rPr>
          <w:sz w:val="20"/>
          <w:szCs w:val="20"/>
          <w:color w:val="auto"/>
        </w:rPr>
      </w:pPr>
    </w:p>
    <w:p>
      <w:pPr>
        <w:ind w:left="1160" w:right="60" w:hanging="572"/>
        <w:spacing w:after="0" w:line="259"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effectively senior to (i) all of the Issuers’ existing and future senior unsecured indebtedness to the extent of the value of the collateral securing the 2024 Senior Secured Notes and (ii) the Issuers’ indebtedness secured on a junior priority basis by the same collateral securing the 2024 Senior Secured Notes to the extent of the value of such collateral, including the obligations under the ABL Credit Facility (as defined below) to the extent of the value of the Cash Flow Priority Collateral;</w:t>
      </w:r>
    </w:p>
    <w:p>
      <w:pPr>
        <w:spacing w:after="0" w:line="186" w:lineRule="exact"/>
        <w:rPr>
          <w:rFonts w:ascii="Arial" w:cs="Arial" w:eastAsia="Arial" w:hAnsi="Arial"/>
          <w:sz w:val="18"/>
          <w:szCs w:val="18"/>
          <w:color w:val="auto"/>
        </w:rPr>
      </w:pPr>
    </w:p>
    <w:p>
      <w:pPr>
        <w:ind w:left="1160" w:right="60" w:hanging="572"/>
        <w:spacing w:after="0" w:line="311" w:lineRule="auto"/>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effectively equal in right of payment with the Issuers’ existing and future (i) unsecured indebtedness that is not subordinated in right of payment to the 2024 Senior Secured Notes and (ii) indebtedness secured on a junior priority basis by the same collateral securing the 2024 Senior Secured Notes, if any, in each case to the extent of any insufficiency in the collateral securing the 2024 Senior Secured Notes;</w:t>
      </w:r>
    </w:p>
    <w:p>
      <w:pPr>
        <w:spacing w:after="0" w:line="40" w:lineRule="exact"/>
        <w:rPr>
          <w:rFonts w:ascii="Arial" w:cs="Arial" w:eastAsia="Arial" w:hAnsi="Arial"/>
          <w:sz w:val="16"/>
          <w:szCs w:val="16"/>
          <w:color w:val="auto"/>
        </w:rPr>
      </w:pPr>
    </w:p>
    <w:p>
      <w:pPr>
        <w:ind w:left="1160" w:right="14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structurally senior to all of our existing and future indebtedness, including our 2022 Convertible Notes and 2020 Convertible Notes (each as defined below);</w:t>
      </w:r>
    </w:p>
    <w:p>
      <w:pPr>
        <w:spacing w:after="0" w:line="62" w:lineRule="exact"/>
        <w:rPr>
          <w:rFonts w:ascii="Arial" w:cs="Arial" w:eastAsia="Arial" w:hAnsi="Arial"/>
          <w:sz w:val="18"/>
          <w:szCs w:val="18"/>
          <w:color w:val="auto"/>
        </w:rPr>
      </w:pPr>
    </w:p>
    <w:p>
      <w:pPr>
        <w:ind w:left="1160" w:right="38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senior in right of payment to any and all of the Issuers’ future indebtedness that is subordinated in right of payment to the 2024 Senior Secured Notes;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structurally subordinated to all of the indebtedness and other liabilities of any non-2024 Guarantors (other than the Issuers); and</w:t>
      </w:r>
    </w:p>
    <w:p>
      <w:pPr>
        <w:spacing w:after="0" w:line="128" w:lineRule="exact"/>
        <w:rPr>
          <w:rFonts w:ascii="Arial" w:cs="Arial" w:eastAsia="Arial" w:hAnsi="Arial"/>
          <w:sz w:val="17"/>
          <w:szCs w:val="17"/>
          <w:color w:val="auto"/>
        </w:rPr>
      </w:pPr>
    </w:p>
    <w:p>
      <w:pPr>
        <w:ind w:left="1160" w:right="80" w:hanging="572"/>
        <w:spacing w:after="0" w:line="263"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effectively subordinated to all of our existing and future indebtedness secured on a senior priority basis by the same collateral securing the 2024 Senior Secured Notes to the extent of the value of such collateral, including the obligations under the ABL Credit Facility to the extent of the value of ABL Priority Collateral.</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guarantee is a senior secured obligation of such 2024 Guarantor and is:</w:t>
      </w:r>
    </w:p>
    <w:p>
      <w:pPr>
        <w:spacing w:after="0" w:line="117" w:lineRule="exact"/>
        <w:rPr>
          <w:sz w:val="20"/>
          <w:szCs w:val="20"/>
          <w:color w:val="auto"/>
        </w:rPr>
      </w:pPr>
    </w:p>
    <w:p>
      <w:pPr>
        <w:ind w:left="1160" w:right="100" w:hanging="572"/>
        <w:spacing w:after="0" w:line="279" w:lineRule="auto"/>
        <w:tabs>
          <w:tab w:leader="none" w:pos="11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effectively senior in right of payment to all existing and future (i) senior unsecured indebtedness to the extent of the value of the collateral securing such guarantee owned by such 2024 Guarantor and (ii) indebtedness secured on a junior priority basis by the same collateral securing the guarantee owned by such 2024 Guarantor to the extent of the value of the collateral securing the guarantee, including the obligations under the ABL Credit Facility to the extent of the value of the Cash Flow Priority Collateral;</w:t>
      </w:r>
    </w:p>
    <w:p>
      <w:pPr>
        <w:spacing w:after="0" w:line="63"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effectively equal in right of payment with all existing and future unsubordinated indebtedness and indebtedness secured on a junior priority basis by the same collateral securing the guarantee owned by such 2024 Guarantor, if any, in each case to the extent of any insufficiency in the collateral securing such guarantee;</w:t>
      </w:r>
    </w:p>
    <w:p>
      <w:pPr>
        <w:spacing w:after="0" w:line="75"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effectively subordinated to the obligations under the ABL Credit Facility of each 2024 Guarantor to the extent of the value of the ABL Priority Collateral owned by such 2024 Guarantor;</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effectively senior in right of payment to all existing and future subordinated indebtedness, if any, of such 2024 Guarantor; and structurally subordinated to all indebtedness and other liabilities of any non-2024 Guarantor subsidiary.</w:t>
      </w:r>
    </w:p>
    <w:p>
      <w:pPr>
        <w:spacing w:after="0" w:line="170" w:lineRule="exact"/>
        <w:rPr>
          <w:sz w:val="20"/>
          <w:szCs w:val="20"/>
          <w:color w:val="auto"/>
        </w:rPr>
      </w:pPr>
    </w:p>
    <w:p>
      <w:pPr>
        <w:ind w:right="100" w:firstLine="630"/>
        <w:spacing w:after="0" w:line="272" w:lineRule="auto"/>
        <w:rPr>
          <w:sz w:val="20"/>
          <w:szCs w:val="20"/>
          <w:color w:val="auto"/>
        </w:rPr>
      </w:pPr>
      <w:r>
        <w:rPr>
          <w:rFonts w:ascii="Arial" w:cs="Arial" w:eastAsia="Arial" w:hAnsi="Arial"/>
          <w:sz w:val="17"/>
          <w:szCs w:val="17"/>
          <w:color w:val="auto"/>
        </w:rPr>
        <w:t>The security interests in certain collateral may be released without the consent of holders of the 2024 Senior Secured Notes if such collateral is disposed of in a transaction that complies with the 2024 Indenture and related security agreements, and if any grantor of such security interests is released from its obligations with respect to the 2024 Senior Secured Notes in accordance with the applicable provisions of the 2024 Indenture and related security agreements. Under certain circumstances, GIH and the 2024 Guarantors have the right to transfer certain intellectual property assets that on the Issue Date constitute collateral securing the 2024 Senior Secured Notes or the guarantees to a restricted subsidiary organized under the laws of Switzerland, resulting in the release of such collateral. In addition, the 2024 Indenture permits indebtedness incurred under the ABL Credit Facility to be secured on a first-priority basis by certain of the same collateral that secures the 2024 Senior Secured Notes.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1" w:name="page62"/>
    <w:bookmarkEnd w:id="61"/>
    <w:p>
      <w:pPr>
        <w:ind w:right="80" w:firstLine="589"/>
        <w:spacing w:after="0" w:line="263" w:lineRule="auto"/>
        <w:rPr>
          <w:sz w:val="20"/>
          <w:szCs w:val="20"/>
          <w:color w:val="auto"/>
        </w:rPr>
      </w:pPr>
      <w:r>
        <w:rPr>
          <w:rFonts w:ascii="Arial" w:cs="Arial" w:eastAsia="Arial" w:hAnsi="Arial"/>
          <w:sz w:val="18"/>
          <w:szCs w:val="18"/>
          <w:color w:val="auto"/>
        </w:rPr>
        <w:t>The Issuers may redeem the 2024 Senior Secured Notes, in whole or in part, at any time prior to May 1, 2021, at a redemption price equal to 100% of the principal amount of the 2024 Senior Secured Notes redeemed plus the make-whole premium set forth in the 2024 Indenture as of, and accrued and unpaid interest, if any, to (but not including) the applicable redemption date.</w:t>
      </w:r>
    </w:p>
    <w:p>
      <w:pPr>
        <w:spacing w:after="0" w:line="184"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On or after May 1, 2021, the 2024 Senior Secured Notes will be redeemable at the following redemption prices (expressed in percentages of principal amount), plus accrued and unpaid interest, if any, to (but not including) the redemption date (subject to the right of holders of record on the relevant regular record date on or prior to the redemption date to receive interest due on an interest payment date), if redeemed during the twelve-month period commencing on May 1 of the following years: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80" w:type="dxa"/>
            <w:vAlign w:val="bottom"/>
          </w:tcPr>
          <w:p>
            <w:pPr>
              <w:spacing w:after="0"/>
              <w:rPr>
                <w:sz w:val="19"/>
                <w:szCs w:val="19"/>
                <w:color w:val="auto"/>
              </w:rPr>
            </w:pPr>
          </w:p>
        </w:tc>
        <w:tc>
          <w:tcPr>
            <w:tcW w:w="2060" w:type="dxa"/>
            <w:vAlign w:val="bottom"/>
          </w:tcPr>
          <w:p>
            <w:pPr>
              <w:jc w:val="right"/>
              <w:ind w:right="570"/>
              <w:spacing w:after="0"/>
              <w:rPr>
                <w:sz w:val="20"/>
                <w:szCs w:val="20"/>
                <w:color w:val="auto"/>
              </w:rPr>
            </w:pPr>
            <w:r>
              <w:rPr>
                <w:rFonts w:ascii="Arial" w:cs="Arial" w:eastAsia="Arial" w:hAnsi="Arial"/>
                <w:sz w:val="18"/>
                <w:szCs w:val="18"/>
                <w:b w:val="1"/>
                <w:bCs w:val="1"/>
                <w:color w:val="auto"/>
              </w:rPr>
              <w:t>Redemption</w:t>
            </w:r>
          </w:p>
        </w:tc>
      </w:tr>
      <w:tr>
        <w:trPr>
          <w:trHeight w:val="234"/>
        </w:trPr>
        <w:tc>
          <w:tcPr>
            <w:tcW w:w="91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Year</w:t>
            </w:r>
          </w:p>
        </w:tc>
        <w:tc>
          <w:tcPr>
            <w:tcW w:w="20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Price</w:t>
            </w:r>
          </w:p>
        </w:tc>
      </w:tr>
      <w:tr>
        <w:trPr>
          <w:trHeight w:val="223"/>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104.938%</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2022</w:t>
            </w:r>
          </w:p>
        </w:tc>
        <w:tc>
          <w:tcPr>
            <w:tcW w:w="2060" w:type="dxa"/>
            <w:vAlign w:val="bottom"/>
          </w:tcPr>
          <w:p>
            <w:pPr>
              <w:jc w:val="right"/>
              <w:spacing w:after="0"/>
              <w:rPr>
                <w:sz w:val="20"/>
                <w:szCs w:val="20"/>
                <w:color w:val="auto"/>
              </w:rPr>
            </w:pPr>
            <w:r>
              <w:rPr>
                <w:rFonts w:ascii="Arial" w:cs="Arial" w:eastAsia="Arial" w:hAnsi="Arial"/>
                <w:sz w:val="18"/>
                <w:szCs w:val="18"/>
                <w:color w:val="auto"/>
              </w:rPr>
              <w:t>102.469%</w:t>
            </w:r>
          </w:p>
        </w:tc>
      </w:tr>
      <w:tr>
        <w:trPr>
          <w:trHeight w:val="229"/>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2023 and thereafter</w:t>
            </w: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r>
    </w:tbl>
    <w:p>
      <w:pPr>
        <w:spacing w:after="0" w:line="242"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In addition, at any time prior to May 1, 2021, the Issuers may redeem up to 40% of the aggregate principal amount of the 2024 Senior Secured Notes with the proceeds of certain equity offerings at a redemption price of 109.875% of the principal amount redeemed, plus accrued and unpaid interest, if any, to (but not including) the date of redemption;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2024 Senior Secured Notes representing at least 50% of the principal amount of the 2024 Senior Secured Notes remain outstanding immediately after each such redemption.</w:t>
      </w:r>
    </w:p>
    <w:p>
      <w:pPr>
        <w:spacing w:after="0" w:line="171"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2024 Indenture contains covenants that, among other things, limit the ability of the Issuers and the 2024 Subsidiary Guarantors and, in certain circumstances, our ability, to: incur additional indebtedness; pay dividends, redeem stock or make other distributions; make investments; create restrictions on the ability of GIH’s restricted subsidiaries to pay dividends to the Issuers or make other intercompany transfers; create liens; transfer or sell assets; merge or consolidate; and enter into certain transactions with the Issuers’ affiliates.</w:t>
      </w:r>
    </w:p>
    <w:p>
      <w:pPr>
        <w:spacing w:after="0" w:line="18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2024 Indenture also provides that if we complete certain sales or transfers of assets, we are required to apply the Net Cash Proceeds (as defined in the Base Indenture) generated therefrom within 365 days to either permanently repay indebtedness, in accordance with the terms of the 2024 Indenture, or invest in property or non-current assets of a nature or type used in our, or a similar or related, business. If we do not so apply the Net Cash Proceeds from the Transaction by December 1, 2021, GIH will be required to make an offer to repurchase for cash an aggregate principal amount of the 2024 Senior Secured Notes equal to any Net Cash Proceeds not so applied as of such date, at a repurchase price equal to 100% of the principal amount thereof, plus accrued and unpaid interest, if any, to (but not including) the payment date. As a result, we have classified $341 million of the 2024 Senior Secured Notes as short-term debt on the Consolidated Balance Sheet as of December 31, 2020, representing the amount of the 2024 Senior Secured Notes potentially to be repurchased with the Net Cash Proceeds.</w:t>
      </w:r>
    </w:p>
    <w:p>
      <w:pPr>
        <w:spacing w:after="0" w:line="178"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Most of these covenants, including the covenant related to the application of Net Cash Proceeds from certain sales or transfers of assets, will cease to apply if, and for as long as, the 2024 Senior Secured Notes have investment grade ratings from both Moody’s Investment Services, Inc. and Standard &amp; Poor’s. If we or the Issuers undergo specific types of change of control accompanied by a downgrade in the rating of the 2024 Senior Secured Notes prior to May 1, 2024, GIH is required to make an offer to repurchase for cash all of the 2024 Senior Secured Notes at a repurchase price equal to 101% of the principal amount thereof, plus accrued and unpaid interest, if any, to (but not including) the payment date. The 2024 Indenture provides for events of default, which, if any of them occur, would permit or require the principal, premium, if any, and interest on all of the then outstanding 2024 Senior Secured Notes issued under the 2024 Indenture to be due and payable immediately. As of December 31, 2020, no event of default had occurred.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Credit Facility</w:t>
      </w:r>
    </w:p>
    <w:p>
      <w:pPr>
        <w:spacing w:after="0" w:line="117"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On August 26, 2019, Gogo Inc., GIH and Gogo Finance (together GIH and Gogo Finance are referred to as the “Borrowers”) entered into a credit agreement (the “ABL Credit Agreement”) among the Borrowers, the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right="360"/>
        <w:spacing w:after="0" w:line="263" w:lineRule="auto"/>
        <w:rPr>
          <w:sz w:val="20"/>
          <w:szCs w:val="20"/>
          <w:color w:val="auto"/>
        </w:rPr>
      </w:pPr>
      <w:r>
        <w:rPr>
          <w:rFonts w:ascii="Arial" w:cs="Arial" w:eastAsia="Arial" w:hAnsi="Arial"/>
          <w:sz w:val="18"/>
          <w:szCs w:val="18"/>
          <w:color w:val="auto"/>
        </w:rPr>
        <w:t>loan parties party thereto, the lenders party thereto, JPMorgan Chase Bank, N.A., as administrative agent (the “Administrative Agent”), and Morgan Stanley Senior Funding, Inc., as syndication agent, which provides for an asset-based revolving credit facility (the “ABL Credit Facility”) of up to $30 million, subject to borrowing base availability, and includes letter of credit and swingline sub-facilities.</w:t>
      </w:r>
    </w:p>
    <w:p>
      <w:pPr>
        <w:spacing w:after="0" w:line="184"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Borrowing availability under the ABL Credit Facility is determined by a monthly borrowing base collateral calculation that is based on specified percentages of the value of eligible accounts receivable (including eligible unbilled accounts receivable) and eligible credit card receivables, less certain reserves and subject to certain other adjustments as set forth in the ABL Credit Agreement. Availability is reduced by issuance of letters of credit as well as any borrowings. As of December 31, 2020, the facility was undrawn and $21.9 million remained available for borrowing under the terms of the agreement that would allow for the company to meet the “payment conditions” criteria as described in our ABL Credit Agreement. As of December 31, 2019, the facility was undrawn.</w:t>
      </w:r>
    </w:p>
    <w:p>
      <w:pPr>
        <w:spacing w:after="0" w:line="19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final maturity of the ABL Credit Facility is August 26, 2022, unless the aggregate outstanding principal amount of our 2022 Convertible Notes (as defined below) has not, on or prior to December 15, 2021, been repaid in full or refinanced with a new maturity date no earlier than February 26, 2023, in which case the final maturity date shall instead be December 16, 2021.</w:t>
      </w:r>
    </w:p>
    <w:p>
      <w:pPr>
        <w:spacing w:after="0" w:line="184"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Loans outstanding under the ABL Credit Facility bear interest at a floating rate measured by reference to, at the Borrowers’ option, either (i) an adjusted London inter-bank offered rate plus an applicable margin ranging from 1.50% to 2.00% per annum depending on a fixed charge coverage ratio, or</w:t>
      </w:r>
    </w:p>
    <w:p>
      <w:pPr>
        <w:ind w:right="40" w:firstLine="8"/>
        <w:spacing w:after="0" w:line="255"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alternate base rate plus an applicable margin ranging from 0.50% to 1.00% per annum depending on a fixed charge coverage ratio. Unused commitments under the ABL Credit Facility are subject to a per annum fee ranging from 0.25% to 0.375% depending on the average quarterly usage of the revolving commitments.</w:t>
      </w:r>
    </w:p>
    <w:p>
      <w:pPr>
        <w:spacing w:after="0" w:line="190"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The obligations under the ABL Credit Agreement are guaranteed by Gogo Inc. and all of its existing and future subsidiaries, subject to certain exceptions (collectively, the “ABL Guarantors”), and such obligations and the obligations of the ABL Guarantors are secured on a (i) senior basis by a perfected security interest in all present and after-acquired inventory, accounts receivable, deposit accounts, securities accounts, and any cash or other assets in such accounts and other related assets owned by each ABL Guarantor and the proceeds of the foregoing, subject to certain exceptions (the “ABL Priority Collateral”) and (ii) junior basis by a perfected security interest in substantially all other tangible and intangible assets owned by each ABL Guarantor (the “Cash Flow Priority Collateral”).</w:t>
      </w:r>
    </w:p>
    <w:p>
      <w:pPr>
        <w:spacing w:after="0" w:line="192"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ABL Credit Agreement contains customary representations and warranties and customary affirmative and negative covenants. The negative covenants include restrictions on, among other things: the incurrence of additional indebtedness; the incurrence of additional liens; dividends or other distributions on equity; the purchase, redemption or retirement of capital stock; the payment or redemption of certain indebtedness; loans, guarantees and other investments; entering into other agreements that create restrictions on the ability to pay dividends or make other distributions on equity, make or repay certain loans, create or incur certain liens or guarantee certain indebtedness; asset sales; sale-leaseback transactions; swap agreements; consolidations or mergers; amendment of certain material documents; certain regulatory matters; Canadian pension plans; and affiliate transactions. The negative covenants are subject to customary exceptions and also permit dividends and other distributions on equity, investments, permitted acquisitions and payments or redemptions of indebtedness upon satisfaction of the “payment conditions.” The payment conditions are deemed satisfied upon Specified Availability (as defined in the ABL Credit Agreement) on the date of the designated action and Specified Availability for the prior 30-day period exceeding agreed-upon thresholds, the absence of the occurrence and continuance of any default and, in certain cases, pro forma compliance with a fixed charge coverage ratio of no less than 1.10 to 1.00.</w:t>
      </w:r>
    </w:p>
    <w:p>
      <w:pPr>
        <w:spacing w:after="0" w:line="182"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ABL Credit Agreement includes a minimum fixed charge coverage ratio test of no less than 1.00 to 1.00, which is tested only when Specified Availability is less than the greater of (A) $4.5 million and (B) 15.0% of the then effective commitments under the ABL Credit Facility, and continuing until the first day immediately succeeding the last day of the calendar month which includes the thirtieth (30th) consecutive day on which Specified Availability is in excess of such threshold so long as no default has occurred and is continuing and certain other conditions are met. As of December 31, 2020, Specified Availability had not fallen below the amount specified and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ind w:right="100"/>
        <w:spacing w:after="0" w:line="277" w:lineRule="auto"/>
        <w:rPr>
          <w:sz w:val="20"/>
          <w:szCs w:val="20"/>
          <w:color w:val="auto"/>
        </w:rPr>
      </w:pPr>
      <w:r>
        <w:rPr>
          <w:rFonts w:ascii="Arial" w:cs="Arial" w:eastAsia="Arial" w:hAnsi="Arial"/>
          <w:sz w:val="18"/>
          <w:szCs w:val="18"/>
          <w:color w:val="auto"/>
        </w:rPr>
        <w:t>therefore the minimum fixed charge coverage ratio test was not applicable. Full availability under the ABL Credit Facility may be limited by our ability to comply with the fixed charge coverage ratio in future periods.</w:t>
      </w:r>
    </w:p>
    <w:p>
      <w:pPr>
        <w:spacing w:after="0" w:line="170" w:lineRule="exact"/>
        <w:rPr>
          <w:sz w:val="20"/>
          <w:szCs w:val="20"/>
          <w:color w:val="auto"/>
        </w:rPr>
      </w:pPr>
    </w:p>
    <w:p>
      <w:pPr>
        <w:jc w:val="both"/>
        <w:ind w:right="260" w:firstLine="589"/>
        <w:spacing w:after="0" w:line="263" w:lineRule="auto"/>
        <w:rPr>
          <w:sz w:val="20"/>
          <w:szCs w:val="20"/>
          <w:color w:val="auto"/>
        </w:rPr>
      </w:pPr>
      <w:r>
        <w:rPr>
          <w:rFonts w:ascii="Arial" w:cs="Arial" w:eastAsia="Arial" w:hAnsi="Arial"/>
          <w:sz w:val="18"/>
          <w:szCs w:val="18"/>
          <w:color w:val="auto"/>
        </w:rPr>
        <w:t>The ABL Credit Agreement provides for events of default, which, if any of them occurs, would permit or require the principal, premium, if any, and interest on all of the then outstanding obligations under the ABL Credit Facility to be due and payable immediately and the commitments under the ABL Credit Facility to be terminated.</w:t>
      </w:r>
    </w:p>
    <w:p>
      <w:pPr>
        <w:spacing w:after="0" w:line="184"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On August 26, 2019, the Borrowers and the ABL Guarantors entered into an ABL collateral agreement (the “ABL Collateral Agreement”), in favor of the Administrative Agent, whereby the Borrowers and the ABL Guarantors granted a security interest in substantially all tangible and intangible assets of each Borrower and each ABL Guarantor, to secure all obligations of the Borrowers and the ABL Guarantors under the ABL Credit Agreement, and U.S. Bank National Association, as cash flow collateral representative, and JPMorgan Chase Bank, N.A., as ABL agent, entered into a crossing lien intercreditor agreement (the “Intercreditor Agreement”) to govern the relative priority of liens on the collateral that secures the ABL Credit Agreement and the 2024 Senior Secured Notes and certain other rights, priorities and interests.</w:t>
      </w:r>
    </w:p>
    <w:p>
      <w:pPr>
        <w:spacing w:after="0" w:line="178"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On November 30, 2020, the Issuers entered into a limited consent to the ABL Credit Agreement with the financial institutions listed on the signature pages thereof and JPMorgan Chase Bank, N.A., as administrative agent, pursuant to which the Lenders (as defined in the ABL Credit Agreement) provided consent to the consummation of the Transaction.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Senior Secured Notes</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On June 14, 2016, the Issuers issued $525 million aggregate principal amount of 12.500% senior secured notes due 2022 (the “Original 2022 Senior Secured Notes”) under an Indenture, dated as of June 14, 2016 (the “Original Indenture”), among the Issuers, us, as guarantor, certain subsidiaries of GIH, as guarantors (the “2022 Subsidiary Guarantors” and, together with us, the “2022 Guarantors”), and U.S. Bank National Association, as Trustee and as Collateral Agent. On January 3, 2017, the Issuers issued $65 million aggregate principal amount of additional 12.500% senior secured notes due 2022 (the “January 2017 Additional Notes”). The January 2017 Additional Notes were issued at a price equal to 108% of their face value resulting in gross proceeds of $70.2 million. On September 20, 2017, the Issuers, the 2022 Guarantors and the Trustee entered into the first supplemental indenture (the “Supplemental Indenture” and, together with the Original Indenture, the “Indenture”) to modify certain covenants, as discussed below. On September 25, 2017, the Issuers issued $100 million aggregate principal amount of additional 12.500% senior secured notes due 2022 (the “September 2017 Additional Notes”). The September 2017 Additional Notes were issued at a price equal to 113% of their face value resulting in gross proceeds of $113.0 million. Additionally, we received approximately $2.9 million for interest that accrued from July 1, 2017 through September 24, 2017, which was paid in our January 2018 interest payment. We refer to the Original 2022 Senior Secured Notes, the January 2017 Additional Notes and the September 2017 Additional Notes collectively as the “2022 Senior Secured Notes.”</w:t>
      </w:r>
    </w:p>
    <w:p>
      <w:pPr>
        <w:spacing w:after="0" w:line="179"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On April 15, 2019, the Issuers elected to call for redemption in full all $690 million aggregate principal amount outstanding of the 2022 Senior Secured Notes in accordance with the terms of the Indenture. The redemption was conditioned, among other things, upon the incurrence of indebtedness in connection with the issuance of the 2024 Senior Secured Notes or from one or more other sources, in an amount satisfactory to the Issuers which condition was satisfied by the issuance of the 2024 Senior Secured Notes. On April 25, 2019, the Issuers irrevocably deposited, or caused to be irrevocably deposited, with the Trustee funds solely for the benefit of the holders of the 2022 Senior Secured Notes, cash in an amount sufficient to pay principal, premium, if any, and accrued interest on the 2022 Senior Secured Notes to, but not including, the date of redemption and all other sums payable under the Indenture. The Trustee executed and delivered an acknowledgement of satisfaction, discharge and release, dated as of April 25, 2019, among other documents, with respect to the satisfaction and discharge of the 2022 Senior Secured Notes. On May 15, 2019, the 2022 Senior Secured Notes were fully redeemed in accordance with the terms of the Indenture, and the amount deposited with the Trustee on April 25, 2019 was paid to the holders of the 2022 Senior Secured Notes. The make-whole premium paid in connection with the redemption was $51.4 million and we wrote off the remaining unamortized deferred financing costs of $9.1 million and the remaining debt premium of $11.7 million relating to the 2022 Senior Secured Notes in connection with the redemption thereof,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which together are included in the loss on extinguishment of debt in our consolidated statements of operations for the year ended December 31, 2019.</w:t>
      </w:r>
    </w:p>
    <w:p>
      <w:pPr>
        <w:spacing w:after="0" w:line="248" w:lineRule="exact"/>
        <w:rPr>
          <w:sz w:val="20"/>
          <w:szCs w:val="20"/>
          <w:color w:val="auto"/>
        </w:rPr>
      </w:pPr>
    </w:p>
    <w:p>
      <w:pPr>
        <w:ind w:right="180" w:firstLine="589"/>
        <w:spacing w:after="0" w:line="296" w:lineRule="auto"/>
        <w:rPr>
          <w:sz w:val="20"/>
          <w:szCs w:val="20"/>
          <w:color w:val="auto"/>
        </w:rPr>
      </w:pPr>
      <w:r>
        <w:rPr>
          <w:rFonts w:ascii="Arial" w:cs="Arial" w:eastAsia="Arial" w:hAnsi="Arial"/>
          <w:sz w:val="16"/>
          <w:szCs w:val="16"/>
          <w:color w:val="auto"/>
        </w:rPr>
        <w:t>We paid approximately $15.9 million of aggregate origination fees and financing costs related to the issuance of the 2022 Senior Secured Notes which were accounted for as deferred financing costs. Additionally, we paid approximately $1.4 million of consent fees in connection with the Supplemental Indenture, which partially offset the net carrying value of the 2022 Senior Secured Notes. Total amortization expense was $0.9 million and $2.6 million, respectively, for the years ended December 31, 2019 and 2018. Amortization expense is included in interest expense in the consolidated statements of operations. As noted above, the remaining unamortized deferred financing costs were written off as of May 15,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 The 2022 Convertible Notes mature on May 15, 2022, unless earlier repurchased or converted into shares of our common stock under certain circumstances described below. Upon maturity, we have the option to settle our obligation through cash, shares of common stock, or a combination of cash and shares of common stock. We pay interest on the 2022 Convertible Notes semi-annually in arrears on May 15 and November 15 of each year, beginning on May 15, 2019.</w:t>
      </w:r>
    </w:p>
    <w:p>
      <w:pPr>
        <w:spacing w:after="0" w:line="178"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The $237.8 million of proceeds received from the issuance of the 2022 Convertible Notes was initially allocated between long-term debt (the liability component) at $188.7 million and additional paid-in capital (the equity component) at $49.1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If we or the note holders elect not to settle the debt through conversion, we must settle the 2022 Convertible Notes at face value. Therefore, the liability component will be accreted up to the face value of the 2022 Convertible Notes, which will result in additional non-cash interest expense being recognized in the consolidated statements of operations through the 2022 Convertible Notes maturity date (see Note 8, “Interest Costs,” for additional information). The effective interest rate on the 2022 Convertible Notes, including accretion of the notes to par and debt issuance cost amortization, was approximately 13.6%. The equity component will not be remeasured as long as it continues to meet the conditions for equity classification.</w:t>
      </w:r>
    </w:p>
    <w:p>
      <w:pPr>
        <w:spacing w:after="0" w:line="194"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As of December 31, 2020 and 2019, the outstanding principal on the 2022 Convertible Notes was $237.8 million, the unaccreted debt discount was $22.7 million and $35.9 million, respectively, and the net carrying amount of the liability component was $215.1 million and $201.9 million, respectively.</w:t>
      </w:r>
    </w:p>
    <w:p>
      <w:pPr>
        <w:spacing w:after="0" w:line="124"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We incurred approximately $8.1 million of issuance costs related to the issuance of the 2022 Convertible Notes, of which $6.4 million and $1.7 million were recorded to deferred financing costs and additional paid-in capital, respectively, in proportion to the allocation of the proceeds of the 2022 Convertible Notes. The $6.4 million recorded as deferred financing costs on our consolidated balance sheet is being amortized over the term of the 2022 Convertible Notes using the effective interest method. Total amortization expense was $1.8 million and $1.7 million, respectively, for the years ended December 31, 2020 and 2019. Amortization expense is included in interest expense in the consolidated statements of operations. As of December 31, 2020 and 2019, the balance of unamortized deferred financing costs related to the 2022 Convertible Notes was $2.7 million and $4.5 million, respectively, and is included as a reduction to long-term debt in our consolidated balance sheets. See Note 8, “Interest Costs,” for additional information.</w:t>
      </w:r>
    </w:p>
    <w:p>
      <w:pPr>
        <w:spacing w:after="0" w:line="166"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2022 Convertible Notes had an initial conversion rate of 166.6667 common shares per $1,000 principal amount of 2022 Convertible Notes, which is equivalent to an initial conversion price of approximately $6.00 per share of our common stock. Upon conversion, we currently expect to settle in shares for the amount of the 2022</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5" w:name="page66"/>
    <w:bookmarkEnd w:id="65"/>
    <w:p>
      <w:pPr>
        <w:ind w:right="740"/>
        <w:spacing w:after="0" w:line="342" w:lineRule="auto"/>
        <w:rPr>
          <w:sz w:val="20"/>
          <w:szCs w:val="20"/>
          <w:color w:val="auto"/>
        </w:rPr>
      </w:pPr>
      <w:r>
        <w:rPr>
          <w:rFonts w:ascii="Arial" w:cs="Arial" w:eastAsia="Arial" w:hAnsi="Arial"/>
          <w:sz w:val="16"/>
          <w:szCs w:val="16"/>
          <w:color w:val="auto"/>
        </w:rPr>
        <w:t>Convertible Notes then outstanding. We may elect to deliver cash in lieu of all or a portion of such shares. The shares of common stock subject to conversion are excluded from diluted earnings per share calculations under the if-converted method as their impact is anti-dilutive.</w:t>
      </w:r>
    </w:p>
    <w:p>
      <w:pPr>
        <w:spacing w:after="0" w:line="124"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Holders may convert the 2022 Convertible Notes, at their option, in multiples of $1,000 principal amount at any time prior to January 15, 2022, but only in the following circumstances:</w:t>
      </w:r>
    </w:p>
    <w:p>
      <w:pPr>
        <w:spacing w:after="0" w:line="62" w:lineRule="exact"/>
        <w:rPr>
          <w:sz w:val="20"/>
          <w:szCs w:val="20"/>
          <w:color w:val="auto"/>
        </w:rPr>
      </w:pPr>
    </w:p>
    <w:p>
      <w:pPr>
        <w:ind w:left="1160" w:hanging="572"/>
        <w:spacing w:after="0" w:line="259"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any fiscal quarter beginning after the fiscal quarter ended December 31, 2018, if the last reported sale price of our common stock for at least 20 trading days (whether or not consecutive) during the last 30 consecutive trading days of the immediately preceding fiscal quarter is greater than or equal to 130% of the conversion price of the 2022 Convertible Notes on each applicable trading day (the “Stock Price Condition”);</w:t>
      </w:r>
    </w:p>
    <w:p>
      <w:pPr>
        <w:spacing w:after="0" w:line="78" w:lineRule="exact"/>
        <w:rPr>
          <w:rFonts w:ascii="Arial" w:cs="Arial" w:eastAsia="Arial" w:hAnsi="Arial"/>
          <w:sz w:val="18"/>
          <w:szCs w:val="18"/>
          <w:color w:val="auto"/>
        </w:rPr>
      </w:pPr>
    </w:p>
    <w:p>
      <w:pPr>
        <w:jc w:val="both"/>
        <w:ind w:left="1160" w:right="120" w:hanging="572"/>
        <w:spacing w:after="0" w:line="263"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five-business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(the “Notes Price Condition”); or</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The Stock Price Condition was triggered for the period from October 1, 2020 through December 31, 2020. Regardless of whether any of the foregoing circumstances occurs, a holder may convert its 2022 Convertible Notes, in multiples of $1,000 principal amount, at any time on or after January 15, 2022 until the second scheduled trading day immediately preceding May 15, 2022.</w:t>
      </w:r>
    </w:p>
    <w:p>
      <w:pPr>
        <w:spacing w:after="0" w:line="184"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In addition, if we undergo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we will increase the conversion rate in certain circumstances for a holder who elects to convert its 2022 Convertible Notes in connection with such make-whole fundamental change.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Convertible Notes</w:t>
      </w:r>
    </w:p>
    <w:p>
      <w:pPr>
        <w:spacing w:after="0" w:line="117"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On March 3, 2015, we issued $340.0 million aggregate principal amount of 3.75% Convertible Senior Notes due 2020 (the “2020 Convertible Notes”) in a private offering to qualified institutional buyers, pursuant to Rule 144A under the Securities Act. We granted an option to the initial purchasers to purchase up to an additional $60.0 million aggregate principal amount of 2020 Convertible Notes to cover over-allotments, of which $21.9 million was subsequently exercised during March 2015, resulting in a total issuance of $361.9 million aggregate principal amount of 2020 Convertible Notes. We paid interest on the 2020 Convertible Notes semi-annually in arrears on March 1 and September 1 of each year. Interest payments began on September 1, 2015. In November 2018, in connection with the issuance of the 2022 Convertible Notes, we repurchased $199.9 million outstanding principal amount of the 2020 Convertible Notes at par value. As a result of the repurchase, the carrying value of the 2020 Convertible Notes was adjusted by $17.9 million to face value and included in the loss on extinguishment of debt in our consolidated statements of operations for the year ended December 31, 2018.</w:t>
      </w:r>
    </w:p>
    <w:p>
      <w:pPr>
        <w:spacing w:after="0" w:line="196"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On April 18, 2019, we commenced a cash tender offer (the “Tender Offer”) to purchase any and all of the outstanding 2020 Convertible Notes for an amount equal to $1,000 per $1,000 principal amount of 2020 Convertible Notes purchased, plus accrued and unpaid interest from the last interest payment date on the 2020 Convertible Notes to, but not including, the date of payment for the 2020 Convertible Notes accepted in the Tender Offer. The Tender Offer expired on May 15, 2019, resulting in the purchase of $159.0 million of outstanding 2020 Convertible Notes. As a result of the Tender Offer, the carrying value of the 2020 Convertible Notes was adjusted by $8.5 million to face value and unamortized deferred financing costs of $0.6 million were expensed. These two items are included in the loss on extinguishment of debt in our consolidated statements of operations for the year ended December 31, 2019. During September 2019, we purchased an additional $0.5 million of outstanding 2020 Convertible Notes. The 2020 Convertible Notes matured on March 1, 2020.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6" w:name="page67"/>
    <w:bookmarkEnd w:id="66"/>
    <w:p>
      <w:pPr>
        <w:ind w:right="40" w:firstLine="589"/>
        <w:spacing w:after="0" w:line="253" w:lineRule="auto"/>
        <w:rPr>
          <w:sz w:val="20"/>
          <w:szCs w:val="20"/>
          <w:color w:val="auto"/>
        </w:rPr>
      </w:pPr>
      <w:r>
        <w:rPr>
          <w:rFonts w:ascii="Arial" w:cs="Arial" w:eastAsia="Arial" w:hAnsi="Arial"/>
          <w:sz w:val="18"/>
          <w:szCs w:val="18"/>
          <w:color w:val="auto"/>
        </w:rPr>
        <w:t>The $361.9 million of proceeds received from the issuance of the 2020 Convertible Notes was initially allocated between long-term debt (the liability component) at $261.9 million and additional paid-in capital (the equity component) at $100.0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2020 Convertible Notes. If we or the holders of 2020 Convertible Notes elected not to settle the debt through conversion, we were required to settle the 2020 Convertible Notes at face value. Therefore, the liability component was accreted up to the face value of the 2020 Convertible Notes, which resulted in additional non-cash interest expense being recognized in the consolidated statements of operations (see Note 8, “Interest Costs,” for additional information). The effective interest rate on the 2020 Convertible Notes, including accretion of the notes to par and debt issuance cost amortization, was approximately 11.5%.</w:t>
      </w:r>
    </w:p>
    <w:p>
      <w:pPr>
        <w:spacing w:after="0" w:line="196"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As of December 31, 2019, the outstanding principal on the 2020 Convertible Notes was $2.5 million, the unamortized debt discount was zero, and the net carrying amount of the liability component was $2.5 million.</w:t>
      </w:r>
    </w:p>
    <w:p>
      <w:pPr>
        <w:spacing w:after="0" w:line="170"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incurred approximately $10.4 million of issuance costs related to the issuance of the 2020 Convertible Notes, of which $7.5 million and $2.9 million were recorded to deferred financing costs and additional paid-in capital, respectively, in proportion to the allocation of the proceeds of the 2020 Convertible Notes. The $7.5 million recorded as deferred financing costs on our consolidated balance sheet is being amortized over the term of the 2020 Convertible Notes using the effective interest method. Total amortization expense of the deferred financing costs was zero, $0.2 million and $1.4 million, respectively, for the years ended December 31, 2020, 2019 and 2018. Amortization expense is included in interest expense in the consolidated statements of operations. As of December 31, 2019, the balance of unamortized deferred financing costs related to the 2020 Convertible Notes was zero. See Note 10, “Interest Costs,” for additional information.</w:t>
      </w:r>
    </w:p>
    <w:p>
      <w:pPr>
        <w:spacing w:after="0" w:line="195"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The 2020 Convertible Notes had an initial conversion rate of 41.9274 common shares per $1,000 principal amount of 2020 Convertible Notes, which was equivalent to an initial conversion price of approximately $23.85 per share of our common stock. We had the option to elect to deliver cash in lieu of all or a portion of such shares. The shares of common stock subject to conversion were excluded from diluted earnings per share calculations under the if-converted method as their impact is anti-dilutive.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Transactions</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connection with the issuance of the 2020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187"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In the future, we may request that the 2022 Forward Counterparty modify the settlement terms of the Amended and Restated Forward Transaction to provide that, in lieu of the delivery of the applicable number of shares of our common stock to us to settle a portion of the Amended and Restated Forward Transaction in accordance with its terms, the 2022 Forward Counterparty would pay to us the net proceeds from the sale by the 2022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2022 Forward Counterparty is not required to effect any such settlement in cash in lieu of delivery of shares of our common stock and, if we request that the 2022 Forward Counterparty effect any such settlement, it will be entered into in the discretion of the 2022 Forward Counterparty on such terms as may be mutually agreed upon at the time. As a result of the Forward Transactions, total shareholders’ equity within our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right="200"/>
        <w:spacing w:after="0" w:line="311" w:lineRule="auto"/>
        <w:rPr>
          <w:sz w:val="20"/>
          <w:szCs w:val="20"/>
          <w:color w:val="auto"/>
        </w:rPr>
      </w:pPr>
      <w:r>
        <w:rPr>
          <w:rFonts w:ascii="Arial" w:cs="Arial" w:eastAsia="Arial" w:hAnsi="Arial"/>
          <w:sz w:val="16"/>
          <w:szCs w:val="16"/>
          <w:color w:val="auto"/>
        </w:rPr>
        <w:t>consolidated balance sheet was reduced by approximately $140 million. Between March 5-6, 2020, approximately 5.1 million shares of common stock were delivered to us in connection with the Forward Transactions. The approximately 2.1 million shares of common stock remaining under the Amended and Restated Forward Transactions are treated as retired shares for basic and diluted EPS purposes although they remain legally outstanding.</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jc w:val="both"/>
        <w:ind w:right="120" w:firstLine="589"/>
        <w:spacing w:after="0" w:line="259" w:lineRule="auto"/>
        <w:rPr>
          <w:sz w:val="20"/>
          <w:szCs w:val="20"/>
          <w:color w:val="auto"/>
        </w:rPr>
      </w:pPr>
      <w:r>
        <w:rPr>
          <w:rFonts w:ascii="Arial" w:cs="Arial" w:eastAsia="Arial" w:hAnsi="Arial"/>
          <w:sz w:val="18"/>
          <w:szCs w:val="18"/>
          <w:color w:val="auto"/>
        </w:rPr>
        <w:t>Our restricted cash balances were $0.5 million and $7.7 million, respectively, as of December 31, 2020 and 2019. The balance as of December 31, 2020 consisted of a letter of credit issued for the benefit of the landlord of our current office location in Broomfield, CO. The balance as of December 31, 2019 primarily consisted of letters of credit for office locations in Broomfield, CO, Chicago, IL and Bensenville, IL as well as cash restricted to repay the remaining balance of the 2020 Convertible Notes which matured in March 2020.</w:t>
      </w:r>
    </w:p>
    <w:p>
      <w:pPr>
        <w:spacing w:after="0" w:line="187" w:lineRule="exact"/>
        <w:rPr>
          <w:sz w:val="20"/>
          <w:szCs w:val="20"/>
          <w:color w:val="auto"/>
        </w:rPr>
      </w:pPr>
    </w:p>
    <w:p>
      <w:pPr>
        <w:ind w:right="60" w:firstLine="589"/>
        <w:spacing w:after="0" w:line="308" w:lineRule="auto"/>
        <w:rPr>
          <w:sz w:val="20"/>
          <w:szCs w:val="20"/>
          <w:color w:val="auto"/>
        </w:rPr>
      </w:pPr>
      <w:r>
        <w:rPr>
          <w:rFonts w:ascii="Arial" w:cs="Arial" w:eastAsia="Arial" w:hAnsi="Arial"/>
          <w:sz w:val="17"/>
          <w:szCs w:val="17"/>
          <w:color w:val="auto"/>
        </w:rPr>
        <w:t>For additional information on the 2024 Senior Secured Notes, the ABL Credit Facility, the 2022 Senior Secured Notes, the 2022 Convertible Notes and the 2020 Convertible Notes, see Note 9, “Long-Term Debt and Other Liabilities,” to our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360" w:firstLine="589"/>
        <w:spacing w:after="0" w:line="342" w:lineRule="auto"/>
        <w:rPr>
          <w:sz w:val="20"/>
          <w:szCs w:val="20"/>
          <w:color w:val="auto"/>
        </w:rPr>
      </w:pPr>
      <w:r>
        <w:rPr>
          <w:rFonts w:ascii="Arial" w:cs="Arial" w:eastAsia="Arial" w:hAnsi="Arial"/>
          <w:sz w:val="16"/>
          <w:szCs w:val="16"/>
          <w:color w:val="auto"/>
        </w:rPr>
        <w:t xml:space="preserve">The following table summarizes our contractual obligations (including those that require us to make future cash payments) as of December 31, 2020. The future contractual requirements include payments required for our operating leases and contractual purchase agreements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Less than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More than</w:t>
            </w:r>
          </w:p>
        </w:tc>
      </w:tr>
      <w:tr>
        <w:trPr>
          <w:trHeight w:val="234"/>
        </w:trPr>
        <w:tc>
          <w:tcPr>
            <w:tcW w:w="3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1 year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ind w:left="16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5 years</w:t>
            </w: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Contractual Obligations:</w:t>
            </w: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925</w:t>
            </w:r>
          </w:p>
        </w:tc>
        <w:tc>
          <w:tcPr>
            <w:tcW w:w="38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1,108</w:t>
            </w:r>
          </w:p>
        </w:tc>
        <w:tc>
          <w:tcPr>
            <w:tcW w:w="38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68,145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25,157</w:t>
            </w:r>
          </w:p>
        </w:tc>
        <w:tc>
          <w:tcPr>
            <w:tcW w:w="60" w:type="dxa"/>
            <w:vAlign w:val="bottom"/>
            <w:shd w:val="clear" w:color="auto" w:fill="CFF0FC"/>
          </w:tcPr>
          <w:p>
            <w:pPr>
              <w:spacing w:after="0"/>
              <w:rPr>
                <w:sz w:val="19"/>
                <w:szCs w:val="19"/>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(1)</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2022 Convertible Notes </w:t>
            </w:r>
            <w:r>
              <w:rPr>
                <w:rFonts w:ascii="Arial" w:cs="Arial" w:eastAsia="Arial" w:hAnsi="Arial"/>
                <w:sz w:val="15"/>
                <w:szCs w:val="15"/>
                <w:color w:val="auto"/>
              </w:rPr>
              <w:t>(2)</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237,750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Interest on 2022 Convertible Notes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2024 Senior Secured Notes </w:t>
            </w:r>
            <w:r>
              <w:rPr>
                <w:rFonts w:ascii="Arial" w:cs="Arial" w:eastAsia="Arial" w:hAnsi="Arial"/>
                <w:sz w:val="15"/>
                <w:szCs w:val="15"/>
                <w:color w:val="auto"/>
              </w:rPr>
              <w:t>(2)</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341,000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634,000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Interest on 2024 Senior Secured Notes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328,549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96,281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192,562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revenue arrangements </w:t>
            </w:r>
            <w:r>
              <w:rPr>
                <w:rFonts w:ascii="Arial" w:cs="Arial" w:eastAsia="Arial" w:hAnsi="Arial"/>
                <w:sz w:val="15"/>
                <w:szCs w:val="15"/>
                <w:color w:val="auto"/>
              </w:rPr>
              <w:t>(3)</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long-term obligations </w:t>
            </w:r>
            <w:r>
              <w:rPr>
                <w:rFonts w:ascii="Arial" w:cs="Arial" w:eastAsia="Arial" w:hAnsi="Arial"/>
                <w:sz w:val="15"/>
                <w:szCs w:val="15"/>
                <w:color w:val="auto"/>
              </w:rPr>
              <w:t>(4)</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49,861</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8,574</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13,659</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26,067</w:t>
            </w:r>
          </w:p>
        </w:tc>
        <w:tc>
          <w:tcPr>
            <w:tcW w:w="60" w:type="dxa"/>
            <w:vAlign w:val="bottom"/>
            <w:tcBorders>
              <w:bottom w:val="single" w:sz="8" w:color="CFF0FC"/>
            </w:tcBorders>
          </w:tcPr>
          <w:p>
            <w:pPr>
              <w:spacing w:after="0"/>
              <w:rPr>
                <w:sz w:val="19"/>
                <w:szCs w:val="19"/>
                <w:color w:val="auto"/>
              </w:rPr>
            </w:pPr>
          </w:p>
        </w:tc>
      </w:tr>
      <w:tr>
        <w:trPr>
          <w:trHeight w:val="22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1,688,724</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481,328</w:t>
            </w: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470,142</w:t>
            </w: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686,030</w:t>
            </w: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51,224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left="880" w:right="100" w:hanging="440"/>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December 31, 2020, our outstanding purchase obligations represented obligations to vendors incurred in order to meet operational requirements in the normal course of business and related primarily to information technology, research and development, sales and marketing and production related activities.</w:t>
      </w:r>
    </w:p>
    <w:p>
      <w:pPr>
        <w:spacing w:after="0" w:line="2"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Note 9, “Long-Term Debt and Other Liabilities,” to our consolidated financial statements for more information.</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represent obligations to provide services for which we have already received cash from our customers.</w:t>
      </w:r>
    </w:p>
    <w:p>
      <w:pPr>
        <w:spacing w:after="0" w:line="35" w:lineRule="exact"/>
        <w:rPr>
          <w:rFonts w:ascii="Arial" w:cs="Arial" w:eastAsia="Arial" w:hAnsi="Arial"/>
          <w:sz w:val="18"/>
          <w:szCs w:val="18"/>
          <w:color w:val="auto"/>
        </w:rPr>
      </w:pPr>
    </w:p>
    <w:p>
      <w:pPr>
        <w:ind w:left="880" w:right="140" w:hanging="440"/>
        <w:spacing w:after="0" w:line="259"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long-term obligations consist of estimated payments (undiscounted) for our asset retirement obligations, network transmission services and monthly C$0.1 million payments to the licensor of our Canadian ATG spectrum license over the estimated 25-year term of the agreement, using the December 31, 2020 exchange rate. Other long-term obligations do not include $2.1 million of deferred tax liabilities due to the uncertainty of their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-1277620</wp:posOffset>
            </wp:positionV>
            <wp:extent cx="13373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6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i w:val="1"/>
          <w:iCs w:val="1"/>
          <w:color w:val="auto"/>
        </w:rPr>
        <w:t xml:space="preserve">Contractual Commitments: </w:t>
      </w:r>
      <w:r>
        <w:rPr>
          <w:rFonts w:ascii="Arial" w:cs="Arial" w:eastAsia="Arial" w:hAnsi="Arial"/>
          <w:sz w:val="18"/>
          <w:szCs w:val="18"/>
          <w:color w:val="auto"/>
        </w:rPr>
        <w:t>We have agreements with various vendors under which we have remaining commitments to purchase satellite-based</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certifications and development services. Such commitments will become payable as we receive the equipment or certifications, or as development services are provided.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140" w:firstLine="589"/>
        <w:spacing w:after="0" w:line="277" w:lineRule="auto"/>
        <w:rPr>
          <w:sz w:val="20"/>
          <w:szCs w:val="20"/>
          <w:color w:val="auto"/>
        </w:rPr>
      </w:pPr>
      <w:r>
        <w:rPr>
          <w:rFonts w:ascii="Arial" w:cs="Arial" w:eastAsia="Arial" w:hAnsi="Arial"/>
          <w:sz w:val="18"/>
          <w:szCs w:val="18"/>
          <w:i w:val="1"/>
          <w:iCs w:val="1"/>
          <w:color w:val="auto"/>
        </w:rPr>
        <w:t xml:space="preserve">Leases and Cell Site Contracts: </w:t>
      </w:r>
      <w:r>
        <w:rPr>
          <w:rFonts w:ascii="Arial" w:cs="Arial" w:eastAsia="Arial" w:hAnsi="Arial"/>
          <w:sz w:val="18"/>
          <w:szCs w:val="18"/>
          <w:color w:val="auto"/>
        </w:rPr>
        <w:t>We have lease agreements relating to certain facilities and equipment, which are considered operating leases.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17, “Leases,” to our consolidated financial statements for additional information.</w:t>
      </w:r>
    </w:p>
    <w:p>
      <w:pPr>
        <w:spacing w:after="0" w:line="170"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i w:val="1"/>
          <w:iCs w:val="1"/>
          <w:color w:val="auto"/>
        </w:rPr>
        <w:t>Indemnifications and Guarantees</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i w:val="1"/>
          <w:i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7"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jc w:val="both"/>
        <w:ind w:right="360" w:firstLine="589"/>
        <w:spacing w:after="0" w:line="259"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We do not have any obligations that meet the definition of an off-balance sheet arrangement which have or are reasonably likely to have a material effect on our results of operations.</w:t>
      </w:r>
    </w:p>
    <w:p>
      <w:pPr>
        <w:spacing w:after="0" w:line="27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December 31, 2020 and December 31, 2019 primarily included amounts in bank deposit accounts and money market funds, and we did not have any short-term investments as of either such date. We believe that a change in average interest rates would not affect our interest income and results of operations by a material amount.</w:t>
      </w:r>
    </w:p>
    <w:p>
      <w:pPr>
        <w:spacing w:after="0" w:line="166" w:lineRule="exact"/>
        <w:rPr>
          <w:sz w:val="20"/>
          <w:szCs w:val="20"/>
          <w:color w:val="auto"/>
        </w:rPr>
      </w:pPr>
    </w:p>
    <w:p>
      <w:pPr>
        <w:ind w:right="400" w:firstLine="589"/>
        <w:spacing w:after="0" w:line="286" w:lineRule="auto"/>
        <w:rPr>
          <w:sz w:val="20"/>
          <w:szCs w:val="20"/>
          <w:color w:val="auto"/>
        </w:rPr>
      </w:pPr>
      <w:r>
        <w:rPr>
          <w:rFonts w:ascii="Arial" w:cs="Arial" w:eastAsia="Arial" w:hAnsi="Arial"/>
          <w:sz w:val="17"/>
          <w:szCs w:val="17"/>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165" w:lineRule="exact"/>
        <w:rPr>
          <w:sz w:val="20"/>
          <w:szCs w:val="20"/>
          <w:color w:val="auto"/>
        </w:rPr>
      </w:pPr>
    </w:p>
    <w:p>
      <w:pPr>
        <w:ind w:right="220" w:firstLine="589"/>
        <w:spacing w:after="0" w:line="301" w:lineRule="auto"/>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Our earnings are affected by changes in interest rates due to the impact those changes have on interest income generated from our cash,</w:t>
      </w:r>
      <w:r>
        <w:rPr>
          <w:rFonts w:ascii="Arial" w:cs="Arial" w:eastAsia="Arial" w:hAnsi="Arial"/>
          <w:sz w:val="16"/>
          <w:szCs w:val="16"/>
          <w:i w:val="1"/>
          <w:iCs w:val="1"/>
          <w:color w:val="auto"/>
        </w:rPr>
        <w:t xml:space="preserve"> </w:t>
      </w:r>
      <w:r>
        <w:rPr>
          <w:rFonts w:ascii="Arial" w:cs="Arial" w:eastAsia="Arial" w:hAnsi="Arial"/>
          <w:sz w:val="16"/>
          <w:szCs w:val="16"/>
          <w:color w:val="auto"/>
        </w:rPr>
        <w:t>cash equivalents and short-term investments. Our cash and cash equivalents as of both December 31, 2020 and December 31, 2019 included amounts in bank deposit accounts and money market funds. We believe we have minimal interest rate risk as a 10% decrease in the average interest rate on our portfolio would have reduced interest income for the years ended December 31, 2020, 2019 and 2018 by immaterial amounts.</w:t>
      </w:r>
    </w:p>
    <w:p>
      <w:pPr>
        <w:spacing w:after="0" w:line="157"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We do not believe that inflation has had a material effect on our results of operations. However, there can be no assurance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will not be affected by inflation in the future.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380" w:type="dxa"/>
            <w:vAlign w:val="bottom"/>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938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Gogo Inc.</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938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40" w:type="dxa"/>
            <w:vAlign w:val="bottom"/>
            <w:gridSpan w:val="2"/>
            <w:vMerge w:val="restart"/>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Report of Deloitte &amp; Touche LLP, Independent Registered Public Accounting Firm</w:t>
              </w:r>
            </w:hyperlink>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195"/>
        </w:trPr>
        <w:tc>
          <w:tcPr>
            <w:tcW w:w="10240" w:type="dxa"/>
            <w:vAlign w:val="bottom"/>
            <w:gridSpan w:val="2"/>
            <w:vMerge w:val="continue"/>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Balance Sheets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Statements of Operations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Consolidated Statements of Comprehensive Loss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Consolidated Statements of Cash Flows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Consolidated Statements of Stockholders’ Equity (Deficit)</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10240" w:type="dxa"/>
            <w:vAlign w:val="bottom"/>
            <w:gridSpan w:val="2"/>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Notes to Consolidated Financial Statements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648"/>
        </w:trPr>
        <w:tc>
          <w:tcPr>
            <w:tcW w:w="860" w:type="dxa"/>
            <w:vAlign w:val="bottom"/>
          </w:tcPr>
          <w:p>
            <w:pPr>
              <w:spacing w:after="0"/>
              <w:rPr>
                <w:sz w:val="24"/>
                <w:szCs w:val="24"/>
                <w:color w:val="auto"/>
              </w:rPr>
            </w:pPr>
          </w:p>
        </w:tc>
        <w:tc>
          <w:tcPr>
            <w:tcW w:w="9380" w:type="dxa"/>
            <w:vAlign w:val="bottom"/>
          </w:tcPr>
          <w:p>
            <w:pPr>
              <w:jc w:val="center"/>
              <w:ind w:left="70"/>
              <w:spacing w:after="0"/>
              <w:rPr>
                <w:sz w:val="20"/>
                <w:szCs w:val="20"/>
                <w:color w:val="auto"/>
              </w:rPr>
            </w:pPr>
            <w:r>
              <w:rPr>
                <w:rFonts w:ascii="Arial" w:cs="Arial" w:eastAsia="Arial" w:hAnsi="Arial"/>
                <w:sz w:val="18"/>
                <w:szCs w:val="18"/>
                <w:color w:val="auto"/>
                <w:w w:val="89"/>
              </w:rPr>
              <w:t>69</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9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Gogo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the accompanying consolidated balance sheets of Gogo Inc. and subsidiaries (the "Company") as of December 31, 2020 and 2019, the related consolidated statements of operations, comprehensive loss, stockholders’ equity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the accounting principles generally accepted in the United States of America.</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2020, based on criteria established in Internal Control — Integrated Framework (2013) issued by the Committee of Sponsoring Organizations of the Treadway Commission and our report dated March 11, 2021, expressed an unqualified opinion on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Principles</w:t>
      </w:r>
    </w:p>
    <w:p>
      <w:pPr>
        <w:spacing w:after="0" w:line="11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Change in Accounting Principle</w:t>
      </w:r>
      <w:r>
        <w:rPr>
          <w:rFonts w:ascii="Arial" w:cs="Arial" w:eastAsia="Arial" w:hAnsi="Arial"/>
          <w:sz w:val="18"/>
          <w:szCs w:val="18"/>
          <w:color w:val="auto"/>
        </w:rPr>
        <w:t>As discussed in Note 3 to the financial statements, effective January 1, 2019, the Company adopted ASC Topic 842,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approach.</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1" w:name="page72"/>
    <w:bookmarkEnd w:id="71"/>
    <w:p>
      <w:pPr>
        <w:ind w:right="4000"/>
        <w:spacing w:after="0" w:line="375" w:lineRule="auto"/>
        <w:rPr>
          <w:sz w:val="20"/>
          <w:szCs w:val="20"/>
          <w:color w:val="auto"/>
        </w:rPr>
      </w:pPr>
      <w:r>
        <w:rPr>
          <w:rFonts w:ascii="Arial" w:cs="Arial" w:eastAsia="Arial" w:hAnsi="Arial"/>
          <w:sz w:val="18"/>
          <w:szCs w:val="18"/>
          <w:b w:val="1"/>
          <w:bCs w:val="1"/>
          <w:i w:val="1"/>
          <w:iCs w:val="1"/>
          <w:color w:val="auto"/>
        </w:rPr>
        <w:t xml:space="preserve">Revenue Recognition on Airline-Directed Contracts — Refer to Note 2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Within the Commercial Aviation business, which is presented as discontinued operations, the Company’s airline-directed contracts contain multiple performance obligations, which primarily include the sale of equipment, installation services, connectivity services, and entertainment services. The Company allocated the contract’s transaction price to each performance obligation using the relative standalone selling price. The contractual consideration used for allocation purposes includes connectivity and entertainment services, which may be based on a fixed monthly fee per aircraft or a variable fee based on the volume of connectivity activity, or a combination of both. Examples of variable consideration in the contracts include megabyte overages and pay-per-use sessions.</w:t>
      </w:r>
    </w:p>
    <w:p>
      <w:pPr>
        <w:spacing w:after="0" w:line="19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constrained its estimates to reduce the probability of a significant revenue reversal in future periods, allocated variable consideration to identified performance obligations, and recognized revenue in the period the services were provided. The estimates were based on historical experience, anticipated future performance, market conditions, and management’s best judgments at the time. The estimates included management’s best assumptions for the impact of the COVID-19 pandemic, which included decreased flights and gross passenger opportunity.</w:t>
      </w:r>
    </w:p>
    <w:p>
      <w:pPr>
        <w:spacing w:after="0" w:line="63"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A significant change in one or more of these estimates could have affected the estimated contract revenue. For example, estimates of variable revenue within certain contracts required estimation of the number of sessions or megabytes that would be purchased over the contract term and the average revenue per connectivity session, which varies based on the connectivity options available to passengers on each airline. Estimated revenue under these contracts anticipated increases in take rates over time and assumed an average revenue per session consistent with historical experience.</w:t>
      </w:r>
    </w:p>
    <w:p>
      <w:pPr>
        <w:spacing w:after="0" w:line="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regularly reviewed and updated its estimates, especially in light of the COVID-19 pandemic, and recognized adjustments under the cumulative catch-up method. Any adjustments under this method were recorded as a cumulative adjustment in the period identified and revenue for future periods was recognized using the new adjusted estimate.</w:t>
      </w:r>
    </w:p>
    <w:p>
      <w:pPr>
        <w:spacing w:after="0" w:line="7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Given the judgment necessary to estimate gross passenger opportunity, the take rate, and the average revenue per session assumptions, auditing such estimates required increased audit effort due to the complexity of the airline-directed contracts and a high degree of auditor judgment when performing audit procedures and evaluating the results of those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audit procedures related to the Company’s estimated gross passenger opportunity, take rate, and average revenue per session assumptions included the following, among others:</w:t>
      </w:r>
    </w:p>
    <w:p>
      <w:pPr>
        <w:spacing w:after="0" w:line="170" w:lineRule="exact"/>
        <w:rPr>
          <w:sz w:val="20"/>
          <w:szCs w:val="20"/>
          <w:color w:val="auto"/>
        </w:rPr>
      </w:pPr>
    </w:p>
    <w:p>
      <w:pPr>
        <w:ind w:left="640" w:hanging="430"/>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 sample of contracts:</w:t>
      </w:r>
    </w:p>
    <w:p>
      <w:pPr>
        <w:spacing w:after="0" w:line="23" w:lineRule="exact"/>
        <w:rPr>
          <w:rFonts w:ascii="Arial" w:cs="Arial" w:eastAsia="Arial" w:hAnsi="Arial"/>
          <w:sz w:val="18"/>
          <w:szCs w:val="18"/>
          <w:color w:val="auto"/>
        </w:rPr>
      </w:pPr>
    </w:p>
    <w:p>
      <w:pPr>
        <w:ind w:left="1300" w:right="420" w:hanging="432"/>
        <w:spacing w:after="0" w:line="250" w:lineRule="auto"/>
        <w:rPr>
          <w:rFonts w:ascii="Arial" w:cs="Arial" w:eastAsia="Arial" w:hAnsi="Arial"/>
          <w:sz w:val="18"/>
          <w:szCs w:val="18"/>
          <w:color w:val="auto"/>
        </w:rPr>
      </w:pPr>
      <w:r>
        <w:rPr>
          <w:rFonts w:ascii="Arial" w:cs="Arial" w:eastAsia="Arial" w:hAnsi="Arial"/>
          <w:sz w:val="18"/>
          <w:szCs w:val="18"/>
          <w:color w:val="auto"/>
        </w:rPr>
        <w:t>–We evaluated the reasonableness of management’s forecasted gross passenger opportunity rates by comparing the forecasted rates to external airline industry data.</w:t>
      </w:r>
    </w:p>
    <w:p>
      <w:pPr>
        <w:ind w:left="1300" w:right="380" w:hanging="432"/>
        <w:spacing w:after="0" w:line="250" w:lineRule="auto"/>
        <w:rPr>
          <w:rFonts w:ascii="Arial" w:cs="Arial" w:eastAsia="Arial" w:hAnsi="Arial"/>
          <w:sz w:val="18"/>
          <w:szCs w:val="18"/>
          <w:color w:val="auto"/>
        </w:rPr>
      </w:pPr>
      <w:r>
        <w:rPr>
          <w:rFonts w:ascii="Arial" w:cs="Arial" w:eastAsia="Arial" w:hAnsi="Arial"/>
          <w:sz w:val="18"/>
          <w:szCs w:val="18"/>
          <w:color w:val="auto"/>
        </w:rPr>
        <w:t>–We compared the historical gross passenger opportunity rates, take rates, and average revenue per session amounts to the Company’s prior estimates to evaluate management’s ability to accurately forecast these assumptions.</w:t>
      </w:r>
    </w:p>
    <w:p>
      <w:pPr>
        <w:ind w:left="1300" w:right="160" w:hanging="432"/>
        <w:spacing w:after="0" w:line="250" w:lineRule="auto"/>
        <w:rPr>
          <w:rFonts w:ascii="Arial" w:cs="Arial" w:eastAsia="Arial" w:hAnsi="Arial"/>
          <w:sz w:val="18"/>
          <w:szCs w:val="18"/>
          <w:color w:val="auto"/>
        </w:rPr>
      </w:pPr>
      <w:r>
        <w:rPr>
          <w:rFonts w:ascii="Arial" w:cs="Arial" w:eastAsia="Arial" w:hAnsi="Arial"/>
          <w:sz w:val="18"/>
          <w:szCs w:val="18"/>
          <w:color w:val="auto"/>
        </w:rPr>
        <w:t>–We compared the historical take rates and the average revenue per session amounts to the Company’s future estimates and evaluated the basis for expected future changes.</w:t>
      </w:r>
    </w:p>
    <w:p>
      <w:pPr>
        <w:ind w:left="1300" w:right="840" w:hanging="432"/>
        <w:spacing w:after="0" w:line="260" w:lineRule="auto"/>
        <w:rPr>
          <w:rFonts w:ascii="Arial" w:cs="Arial" w:eastAsia="Arial" w:hAnsi="Arial"/>
          <w:sz w:val="18"/>
          <w:szCs w:val="18"/>
          <w:color w:val="auto"/>
        </w:rPr>
      </w:pPr>
      <w:r>
        <w:rPr>
          <w:rFonts w:ascii="Arial" w:cs="Arial" w:eastAsia="Arial" w:hAnsi="Arial"/>
          <w:sz w:val="18"/>
          <w:szCs w:val="18"/>
          <w:color w:val="auto"/>
        </w:rPr>
        <w:t>–We evaluated gross passenger opportunity, the take rate, and the average revenue per session assumptions for consistency with information within the details of the company-wide internal financial forecasts.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9"/>
              </w:rPr>
              <w:t>December 31,</w:t>
            </w: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435,345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170,016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620"/>
              <w:spacing w:after="0"/>
              <w:rPr>
                <w:sz w:val="20"/>
                <w:szCs w:val="20"/>
                <w:color w:val="auto"/>
              </w:rPr>
            </w:pPr>
            <w:r>
              <w:rPr>
                <w:rFonts w:ascii="Arial" w:cs="Arial" w:eastAsia="Arial" w:hAnsi="Arial"/>
                <w:sz w:val="16"/>
                <w:szCs w:val="16"/>
                <w:color w:val="auto"/>
              </w:rPr>
              <w:t>Accounts receivable, net of allowances of $1,044 and $660, respectively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39,833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42,322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28,114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6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8,934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Current assets of discontinued operations</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Borders>
              <w:bottom w:val="single" w:sz="8" w:color="CFF0FC"/>
            </w:tcBorders>
          </w:tcPr>
          <w:p>
            <w:pPr>
              <w:ind w:left="11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512,226</w:t>
            </w:r>
          </w:p>
        </w:tc>
        <w:tc>
          <w:tcPr>
            <w:tcW w:w="2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424,825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b w:val="1"/>
                <w:bCs w:val="1"/>
                <w:color w:val="auto"/>
              </w:rPr>
              <w:t>Non-current 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6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63,493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52,693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6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33,690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Other non-current assets, net of allowances of $375 and $0, respectively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11,486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620"/>
              <w:spacing w:after="0"/>
              <w:rPr>
                <w:sz w:val="20"/>
                <w:szCs w:val="20"/>
                <w:color w:val="auto"/>
              </w:rPr>
            </w:pPr>
            <w:r>
              <w:rPr>
                <w:rFonts w:ascii="Arial" w:cs="Arial" w:eastAsia="Arial" w:hAnsi="Arial"/>
                <w:sz w:val="16"/>
                <w:szCs w:val="16"/>
                <w:color w:val="auto"/>
              </w:rPr>
              <w:t>Non-current assets of discontinued operations</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620,961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ind w:left="1120"/>
              <w:spacing w:after="0"/>
              <w:rPr>
                <w:sz w:val="20"/>
                <w:szCs w:val="20"/>
                <w:color w:val="auto"/>
              </w:rPr>
            </w:pPr>
            <w:r>
              <w:rPr>
                <w:rFonts w:ascii="Arial" w:cs="Arial" w:eastAsia="Arial" w:hAnsi="Arial"/>
                <w:sz w:val="16"/>
                <w:szCs w:val="16"/>
                <w:b w:val="1"/>
                <w:bCs w:val="1"/>
                <w:color w:val="auto"/>
              </w:rPr>
              <w:t>Total non-current assets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161,362</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789,875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673,588</w:t>
            </w:r>
          </w:p>
        </w:tc>
        <w:tc>
          <w:tcPr>
            <w:tcW w:w="2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1,214,700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deficit</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11,013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62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83,009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62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341,000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Current liabilities of discontinued operations</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196,852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20" w:type="dxa"/>
            <w:vAlign w:val="bottom"/>
            <w:tcBorders>
              <w:bottom w:val="single" w:sz="8" w:color="CFF0FC"/>
            </w:tcBorders>
          </w:tcPr>
          <w:p>
            <w:pPr>
              <w:ind w:left="11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438,135</w:t>
            </w:r>
          </w:p>
        </w:tc>
        <w:tc>
          <w:tcPr>
            <w:tcW w:w="2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252,642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b w:val="1"/>
                <w:bCs w:val="1"/>
                <w:color w:val="auto"/>
              </w:rPr>
              <w:t>Non-current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62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827,968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1,101,248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Non-current operating lease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38,018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620"/>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10,581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Non-current liabilities of discontinued operations</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Borders>
              <w:bottom w:val="single" w:sz="8" w:color="CFF0FC"/>
            </w:tcBorders>
          </w:tcPr>
          <w:p>
            <w:pPr>
              <w:ind w:left="1120"/>
              <w:spacing w:after="0"/>
              <w:rPr>
                <w:sz w:val="20"/>
                <w:szCs w:val="20"/>
                <w:color w:val="auto"/>
              </w:rPr>
            </w:pPr>
            <w:r>
              <w:rPr>
                <w:rFonts w:ascii="Arial" w:cs="Arial" w:eastAsia="Arial" w:hAnsi="Arial"/>
                <w:sz w:val="16"/>
                <w:szCs w:val="16"/>
                <w:b w:val="1"/>
                <w:bCs w:val="1"/>
                <w:color w:val="auto"/>
              </w:rPr>
              <w:t>Total non-current liabilities</w:t>
            </w: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876,567</w:t>
            </w:r>
          </w:p>
        </w:tc>
        <w:tc>
          <w:tcPr>
            <w:tcW w:w="2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1,360,948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11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1,314,702</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1,613,590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b w:val="1"/>
                <w:bCs w:val="1"/>
                <w:color w:val="auto"/>
              </w:rPr>
              <w:t>Commitments and contingencies (Note 18)</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Stockholders’ deficit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20" w:type="dxa"/>
            <w:vAlign w:val="bottom"/>
          </w:tcPr>
          <w:p>
            <w:pPr>
              <w:ind w:left="380"/>
              <w:spacing w:after="0"/>
              <w:rPr>
                <w:sz w:val="20"/>
                <w:szCs w:val="20"/>
                <w:color w:val="auto"/>
              </w:rPr>
            </w:pPr>
            <w:r>
              <w:rPr>
                <w:rFonts w:ascii="Arial" w:cs="Arial" w:eastAsia="Arial" w:hAnsi="Arial"/>
                <w:sz w:val="16"/>
                <w:szCs w:val="16"/>
                <w:color w:val="auto"/>
              </w:rPr>
              <w:t>Common stock, par value $0.0001 per share; 500,000,000 shares authorized at</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December 31, 2020 and 2019; 91,086,191 and 88,292,821 shares issued at</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December 31, 2020 and 2019, respectively; and 85,990,499 and 88,240,877</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500"/>
              <w:spacing w:after="0"/>
              <w:rPr>
                <w:sz w:val="20"/>
                <w:szCs w:val="20"/>
                <w:color w:val="auto"/>
              </w:rPr>
            </w:pPr>
            <w:r>
              <w:rPr>
                <w:rFonts w:ascii="Arial" w:cs="Arial" w:eastAsia="Arial" w:hAnsi="Arial"/>
                <w:sz w:val="16"/>
                <w:szCs w:val="16"/>
                <w:color w:val="auto"/>
              </w:rPr>
              <w:t>shares outstanding at December 31, 2020 and 2019, respectively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1,088,590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979,499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(1,013)</w:t>
            </w: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(2,256)</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stock, at cost</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(98,857)</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(1,629,843)</w:t>
            </w: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(1,376,142)</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1120"/>
              <w:spacing w:after="0"/>
              <w:rPr>
                <w:sz w:val="20"/>
                <w:szCs w:val="20"/>
                <w:color w:val="auto"/>
              </w:rPr>
            </w:pPr>
            <w:r>
              <w:rPr>
                <w:rFonts w:ascii="Arial" w:cs="Arial" w:eastAsia="Arial" w:hAnsi="Arial"/>
                <w:sz w:val="16"/>
                <w:szCs w:val="16"/>
                <w:b w:val="1"/>
                <w:bCs w:val="1"/>
                <w:color w:val="auto"/>
              </w:rPr>
              <w:t>Total stockholders’ deficit</w:t>
            </w: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(641,114)</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(398,890)</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deficit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673,588</w:t>
            </w: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1,214,700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t>Gogo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7"/>
          </w:tcPr>
          <w:p>
            <w:pPr>
              <w:jc w:val="right"/>
              <w:ind w:right="19"/>
              <w:spacing w:after="0"/>
              <w:rPr>
                <w:sz w:val="20"/>
                <w:szCs w:val="20"/>
                <w:color w:val="auto"/>
              </w:rPr>
            </w:pPr>
            <w:r>
              <w:rPr>
                <w:rFonts w:ascii="Arial" w:cs="Arial" w:eastAsia="Arial" w:hAnsi="Arial"/>
                <w:sz w:val="16"/>
                <w:szCs w:val="16"/>
                <w:b w:val="1"/>
                <w:bCs w:val="1"/>
                <w:color w:val="auto"/>
              </w:rPr>
              <w:t>For the Years Ended December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w:t>
            </w: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80"/>
              <w:spacing w:after="0"/>
              <w:rPr>
                <w:sz w:val="20"/>
                <w:szCs w:val="20"/>
                <w:color w:val="auto"/>
              </w:rPr>
            </w:pPr>
            <w:r>
              <w:rPr>
                <w:rFonts w:ascii="Arial" w:cs="Arial" w:eastAsia="Arial" w:hAnsi="Arial"/>
                <w:sz w:val="16"/>
                <w:szCs w:val="16"/>
                <w:color w:val="auto"/>
              </w:rPr>
              <w:t>Service revenue</w:t>
            </w:r>
          </w:p>
        </w:tc>
        <w:tc>
          <w:tcPr>
            <w:tcW w:w="126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211,987</w:t>
            </w:r>
          </w:p>
        </w:tc>
        <w:tc>
          <w:tcPr>
            <w:tcW w:w="1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221,922</w:t>
            </w:r>
          </w:p>
        </w:tc>
        <w:tc>
          <w:tcPr>
            <w:tcW w:w="24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196,377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Equipment revenue</w:t>
            </w:r>
          </w:p>
        </w:tc>
        <w:tc>
          <w:tcPr>
            <w:tcW w:w="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57,731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87,063</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80" w:type="dxa"/>
            <w:vAlign w:val="bottom"/>
            <w:tcBorders>
              <w:bottom w:val="single" w:sz="8" w:color="CFF0FC"/>
            </w:tcBorders>
          </w:tcPr>
          <w:p>
            <w:pPr>
              <w:ind w:left="620"/>
              <w:spacing w:after="0"/>
              <w:rPr>
                <w:sz w:val="20"/>
                <w:szCs w:val="20"/>
                <w:color w:val="auto"/>
              </w:rPr>
            </w:pPr>
            <w:r>
              <w:rPr>
                <w:rFonts w:ascii="Arial" w:cs="Arial" w:eastAsia="Arial" w:hAnsi="Arial"/>
                <w:sz w:val="16"/>
                <w:szCs w:val="16"/>
                <w:b w:val="1"/>
                <w:bCs w:val="1"/>
                <w:color w:val="auto"/>
              </w:rPr>
              <w:t>Total revenue</w:t>
            </w:r>
          </w:p>
        </w:tc>
        <w:tc>
          <w:tcPr>
            <w:tcW w:w="9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269,718</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308,985</w:t>
            </w:r>
          </w:p>
        </w:tc>
        <w:tc>
          <w:tcPr>
            <w:tcW w:w="24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290,153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80"/>
              <w:spacing w:after="0"/>
              <w:rPr>
                <w:sz w:val="20"/>
                <w:szCs w:val="20"/>
                <w:color w:val="auto"/>
              </w:rPr>
            </w:pPr>
            <w:r>
              <w:rPr>
                <w:rFonts w:ascii="Arial" w:cs="Arial" w:eastAsia="Arial" w:hAnsi="Arial"/>
                <w:sz w:val="16"/>
                <w:szCs w:val="16"/>
                <w:color w:val="auto"/>
              </w:rPr>
              <w:t>Cost of service revenue (exclusive of items shown below)</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45,073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42,142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Cost of equipment revenue (exclusive of items shown below)</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51,744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80"/>
              <w:spacing w:after="0"/>
              <w:rPr>
                <w:sz w:val="20"/>
                <w:szCs w:val="20"/>
                <w:color w:val="auto"/>
              </w:rPr>
            </w:pPr>
            <w:r>
              <w:rPr>
                <w:rFonts w:ascii="Arial" w:cs="Arial" w:eastAsia="Arial" w:hAnsi="Arial"/>
                <w:sz w:val="16"/>
                <w:szCs w:val="16"/>
                <w:color w:val="auto"/>
              </w:rPr>
              <w:t>Engineering, design and development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26,013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Sales and marketing</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21,236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54,467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54,628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16,690</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80" w:type="dxa"/>
            <w:vAlign w:val="bottom"/>
            <w:tcBorders>
              <w:bottom w:val="single" w:sz="8" w:color="CFF0FC"/>
            </w:tcBorders>
          </w:tcPr>
          <w:p>
            <w:pPr>
              <w:ind w:left="620"/>
              <w:spacing w:after="0"/>
              <w:rPr>
                <w:sz w:val="20"/>
                <w:szCs w:val="20"/>
                <w:color w:val="auto"/>
              </w:rPr>
            </w:pPr>
            <w:r>
              <w:rPr>
                <w:rFonts w:ascii="Arial" w:cs="Arial" w:eastAsia="Arial" w:hAnsi="Arial"/>
                <w:sz w:val="16"/>
                <w:szCs w:val="16"/>
                <w:b w:val="1"/>
                <w:bCs w:val="1"/>
                <w:color w:val="auto"/>
              </w:rPr>
              <w:t>Total operating expenses</w:t>
            </w:r>
          </w:p>
        </w:tc>
        <w:tc>
          <w:tcPr>
            <w:tcW w:w="9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193,367</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212,453</w:t>
            </w:r>
          </w:p>
        </w:tc>
        <w:tc>
          <w:tcPr>
            <w:tcW w:w="24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207,736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income</w:t>
            </w:r>
          </w:p>
        </w:tc>
        <w:tc>
          <w:tcPr>
            <w:tcW w:w="9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76,351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96,532</w:t>
            </w:r>
          </w:p>
        </w:tc>
        <w:tc>
          <w:tcPr>
            <w:tcW w:w="2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82,417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Interest income</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(722)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(4,000)</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(4,122)</w:t>
            </w:r>
          </w:p>
        </w:tc>
        <w:tc>
          <w:tcPr>
            <w:tcW w:w="0" w:type="dxa"/>
            <w:vAlign w:val="bottom"/>
          </w:tcPr>
          <w:p>
            <w:pPr>
              <w:spacing w:after="0"/>
              <w:rPr>
                <w:sz w:val="1"/>
                <w:szCs w:val="1"/>
                <w:color w:val="auto"/>
              </w:rPr>
            </w:pPr>
          </w:p>
        </w:tc>
      </w:tr>
      <w:tr>
        <w:trPr>
          <w:trHeight w:val="213"/>
        </w:trPr>
        <w:tc>
          <w:tcPr>
            <w:tcW w:w="568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125,787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130,473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Loss on extinguishment of debt</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57,962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80"/>
              <w:spacing w:after="0"/>
              <w:rPr>
                <w:sz w:val="20"/>
                <w:szCs w:val="20"/>
                <w:color w:val="auto"/>
              </w:rPr>
            </w:pPr>
            <w:r>
              <w:rPr>
                <w:rFonts w:ascii="Arial" w:cs="Arial" w:eastAsia="Arial" w:hAnsi="Arial"/>
                <w:sz w:val="16"/>
                <w:szCs w:val="16"/>
                <w:color w:val="auto"/>
              </w:rPr>
              <w:t>Other (income) expense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6"/>
                <w:szCs w:val="16"/>
                <w:b w:val="1"/>
                <w:bCs w:val="1"/>
                <w:color w:val="auto"/>
              </w:rPr>
              <w:t>Total other expense</w:t>
            </w:r>
          </w:p>
        </w:tc>
        <w:tc>
          <w:tcPr>
            <w:tcW w:w="9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125,056</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184,466</w:t>
            </w:r>
          </w:p>
        </w:tc>
        <w:tc>
          <w:tcPr>
            <w:tcW w:w="2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138,231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Arial" w:cs="Arial" w:eastAsia="Arial" w:hAnsi="Arial"/>
                <w:sz w:val="16"/>
                <w:szCs w:val="16"/>
                <w:b w:val="1"/>
                <w:bCs w:val="1"/>
                <w:color w:val="auto"/>
              </w:rPr>
              <w:t>Loss from continuing operations before income taxes</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(48,705)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(87,934)</w:t>
            </w:r>
          </w:p>
        </w:tc>
        <w:tc>
          <w:tcPr>
            <w:tcW w:w="4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(55,814)</w:t>
            </w: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tax provision (benefit)</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740"/>
              <w:spacing w:after="0"/>
              <w:rPr>
                <w:sz w:val="20"/>
                <w:szCs w:val="20"/>
                <w:color w:val="auto"/>
              </w:rPr>
            </w:pPr>
            <w:r>
              <w:rPr>
                <w:rFonts w:ascii="Arial" w:cs="Arial" w:eastAsia="Arial" w:hAnsi="Arial"/>
                <w:sz w:val="16"/>
                <w:szCs w:val="16"/>
                <w:b w:val="1"/>
                <w:bCs w:val="1"/>
                <w:color w:val="auto"/>
              </w:rPr>
              <w:t>Net loss from continuing operations</w:t>
            </w: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(48,559)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(88,497)</w:t>
            </w:r>
          </w:p>
        </w:tc>
        <w:tc>
          <w:tcPr>
            <w:tcW w:w="4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(52,460)</w:t>
            </w: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740"/>
              <w:spacing w:after="0"/>
              <w:rPr>
                <w:sz w:val="20"/>
                <w:szCs w:val="20"/>
                <w:color w:val="auto"/>
              </w:rPr>
            </w:pPr>
            <w:r>
              <w:rPr>
                <w:rFonts w:ascii="Arial" w:cs="Arial" w:eastAsia="Arial" w:hAnsi="Arial"/>
                <w:sz w:val="16"/>
                <w:szCs w:val="16"/>
                <w:b w:val="1"/>
                <w:bCs w:val="1"/>
                <w:color w:val="auto"/>
              </w:rPr>
              <w:t>Net loss from discontinued operations, net of tax</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(201,477)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(57,507)</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(109,571)</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6"/>
                <w:szCs w:val="16"/>
                <w:b w:val="1"/>
                <w:bCs w:val="1"/>
                <w:color w:val="auto"/>
              </w:rPr>
              <w:t>Net loss</w:t>
            </w: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6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(250,036)</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(146,004)</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(162,031)</w:t>
            </w:r>
          </w:p>
        </w:tc>
        <w:tc>
          <w:tcPr>
            <w:tcW w:w="0" w:type="dxa"/>
            <w:vAlign w:val="bottom"/>
          </w:tcPr>
          <w:p>
            <w:pPr>
              <w:spacing w:after="0"/>
              <w:rPr>
                <w:sz w:val="1"/>
                <w:szCs w:val="1"/>
                <w:color w:val="auto"/>
              </w:rPr>
            </w:pPr>
          </w:p>
        </w:tc>
      </w:tr>
      <w:tr>
        <w:trPr>
          <w:trHeight w:val="199"/>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loss attributable to common stock per share—basic and diluted:</w:t>
            </w:r>
          </w:p>
        </w:tc>
        <w:tc>
          <w:tcPr>
            <w:tcW w:w="9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Pr>
          <w:p>
            <w:pPr>
              <w:spacing w:after="0"/>
              <w:rPr>
                <w:sz w:val="20"/>
                <w:szCs w:val="20"/>
                <w:color w:val="auto"/>
              </w:rPr>
            </w:pPr>
            <w:r>
              <w:rPr>
                <w:rFonts w:ascii="Arial" w:cs="Arial" w:eastAsia="Arial" w:hAnsi="Arial"/>
                <w:sz w:val="16"/>
                <w:szCs w:val="16"/>
                <w:color w:val="auto"/>
              </w:rPr>
              <w:t>Net loss from continuing operations</w:t>
            </w:r>
          </w:p>
        </w:tc>
        <w:tc>
          <w:tcPr>
            <w:tcW w:w="126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(0.59)</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(1.10)</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Net loss from discontinued operations</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(0.71)</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6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(3.04)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(1.81)</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97"/>
        </w:trPr>
        <w:tc>
          <w:tcPr>
            <w:tcW w:w="5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Weighted average number of shares—basic and diluted</w:t>
            </w:r>
          </w:p>
        </w:tc>
        <w:tc>
          <w:tcPr>
            <w:tcW w:w="98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82,266</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80,766</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80,038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the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(250,036</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(146,004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(162,031)</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Currency translation adjustments, net of tax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(2,621)</w:t>
            </w: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(248,793)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b w:val="1"/>
          <w:bCs w:val="1"/>
          <w:color w:val="auto"/>
        </w:rPr>
        <w:t>Gogo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153"/>
              <w:spacing w:after="0"/>
              <w:rPr>
                <w:sz w:val="20"/>
                <w:szCs w:val="20"/>
                <w:color w:val="auto"/>
              </w:rPr>
            </w:pPr>
            <w:r>
              <w:rPr>
                <w:rFonts w:ascii="Arial" w:cs="Arial" w:eastAsia="Arial" w:hAnsi="Arial"/>
                <w:sz w:val="13"/>
                <w:szCs w:val="13"/>
                <w:b w:val="1"/>
                <w:bCs w:val="1"/>
                <w:color w:val="auto"/>
              </w:rPr>
              <w:t>For the Years Ended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73"/>
              <w:spacing w:after="0"/>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73"/>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Operating activities from continuing operations:</w:t>
            </w:r>
          </w:p>
        </w:tc>
        <w:tc>
          <w:tcPr>
            <w:tcW w:w="58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400" w:type="dxa"/>
            <w:vAlign w:val="bottom"/>
            <w:gridSpan w:val="2"/>
          </w:tcPr>
          <w:p>
            <w:pPr>
              <w:jc w:val="right"/>
              <w:ind w:right="7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(48,559)</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(88,497)</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(52,460)</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cash provided by (used in) operating activities:</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14,166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16,690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14,363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asset disposals, abandonments and write-downs</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Provision for expected credit losses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1,071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Deferred income taxes</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(232)</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(3,821)</w:t>
            </w: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Stock-based compensation expense</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7,808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8,654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8,536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deferred financing costs</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5,892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5,260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Accretion and amortization of debt discount and premium</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13,908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14,711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18,255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extinguishment of debt</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57,962</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(9,023)</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740"/>
              <w:spacing w:after="0"/>
              <w:rPr>
                <w:sz w:val="20"/>
                <w:szCs w:val="20"/>
                <w:color w:val="auto"/>
              </w:rPr>
            </w:pPr>
            <w:r>
              <w:rPr>
                <w:rFonts w:ascii="Arial" w:cs="Arial" w:eastAsia="Arial" w:hAnsi="Arial"/>
                <w:sz w:val="13"/>
                <w:szCs w:val="13"/>
                <w:color w:val="auto"/>
              </w:rPr>
              <w:t>Inventories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7,091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11,666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(277)</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1,144</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740"/>
              <w:spacing w:after="0"/>
              <w:rPr>
                <w:sz w:val="20"/>
                <w:szCs w:val="20"/>
                <w:color w:val="auto"/>
              </w:rPr>
            </w:pPr>
            <w:r>
              <w:rPr>
                <w:rFonts w:ascii="Arial" w:cs="Arial" w:eastAsia="Arial" w:hAnsi="Arial"/>
                <w:sz w:val="13"/>
                <w:szCs w:val="13"/>
                <w:color w:val="auto"/>
              </w:rPr>
              <w:t>Contract assets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(9,439)</w:t>
            </w:r>
          </w:p>
        </w:tc>
        <w:tc>
          <w:tcPr>
            <w:tcW w:w="30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(2,547)</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4,963</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(264)</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(2,811)</w:t>
            </w:r>
          </w:p>
        </w:tc>
        <w:tc>
          <w:tcPr>
            <w:tcW w:w="0" w:type="dxa"/>
            <w:vAlign w:val="bottom"/>
          </w:tcPr>
          <w:p>
            <w:pPr>
              <w:spacing w:after="0"/>
              <w:rPr>
                <w:sz w:val="1"/>
                <w:szCs w:val="1"/>
                <w:color w:val="auto"/>
              </w:rPr>
            </w:pPr>
          </w:p>
        </w:tc>
      </w:tr>
      <w:tr>
        <w:trPr>
          <w:trHeight w:val="162"/>
        </w:trPr>
        <w:tc>
          <w:tcPr>
            <w:tcW w:w="6060" w:type="dxa"/>
            <w:vAlign w:val="bottom"/>
          </w:tcPr>
          <w:p>
            <w:pPr>
              <w:ind w:left="740"/>
              <w:spacing w:after="0"/>
              <w:rPr>
                <w:sz w:val="20"/>
                <w:szCs w:val="20"/>
                <w:color w:val="auto"/>
              </w:rPr>
            </w:pPr>
            <w:r>
              <w:rPr>
                <w:rFonts w:ascii="Arial" w:cs="Arial" w:eastAsia="Arial" w:hAnsi="Arial"/>
                <w:sz w:val="13"/>
                <w:szCs w:val="13"/>
                <w:color w:val="auto"/>
              </w:rPr>
              <w:t>Accrued liabilities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4,470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2,245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(530)</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revenue</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898</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(260)</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(4,508)</w:t>
            </w:r>
          </w:p>
        </w:tc>
        <w:tc>
          <w:tcPr>
            <w:tcW w:w="0" w:type="dxa"/>
            <w:vAlign w:val="bottom"/>
          </w:tcPr>
          <w:p>
            <w:pPr>
              <w:spacing w:after="0"/>
              <w:rPr>
                <w:sz w:val="1"/>
                <w:szCs w:val="1"/>
                <w:color w:val="auto"/>
              </w:rPr>
            </w:pPr>
          </w:p>
        </w:tc>
      </w:tr>
      <w:tr>
        <w:trPr>
          <w:trHeight w:val="162"/>
        </w:trPr>
        <w:tc>
          <w:tcPr>
            <w:tcW w:w="6060" w:type="dxa"/>
            <w:vAlign w:val="bottom"/>
          </w:tcPr>
          <w:p>
            <w:pPr>
              <w:ind w:left="740"/>
              <w:spacing w:after="0"/>
              <w:rPr>
                <w:sz w:val="20"/>
                <w:szCs w:val="20"/>
                <w:color w:val="auto"/>
              </w:rPr>
            </w:pPr>
            <w:r>
              <w:rPr>
                <w:rFonts w:ascii="Arial" w:cs="Arial" w:eastAsia="Arial" w:hAnsi="Arial"/>
                <w:sz w:val="13"/>
                <w:szCs w:val="13"/>
                <w:color w:val="auto"/>
              </w:rPr>
              <w:t>Accrued interest</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787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(29,646)</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(955)</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Other non-current assets and liabilities</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587</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(1,641)</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Net cash provided by (used in) operating activities from continuing operations</w:t>
            </w: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4,513</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(12,872)</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Investing activities from continuing operations:</w:t>
            </w:r>
          </w:p>
        </w:tc>
        <w:tc>
          <w:tcPr>
            <w:tcW w:w="58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Purchases of property and equipment</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(1,818)</w:t>
            </w:r>
          </w:p>
        </w:tc>
        <w:tc>
          <w:tcPr>
            <w:tcW w:w="30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(1,490)</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(2,729)</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Acquisition of intangible assets—capitalized software</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(7,172)</w:t>
            </w: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(4,983)</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(7,920)</w:t>
            </w: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Purchases of short-term investments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(39,323)</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Redemptions of short-term investments</w:t>
            </w:r>
          </w:p>
        </w:tc>
        <w:tc>
          <w:tcPr>
            <w:tcW w:w="58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39,323</w:t>
            </w:r>
          </w:p>
        </w:tc>
        <w:tc>
          <w:tcPr>
            <w:tcW w:w="2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212,792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tcPr>
          <w:p>
            <w:pPr>
              <w:ind w:left="1000"/>
              <w:spacing w:after="0"/>
              <w:rPr>
                <w:sz w:val="20"/>
                <w:szCs w:val="20"/>
                <w:color w:val="auto"/>
              </w:rPr>
            </w:pPr>
            <w:r>
              <w:rPr>
                <w:rFonts w:ascii="Arial" w:cs="Arial" w:eastAsia="Arial" w:hAnsi="Arial"/>
                <w:sz w:val="13"/>
                <w:szCs w:val="13"/>
                <w:b w:val="1"/>
                <w:bCs w:val="1"/>
                <w:color w:val="auto"/>
              </w:rPr>
              <w:t>Net cash provided by (used in) investing activities from continuing operations</w:t>
            </w: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(8,990)</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32,850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162,820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Financing activities from continuing operations:</w:t>
            </w:r>
          </w:p>
        </w:tc>
        <w:tc>
          <w:tcPr>
            <w:tcW w:w="58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Proceeds from credit facility draw</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26,000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Repayments of amounts drawn from credit facility</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(26,000)</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Proceeds from issuance of senior secured notes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51,750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920,683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Redemption of senior secured notes</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(741,360)</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Proceeds from issuance of convertible notes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237,750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 xml:space="preserve">Repurchase </w:t>
            </w:r>
            <w:r>
              <w:rPr>
                <w:rFonts w:ascii="Arial" w:cs="Arial" w:eastAsia="Arial" w:hAnsi="Arial"/>
                <w:sz w:val="13"/>
                <w:szCs w:val="13"/>
                <w:color w:val="auto"/>
              </w:rPr>
              <w:t>of convertible notes</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(2,498)</w:t>
            </w: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(159,502)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(200,438)</w:t>
            </w: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Payment of debt issuance costs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(22,976)</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(8,054)</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Payments on finance leases</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(546)</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Stock-based compensation activity</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(4,227)</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shd w:val="clear" w:color="auto" w:fill="CFF0FC"/>
          </w:tcPr>
          <w:p>
            <w:pPr>
              <w:ind w:left="1000"/>
              <w:spacing w:after="0"/>
              <w:rPr>
                <w:sz w:val="20"/>
                <w:szCs w:val="20"/>
                <w:color w:val="auto"/>
              </w:rPr>
            </w:pPr>
            <w:r>
              <w:rPr>
                <w:rFonts w:ascii="Arial" w:cs="Arial" w:eastAsia="Arial" w:hAnsi="Arial"/>
                <w:sz w:val="13"/>
                <w:szCs w:val="13"/>
                <w:b w:val="1"/>
                <w:bCs w:val="1"/>
                <w:color w:val="auto"/>
              </w:rPr>
              <w:t>Net cash provided by (used in) financing activities from continuing operations</w:t>
            </w:r>
          </w:p>
        </w:tc>
        <w:tc>
          <w:tcPr>
            <w:tcW w:w="5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60" w:type="dxa"/>
            <w:vAlign w:val="bottom"/>
            <w:vMerge w:val="continue"/>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44,479</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(2,830)</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29,654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20"/>
                <w:szCs w:val="20"/>
                <w:color w:val="auto"/>
              </w:rPr>
            </w:pPr>
            <w:r>
              <w:rPr>
                <w:rFonts w:ascii="Arial" w:cs="Arial" w:eastAsia="Arial" w:hAnsi="Arial"/>
                <w:sz w:val="13"/>
                <w:szCs w:val="13"/>
                <w:b w:val="1"/>
                <w:bCs w:val="1"/>
                <w:color w:val="auto"/>
              </w:rPr>
              <w:t>Cash flows from discontinued operations:</w:t>
            </w:r>
          </w:p>
        </w:tc>
        <w:tc>
          <w:tcPr>
            <w:tcW w:w="5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cash provided by (used in) operating activities</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w w:val="96"/>
              </w:rPr>
              <w:t>(137,200)</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76,933</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(84,203)</w:t>
            </w:r>
          </w:p>
        </w:tc>
        <w:tc>
          <w:tcPr>
            <w:tcW w:w="0" w:type="dxa"/>
            <w:vAlign w:val="bottom"/>
          </w:tcPr>
          <w:p>
            <w:pPr>
              <w:spacing w:after="0"/>
              <w:rPr>
                <w:sz w:val="1"/>
                <w:szCs w:val="1"/>
                <w:color w:val="auto"/>
              </w:rPr>
            </w:pPr>
          </w:p>
        </w:tc>
      </w:tr>
      <w:tr>
        <w:trPr>
          <w:trHeight w:val="162"/>
        </w:trPr>
        <w:tc>
          <w:tcPr>
            <w:tcW w:w="6060" w:type="dxa"/>
            <w:vAlign w:val="bottom"/>
          </w:tcPr>
          <w:p>
            <w:pPr>
              <w:ind w:left="260"/>
              <w:spacing w:after="0"/>
              <w:rPr>
                <w:sz w:val="20"/>
                <w:szCs w:val="20"/>
                <w:color w:val="auto"/>
              </w:rPr>
            </w:pPr>
            <w:r>
              <w:rPr>
                <w:rFonts w:ascii="Arial" w:cs="Arial" w:eastAsia="Arial" w:hAnsi="Arial"/>
                <w:sz w:val="13"/>
                <w:szCs w:val="13"/>
                <w:color w:val="auto"/>
              </w:rPr>
              <w:t>Net cash provided by (used in) investing activities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357,393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(106,559)</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(121,014)</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cash used in financing activities</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(54)</w:t>
            </w: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(713)</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(2,340)</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Net cash provided by (used in) discontinued operations</w:t>
            </w: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6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220,139</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(30,339)</w:t>
            </w:r>
          </w:p>
        </w:tc>
        <w:tc>
          <w:tcPr>
            <w:tcW w:w="30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(207,557)</w:t>
            </w:r>
          </w:p>
        </w:tc>
        <w:tc>
          <w:tcPr>
            <w:tcW w:w="0" w:type="dxa"/>
            <w:vAlign w:val="bottom"/>
          </w:tcPr>
          <w:p>
            <w:pPr>
              <w:spacing w:after="0"/>
              <w:rPr>
                <w:sz w:val="1"/>
                <w:szCs w:val="1"/>
                <w:color w:val="auto"/>
              </w:rPr>
            </w:pPr>
          </w:p>
        </w:tc>
      </w:tr>
      <w:tr>
        <w:trPr>
          <w:trHeight w:val="20"/>
        </w:trPr>
        <w:tc>
          <w:tcPr>
            <w:tcW w:w="6060" w:type="dxa"/>
            <w:vAlign w:val="bottom"/>
            <w:vMerge w:val="restart"/>
            <w:shd w:val="clear" w:color="auto" w:fill="CFF0FC"/>
          </w:tcPr>
          <w:p>
            <w:pPr>
              <w:ind w:left="260"/>
              <w:spacing w:after="0"/>
              <w:rPr>
                <w:sz w:val="20"/>
                <w:szCs w:val="20"/>
                <w:color w:val="auto"/>
              </w:rPr>
            </w:pPr>
            <w:r>
              <w:rPr>
                <w:rFonts w:ascii="Arial" w:cs="Arial" w:eastAsia="Arial" w:hAnsi="Arial"/>
                <w:sz w:val="13"/>
                <w:szCs w:val="13"/>
                <w:color w:val="auto"/>
              </w:rPr>
              <w:t xml:space="preserve">Effect of </w:t>
            </w:r>
            <w:r>
              <w:rPr>
                <w:rFonts w:ascii="Arial" w:cs="Arial" w:eastAsia="Arial" w:hAnsi="Arial"/>
                <w:sz w:val="14"/>
                <w:szCs w:val="14"/>
                <w:color w:val="auto"/>
              </w:rPr>
              <w:t>foreign</w:t>
            </w:r>
            <w:r>
              <w:rPr>
                <w:rFonts w:ascii="Arial" w:cs="Arial" w:eastAsia="Arial" w:hAnsi="Arial"/>
                <w:sz w:val="13"/>
                <w:szCs w:val="13"/>
                <w:color w:val="auto"/>
              </w:rPr>
              <w:t xml:space="preserve"> exchange rate changes on cash</w:t>
            </w:r>
          </w:p>
        </w:tc>
        <w:tc>
          <w:tcPr>
            <w:tcW w:w="5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60" w:type="dxa"/>
            <w:vAlign w:val="bottom"/>
            <w:vMerge w:val="continue"/>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(1,946)</w:t>
            </w: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(250)</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3"/>
                <w:szCs w:val="13"/>
                <w:b w:val="1"/>
                <w:bCs w:val="1"/>
                <w:color w:val="auto"/>
              </w:rPr>
              <w:t>Increase (decrease) in cash, cash equivalents and restricted cash</w:t>
            </w: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6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258,195</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(13,441)</w:t>
            </w:r>
          </w:p>
        </w:tc>
        <w:tc>
          <w:tcPr>
            <w:tcW w:w="30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(12,613)</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58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177,675</w:t>
            </w:r>
          </w:p>
        </w:tc>
        <w:tc>
          <w:tcPr>
            <w:tcW w:w="2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191,116</w:t>
            </w:r>
          </w:p>
        </w:tc>
        <w:tc>
          <w:tcPr>
            <w:tcW w:w="2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203,729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60" w:type="dxa"/>
            <w:vAlign w:val="bottom"/>
          </w:tcPr>
          <w:p>
            <w:pPr>
              <w:spacing w:after="0"/>
              <w:rPr>
                <w:sz w:val="20"/>
                <w:szCs w:val="20"/>
                <w:color w:val="auto"/>
              </w:rPr>
            </w:pPr>
            <w:r>
              <w:rPr>
                <w:rFonts w:ascii="Arial" w:cs="Arial" w:eastAsia="Arial" w:hAnsi="Arial"/>
                <w:sz w:val="13"/>
                <w:szCs w:val="13"/>
                <w:b w:val="1"/>
                <w:bCs w:val="1"/>
                <w:color w:val="auto"/>
              </w:rPr>
              <w:t>Cash, cash equivalents and restricted cash at end of period</w:t>
            </w:r>
          </w:p>
        </w:tc>
        <w:tc>
          <w:tcPr>
            <w:tcW w:w="1400" w:type="dxa"/>
            <w:vAlign w:val="bottom"/>
            <w:gridSpan w:val="2"/>
          </w:tcPr>
          <w:p>
            <w:pPr>
              <w:jc w:val="right"/>
              <w:ind w:right="7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435,870</w:t>
            </w:r>
          </w:p>
        </w:tc>
        <w:tc>
          <w:tcPr>
            <w:tcW w:w="26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177,675</w:t>
            </w:r>
          </w:p>
        </w:tc>
        <w:tc>
          <w:tcPr>
            <w:tcW w:w="24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191,116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vMerge w:val="continue"/>
            <w:shd w:val="clear" w:color="auto" w:fill="CFF0FC"/>
          </w:tcPr>
          <w:p>
            <w:pPr>
              <w:spacing w:after="0"/>
              <w:rPr>
                <w:sz w:val="12"/>
                <w:szCs w:val="12"/>
                <w:color w:val="auto"/>
              </w:rPr>
            </w:pPr>
          </w:p>
        </w:tc>
        <w:tc>
          <w:tcPr>
            <w:tcW w:w="1400" w:type="dxa"/>
            <w:vAlign w:val="bottom"/>
            <w:gridSpan w:val="2"/>
            <w:shd w:val="clear" w:color="auto" w:fill="CFF0FC"/>
          </w:tcPr>
          <w:p>
            <w:pPr>
              <w:jc w:val="right"/>
              <w:ind w:right="760"/>
              <w:spacing w:after="0" w:line="143" w:lineRule="exact"/>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435,870</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53"/>
              <w:spacing w:after="0" w:line="143" w:lineRule="exact"/>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177,675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53"/>
              <w:spacing w:after="0" w:line="143" w:lineRule="exact"/>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191,116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20"/>
                <w:szCs w:val="20"/>
                <w:color w:val="auto"/>
              </w:rPr>
            </w:pPr>
            <w:r>
              <w:rPr>
                <w:rFonts w:ascii="Arial" w:cs="Arial" w:eastAsia="Arial" w:hAnsi="Arial"/>
                <w:sz w:val="13"/>
                <w:szCs w:val="13"/>
                <w:color w:val="auto"/>
              </w:rPr>
              <w:t>Less: current restricted cash</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525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560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spacing w:after="0"/>
              <w:rPr>
                <w:sz w:val="20"/>
                <w:szCs w:val="20"/>
                <w:color w:val="auto"/>
              </w:rPr>
            </w:pPr>
            <w:r>
              <w:rPr>
                <w:rFonts w:ascii="Arial" w:cs="Arial" w:eastAsia="Arial" w:hAnsi="Arial"/>
                <w:sz w:val="13"/>
                <w:szCs w:val="13"/>
                <w:color w:val="auto"/>
              </w:rPr>
              <w:t>Less: non-current restricted cash</w:t>
            </w:r>
          </w:p>
        </w:tc>
        <w:tc>
          <w:tcPr>
            <w:tcW w:w="58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7,099</w:t>
            </w:r>
          </w:p>
        </w:tc>
        <w:tc>
          <w:tcPr>
            <w:tcW w:w="2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5,426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60" w:type="dxa"/>
            <w:vAlign w:val="bottom"/>
          </w:tcPr>
          <w:p>
            <w:pPr>
              <w:spacing w:after="0"/>
              <w:rPr>
                <w:sz w:val="20"/>
                <w:szCs w:val="20"/>
                <w:color w:val="auto"/>
              </w:rPr>
            </w:pPr>
            <w:r>
              <w:rPr>
                <w:rFonts w:ascii="Arial" w:cs="Arial" w:eastAsia="Arial" w:hAnsi="Arial"/>
                <w:sz w:val="13"/>
                <w:szCs w:val="13"/>
                <w:b w:val="1"/>
                <w:bCs w:val="1"/>
                <w:color w:val="auto"/>
              </w:rPr>
              <w:t>Cash and cash equivalents at end of period</w:t>
            </w:r>
          </w:p>
        </w:tc>
        <w:tc>
          <w:tcPr>
            <w:tcW w:w="1400" w:type="dxa"/>
            <w:vAlign w:val="bottom"/>
            <w:gridSpan w:val="2"/>
          </w:tcPr>
          <w:p>
            <w:pPr>
              <w:jc w:val="right"/>
              <w:ind w:right="7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435,345</w:t>
            </w:r>
          </w:p>
        </w:tc>
        <w:tc>
          <w:tcPr>
            <w:tcW w:w="260" w:type="dxa"/>
            <w:vAlign w:val="bottom"/>
          </w:tcPr>
          <w:p>
            <w:pPr>
              <w:spacing w:after="0"/>
              <w:rPr>
                <w:sz w:val="17"/>
                <w:szCs w:val="17"/>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170,016</w:t>
            </w:r>
          </w:p>
        </w:tc>
        <w:tc>
          <w:tcPr>
            <w:tcW w:w="240" w:type="dxa"/>
            <w:vAlign w:val="bottom"/>
          </w:tcPr>
          <w:p>
            <w:pPr>
              <w:spacing w:after="0"/>
              <w:rPr>
                <w:sz w:val="17"/>
                <w:szCs w:val="17"/>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184,155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0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Supplemental Cash Flow Information:</w:t>
            </w:r>
          </w:p>
        </w:tc>
        <w:tc>
          <w:tcPr>
            <w:tcW w:w="58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740"/>
              <w:spacing w:after="0"/>
              <w:rPr>
                <w:sz w:val="20"/>
                <w:szCs w:val="20"/>
                <w:color w:val="auto"/>
              </w:rPr>
            </w:pPr>
            <w:r>
              <w:rPr>
                <w:rFonts w:ascii="Arial" w:cs="Arial" w:eastAsia="Arial" w:hAnsi="Arial"/>
                <w:sz w:val="13"/>
                <w:szCs w:val="13"/>
                <w:color w:val="auto"/>
              </w:rPr>
              <w:t>Cash paid for interest</w:t>
            </w:r>
          </w:p>
        </w:tc>
        <w:tc>
          <w:tcPr>
            <w:tcW w:w="1400" w:type="dxa"/>
            <w:vAlign w:val="bottom"/>
            <w:gridSpan w:val="2"/>
          </w:tcPr>
          <w:p>
            <w:pPr>
              <w:jc w:val="right"/>
              <w:ind w:right="7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106,051</w:t>
            </w:r>
          </w:p>
        </w:tc>
        <w:tc>
          <w:tcPr>
            <w:tcW w:w="26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140,833</w:t>
            </w:r>
          </w:p>
        </w:tc>
        <w:tc>
          <w:tcPr>
            <w:tcW w:w="24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101,489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Cash paid for taxes</w:t>
            </w:r>
          </w:p>
        </w:tc>
        <w:tc>
          <w:tcPr>
            <w:tcW w:w="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Comprehensive</w:t>
            </w:r>
          </w:p>
        </w:tc>
        <w:tc>
          <w:tcPr>
            <w:tcW w:w="1080" w:type="dxa"/>
            <w:vAlign w:val="bottom"/>
            <w:gridSpan w:val="4"/>
          </w:tcPr>
          <w:p>
            <w:pPr>
              <w:ind w:left="100"/>
              <w:spacing w:after="0"/>
              <w:rPr>
                <w:sz w:val="20"/>
                <w:szCs w:val="20"/>
                <w:color w:val="auto"/>
              </w:rPr>
            </w:pPr>
            <w:r>
              <w:rPr>
                <w:rFonts w:ascii="Arial" w:cs="Arial" w:eastAsia="Arial" w:hAnsi="Arial"/>
                <w:sz w:val="13"/>
                <w:szCs w:val="13"/>
                <w:b w:val="1"/>
                <w:bCs w:val="1"/>
                <w:color w:val="auto"/>
              </w:rPr>
              <w:t>Accumulated</w:t>
            </w:r>
          </w:p>
        </w:tc>
        <w:tc>
          <w:tcPr>
            <w:tcW w:w="16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3"/>
                <w:szCs w:val="13"/>
                <w:b w:val="1"/>
                <w:bCs w:val="1"/>
                <w:color w:val="auto"/>
              </w:rPr>
              <w:t>Treasury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91"/>
              </w:rPr>
              <w:t>Par Value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Capital</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January 1, 2018</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86,843,928</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898,729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(933)</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(1,089,369)</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(191,564)</w:t>
            </w: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(162,031)</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(162,031)</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Currency translation adjustments, net of tax</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(2,621)</w:t>
            </w: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16,912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16,912</w:t>
            </w:r>
          </w:p>
        </w:tc>
        <w:tc>
          <w:tcPr>
            <w:tcW w:w="0" w:type="dxa"/>
            <w:vAlign w:val="bottom"/>
          </w:tcPr>
          <w:p>
            <w:pPr>
              <w:spacing w:after="0"/>
              <w:rPr>
                <w:sz w:val="1"/>
                <w:szCs w:val="1"/>
                <w:color w:val="auto"/>
              </w:rPr>
            </w:pPr>
          </w:p>
        </w:tc>
      </w:tr>
      <w:tr>
        <w:trPr>
          <w:trHeight w:val="151"/>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upon exercise</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of 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1"/>
        </w:trPr>
        <w:tc>
          <w:tcPr>
            <w:tcW w:w="3700" w:type="dxa"/>
            <w:vAlign w:val="bottom"/>
          </w:tcPr>
          <w:p>
            <w:pPr>
              <w:ind w:left="260"/>
              <w:spacing w:after="0"/>
              <w:rPr>
                <w:sz w:val="20"/>
                <w:szCs w:val="20"/>
                <w:color w:val="auto"/>
              </w:rPr>
            </w:pPr>
            <w:r>
              <w:rPr>
                <w:rFonts w:ascii="Arial" w:cs="Arial" w:eastAsia="Arial" w:hAnsi="Arial"/>
                <w:sz w:val="13"/>
                <w:szCs w:val="13"/>
                <w:color w:val="auto"/>
              </w:rPr>
              <w:t>Issuance of common stock upon vesting</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360"/>
              <w:spacing w:after="0"/>
              <w:rPr>
                <w:sz w:val="20"/>
                <w:szCs w:val="20"/>
                <w:color w:val="auto"/>
              </w:rPr>
            </w:pPr>
            <w:r>
              <w:rPr>
                <w:rFonts w:ascii="Arial" w:cs="Arial" w:eastAsia="Arial" w:hAnsi="Arial"/>
                <w:sz w:val="13"/>
                <w:szCs w:val="13"/>
                <w:color w:val="auto"/>
              </w:rPr>
              <w:t>of restricted stock units and restricted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00" w:type="dxa"/>
            <w:vAlign w:val="bottom"/>
          </w:tcPr>
          <w:p>
            <w:pPr>
              <w:ind w:left="360"/>
              <w:spacing w:after="0"/>
              <w:rPr>
                <w:sz w:val="20"/>
                <w:szCs w:val="20"/>
                <w:color w:val="auto"/>
              </w:rPr>
            </w:pPr>
            <w:r>
              <w:rPr>
                <w:rFonts w:ascii="Arial" w:cs="Arial" w:eastAsia="Arial" w:hAnsi="Arial"/>
                <w:sz w:val="13"/>
                <w:szCs w:val="13"/>
                <w:color w:val="auto"/>
              </w:rPr>
              <w:t>stock awards</w:t>
            </w:r>
          </w:p>
        </w:tc>
        <w:tc>
          <w:tcPr>
            <w:tcW w:w="740" w:type="dxa"/>
            <w:vAlign w:val="bottom"/>
          </w:tcPr>
          <w:p>
            <w:pPr>
              <w:jc w:val="right"/>
              <w:spacing w:after="0"/>
              <w:rPr>
                <w:sz w:val="20"/>
                <w:szCs w:val="20"/>
                <w:color w:val="auto"/>
              </w:rPr>
            </w:pPr>
            <w:r>
              <w:rPr>
                <w:rFonts w:ascii="Arial" w:cs="Arial" w:eastAsia="Arial" w:hAnsi="Arial"/>
                <w:sz w:val="13"/>
                <w:szCs w:val="13"/>
                <w:color w:val="auto"/>
              </w:rPr>
              <w:t>393,361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 withholding related to vesting of restricted stock units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(1,181)</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(1,181)</w:t>
            </w:r>
          </w:p>
        </w:tc>
        <w:tc>
          <w:tcPr>
            <w:tcW w:w="0" w:type="dxa"/>
            <w:vAlign w:val="bottom"/>
          </w:tcPr>
          <w:p>
            <w:pPr>
              <w:spacing w:after="0"/>
              <w:rPr>
                <w:sz w:val="1"/>
                <w:szCs w:val="1"/>
                <w:color w:val="auto"/>
              </w:rPr>
            </w:pPr>
          </w:p>
        </w:tc>
      </w:tr>
      <w:tr>
        <w:trPr>
          <w:trHeight w:val="151"/>
        </w:trPr>
        <w:tc>
          <w:tcPr>
            <w:tcW w:w="3700" w:type="dxa"/>
            <w:vAlign w:val="bottom"/>
          </w:tcPr>
          <w:p>
            <w:pPr>
              <w:ind w:left="260"/>
              <w:spacing w:after="0"/>
              <w:rPr>
                <w:sz w:val="20"/>
                <w:szCs w:val="20"/>
                <w:color w:val="auto"/>
              </w:rPr>
            </w:pPr>
            <w:r>
              <w:rPr>
                <w:rFonts w:ascii="Arial" w:cs="Arial" w:eastAsia="Arial" w:hAnsi="Arial"/>
                <w:sz w:val="13"/>
                <w:szCs w:val="13"/>
                <w:color w:val="auto"/>
              </w:rPr>
              <w:t>Issuance of common stock in connection</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00" w:type="dxa"/>
            <w:vAlign w:val="bottom"/>
          </w:tcPr>
          <w:p>
            <w:pPr>
              <w:ind w:left="360"/>
              <w:spacing w:after="0"/>
              <w:rPr>
                <w:sz w:val="20"/>
                <w:szCs w:val="20"/>
                <w:color w:val="auto"/>
              </w:rPr>
            </w:pPr>
            <w:r>
              <w:rPr>
                <w:rFonts w:ascii="Arial" w:cs="Arial" w:eastAsia="Arial" w:hAnsi="Arial"/>
                <w:sz w:val="13"/>
                <w:szCs w:val="13"/>
                <w:color w:val="auto"/>
              </w:rPr>
              <w:t>with employee stock purchase plan</w:t>
            </w:r>
          </w:p>
        </w:tc>
        <w:tc>
          <w:tcPr>
            <w:tcW w:w="740" w:type="dxa"/>
            <w:vAlign w:val="bottom"/>
          </w:tcPr>
          <w:p>
            <w:pPr>
              <w:jc w:val="right"/>
              <w:spacing w:after="0"/>
              <w:rPr>
                <w:sz w:val="20"/>
                <w:szCs w:val="20"/>
                <w:color w:val="auto"/>
              </w:rPr>
            </w:pPr>
            <w:r>
              <w:rPr>
                <w:rFonts w:ascii="Arial" w:cs="Arial" w:eastAsia="Arial" w:hAnsi="Arial"/>
                <w:sz w:val="13"/>
                <w:szCs w:val="13"/>
                <w:color w:val="auto"/>
              </w:rPr>
              <w:t>320,905</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1,556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1,556</w:t>
            </w:r>
          </w:p>
        </w:tc>
        <w:tc>
          <w:tcPr>
            <w:tcW w:w="0" w:type="dxa"/>
            <w:vAlign w:val="bottom"/>
          </w:tcPr>
          <w:p>
            <w:pPr>
              <w:spacing w:after="0"/>
              <w:rPr>
                <w:sz w:val="1"/>
                <w:szCs w:val="1"/>
                <w:color w:val="auto"/>
              </w:rPr>
            </w:pPr>
          </w:p>
        </w:tc>
      </w:tr>
      <w:tr>
        <w:trPr>
          <w:trHeight w:val="151"/>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2022 Convertible Notes</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(including issuance costs)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47,421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47,421</w:t>
            </w:r>
          </w:p>
        </w:tc>
        <w:tc>
          <w:tcPr>
            <w:tcW w:w="0" w:type="dxa"/>
            <w:vAlign w:val="bottom"/>
          </w:tcPr>
          <w:p>
            <w:pPr>
              <w:spacing w:after="0"/>
              <w:rPr>
                <w:sz w:val="1"/>
                <w:szCs w:val="1"/>
                <w:color w:val="auto"/>
              </w:rPr>
            </w:pPr>
          </w:p>
        </w:tc>
      </w:tr>
      <w:tr>
        <w:trPr>
          <w:trHeight w:val="151"/>
        </w:trPr>
        <w:tc>
          <w:tcPr>
            <w:tcW w:w="3700" w:type="dxa"/>
            <w:vAlign w:val="bottom"/>
          </w:tcPr>
          <w:p>
            <w:pPr>
              <w:ind w:left="260"/>
              <w:spacing w:after="0"/>
              <w:rPr>
                <w:sz w:val="20"/>
                <w:szCs w:val="20"/>
                <w:color w:val="auto"/>
              </w:rPr>
            </w:pPr>
            <w:r>
              <w:rPr>
                <w:rFonts w:ascii="Arial" w:cs="Arial" w:eastAsia="Arial" w:hAnsi="Arial"/>
                <w:sz w:val="13"/>
                <w:szCs w:val="13"/>
                <w:color w:val="auto"/>
              </w:rPr>
              <w:t>Impact of the adoption of new accounting</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00" w:type="dxa"/>
            <w:vAlign w:val="bottom"/>
            <w:tcBorders>
              <w:bottom w:val="single" w:sz="8" w:color="CFF0FC"/>
            </w:tcBorders>
          </w:tcPr>
          <w:p>
            <w:pPr>
              <w:ind w:left="360"/>
              <w:spacing w:after="0"/>
              <w:rPr>
                <w:sz w:val="20"/>
                <w:szCs w:val="20"/>
                <w:color w:val="auto"/>
              </w:rPr>
            </w:pPr>
            <w:r>
              <w:rPr>
                <w:rFonts w:ascii="Arial" w:cs="Arial" w:eastAsia="Arial" w:hAnsi="Arial"/>
                <w:sz w:val="13"/>
                <w:szCs w:val="13"/>
                <w:color w:val="auto"/>
              </w:rPr>
              <w:t>standards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22,726</w:t>
            </w: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22,726</w:t>
            </w:r>
          </w:p>
        </w:tc>
        <w:tc>
          <w:tcPr>
            <w:tcW w:w="0" w:type="dxa"/>
            <w:vAlign w:val="bottom"/>
          </w:tcPr>
          <w:p>
            <w:pPr>
              <w:spacing w:after="0"/>
              <w:rPr>
                <w:sz w:val="1"/>
                <w:szCs w:val="1"/>
                <w:color w:val="auto"/>
              </w:rPr>
            </w:pPr>
          </w:p>
        </w:tc>
      </w:tr>
      <w:tr>
        <w:trPr>
          <w:trHeight w:val="156"/>
        </w:trPr>
        <w:tc>
          <w:tcPr>
            <w:tcW w:w="3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December 31, 2018</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87,560,694</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963,458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(3,554)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(1,228,674)</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(268,761)</w:t>
            </w: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(146,004)</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(146,004)</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Currency translation adjustments, net of tax</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1,298</w:t>
            </w: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16,511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16,511</w:t>
            </w:r>
          </w:p>
        </w:tc>
        <w:tc>
          <w:tcPr>
            <w:tcW w:w="0" w:type="dxa"/>
            <w:vAlign w:val="bottom"/>
          </w:tcPr>
          <w:p>
            <w:pPr>
              <w:spacing w:after="0"/>
              <w:rPr>
                <w:sz w:val="1"/>
                <w:szCs w:val="1"/>
                <w:color w:val="auto"/>
              </w:rPr>
            </w:pPr>
          </w:p>
        </w:tc>
      </w:tr>
      <w:tr>
        <w:trPr>
          <w:trHeight w:val="151"/>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upon exercise of</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3,338</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1"/>
        </w:trPr>
        <w:tc>
          <w:tcPr>
            <w:tcW w:w="3700" w:type="dxa"/>
            <w:vAlign w:val="bottom"/>
          </w:tcPr>
          <w:p>
            <w:pPr>
              <w:ind w:left="260"/>
              <w:spacing w:after="0"/>
              <w:rPr>
                <w:sz w:val="20"/>
                <w:szCs w:val="20"/>
                <w:color w:val="auto"/>
              </w:rPr>
            </w:pPr>
            <w:r>
              <w:rPr>
                <w:rFonts w:ascii="Arial" w:cs="Arial" w:eastAsia="Arial" w:hAnsi="Arial"/>
                <w:sz w:val="13"/>
                <w:szCs w:val="13"/>
                <w:color w:val="auto"/>
              </w:rPr>
              <w:t>Issuance of common stock upon vesting of</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360"/>
              <w:spacing w:after="0"/>
              <w:rPr>
                <w:sz w:val="20"/>
                <w:szCs w:val="20"/>
                <w:color w:val="auto"/>
              </w:rPr>
            </w:pPr>
            <w:r>
              <w:rPr>
                <w:rFonts w:ascii="Arial" w:cs="Arial" w:eastAsia="Arial" w:hAnsi="Arial"/>
                <w:sz w:val="13"/>
                <w:szCs w:val="13"/>
                <w:color w:val="auto"/>
              </w:rPr>
              <w:t>restricted stock units and restricted stock</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00" w:type="dxa"/>
            <w:vAlign w:val="bottom"/>
          </w:tcPr>
          <w:p>
            <w:pPr>
              <w:ind w:left="360"/>
              <w:spacing w:after="0"/>
              <w:rPr>
                <w:sz w:val="20"/>
                <w:szCs w:val="20"/>
                <w:color w:val="auto"/>
              </w:rPr>
            </w:pPr>
            <w:r>
              <w:rPr>
                <w:rFonts w:ascii="Arial" w:cs="Arial" w:eastAsia="Arial" w:hAnsi="Arial"/>
                <w:sz w:val="13"/>
                <w:szCs w:val="13"/>
                <w:color w:val="auto"/>
              </w:rPr>
              <w:t>awards</w:t>
            </w:r>
          </w:p>
        </w:tc>
        <w:tc>
          <w:tcPr>
            <w:tcW w:w="740" w:type="dxa"/>
            <w:vAlign w:val="bottom"/>
          </w:tcPr>
          <w:p>
            <w:pPr>
              <w:jc w:val="right"/>
              <w:spacing w:after="0"/>
              <w:rPr>
                <w:sz w:val="20"/>
                <w:szCs w:val="20"/>
                <w:color w:val="auto"/>
              </w:rPr>
            </w:pPr>
            <w:r>
              <w:rPr>
                <w:rFonts w:ascii="Arial" w:cs="Arial" w:eastAsia="Arial" w:hAnsi="Arial"/>
                <w:sz w:val="13"/>
                <w:szCs w:val="13"/>
                <w:color w:val="auto"/>
              </w:rPr>
              <w:t>372,030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 withholding related to vesting of restricted stock units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(865)</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(865)</w:t>
            </w:r>
          </w:p>
        </w:tc>
        <w:tc>
          <w:tcPr>
            <w:tcW w:w="0" w:type="dxa"/>
            <w:vAlign w:val="bottom"/>
          </w:tcPr>
          <w:p>
            <w:pPr>
              <w:spacing w:after="0"/>
              <w:rPr>
                <w:sz w:val="1"/>
                <w:szCs w:val="1"/>
                <w:color w:val="auto"/>
              </w:rPr>
            </w:pPr>
          </w:p>
        </w:tc>
      </w:tr>
      <w:tr>
        <w:trPr>
          <w:trHeight w:val="151"/>
        </w:trPr>
        <w:tc>
          <w:tcPr>
            <w:tcW w:w="3700" w:type="dxa"/>
            <w:vAlign w:val="bottom"/>
          </w:tcPr>
          <w:p>
            <w:pPr>
              <w:ind w:left="260"/>
              <w:spacing w:after="0"/>
              <w:rPr>
                <w:sz w:val="20"/>
                <w:szCs w:val="20"/>
                <w:color w:val="auto"/>
              </w:rPr>
            </w:pPr>
            <w:r>
              <w:rPr>
                <w:rFonts w:ascii="Arial" w:cs="Arial" w:eastAsia="Arial" w:hAnsi="Arial"/>
                <w:sz w:val="13"/>
                <w:szCs w:val="13"/>
                <w:color w:val="auto"/>
              </w:rPr>
              <w:t>Issuance of common stock in connection</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00" w:type="dxa"/>
            <w:vAlign w:val="bottom"/>
          </w:tcPr>
          <w:p>
            <w:pPr>
              <w:ind w:left="360"/>
              <w:spacing w:after="0"/>
              <w:rPr>
                <w:sz w:val="20"/>
                <w:szCs w:val="20"/>
                <w:color w:val="auto"/>
              </w:rPr>
            </w:pPr>
            <w:r>
              <w:rPr>
                <w:rFonts w:ascii="Arial" w:cs="Arial" w:eastAsia="Arial" w:hAnsi="Arial"/>
                <w:sz w:val="13"/>
                <w:szCs w:val="13"/>
                <w:color w:val="auto"/>
              </w:rPr>
              <w:t>with employee stock purchase plan</w:t>
            </w:r>
          </w:p>
        </w:tc>
        <w:tc>
          <w:tcPr>
            <w:tcW w:w="740" w:type="dxa"/>
            <w:vAlign w:val="bottom"/>
          </w:tcPr>
          <w:p>
            <w:pPr>
              <w:jc w:val="right"/>
              <w:spacing w:after="0"/>
              <w:rPr>
                <w:sz w:val="20"/>
                <w:szCs w:val="20"/>
                <w:color w:val="auto"/>
              </w:rPr>
            </w:pPr>
            <w:r>
              <w:rPr>
                <w:rFonts w:ascii="Arial" w:cs="Arial" w:eastAsia="Arial" w:hAnsi="Arial"/>
                <w:sz w:val="13"/>
                <w:szCs w:val="13"/>
                <w:color w:val="auto"/>
              </w:rPr>
              <w:t>304,815</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1,174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1,174</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 2020 Convertible Notes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(795)</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(795)</w:t>
            </w:r>
          </w:p>
        </w:tc>
        <w:tc>
          <w:tcPr>
            <w:tcW w:w="0" w:type="dxa"/>
            <w:vAlign w:val="bottom"/>
          </w:tcPr>
          <w:p>
            <w:pPr>
              <w:spacing w:after="0"/>
              <w:rPr>
                <w:sz w:val="1"/>
                <w:szCs w:val="1"/>
                <w:color w:val="auto"/>
              </w:rPr>
            </w:pPr>
          </w:p>
        </w:tc>
      </w:tr>
      <w:tr>
        <w:trPr>
          <w:trHeight w:val="151"/>
        </w:trPr>
        <w:tc>
          <w:tcPr>
            <w:tcW w:w="3700" w:type="dxa"/>
            <w:vAlign w:val="bottom"/>
          </w:tcPr>
          <w:p>
            <w:pPr>
              <w:ind w:left="260"/>
              <w:spacing w:after="0"/>
              <w:rPr>
                <w:sz w:val="20"/>
                <w:szCs w:val="20"/>
                <w:color w:val="auto"/>
              </w:rPr>
            </w:pPr>
            <w:r>
              <w:rPr>
                <w:rFonts w:ascii="Arial" w:cs="Arial" w:eastAsia="Arial" w:hAnsi="Arial"/>
                <w:sz w:val="13"/>
                <w:szCs w:val="13"/>
                <w:color w:val="auto"/>
              </w:rPr>
              <w:t>Impact of the adoption of new accounting</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00" w:type="dxa"/>
            <w:vAlign w:val="bottom"/>
          </w:tcPr>
          <w:p>
            <w:pPr>
              <w:ind w:left="360"/>
              <w:spacing w:after="0"/>
              <w:rPr>
                <w:sz w:val="20"/>
                <w:szCs w:val="20"/>
                <w:color w:val="auto"/>
              </w:rPr>
            </w:pPr>
            <w:r>
              <w:rPr>
                <w:rFonts w:ascii="Arial" w:cs="Arial" w:eastAsia="Arial" w:hAnsi="Arial"/>
                <w:sz w:val="13"/>
                <w:szCs w:val="13"/>
                <w:color w:val="auto"/>
              </w:rPr>
              <w:t>standards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(1,464)</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(1,464)</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December 31, 2019</w:t>
            </w: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00" w:type="dxa"/>
            <w:vAlign w:val="bottom"/>
            <w:vMerge w:val="continue"/>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88,240,877</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979,499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(2,256)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(1,376,142)</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(398,890)</w:t>
            </w: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(250,036)</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(250,036)</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Currency translation adjustments, net of tax</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1,243</w:t>
            </w: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14,458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14,458</w:t>
            </w:r>
          </w:p>
        </w:tc>
        <w:tc>
          <w:tcPr>
            <w:tcW w:w="0" w:type="dxa"/>
            <w:vAlign w:val="bottom"/>
          </w:tcPr>
          <w:p>
            <w:pPr>
              <w:spacing w:after="0"/>
              <w:rPr>
                <w:sz w:val="1"/>
                <w:szCs w:val="1"/>
                <w:color w:val="auto"/>
              </w:rPr>
            </w:pPr>
          </w:p>
        </w:tc>
      </w:tr>
      <w:tr>
        <w:trPr>
          <w:trHeight w:val="151"/>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upon exercise</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of 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87,104</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51"/>
        </w:trPr>
        <w:tc>
          <w:tcPr>
            <w:tcW w:w="3700" w:type="dxa"/>
            <w:vAlign w:val="bottom"/>
          </w:tcPr>
          <w:p>
            <w:pPr>
              <w:ind w:left="260"/>
              <w:spacing w:after="0"/>
              <w:rPr>
                <w:sz w:val="20"/>
                <w:szCs w:val="20"/>
                <w:color w:val="auto"/>
              </w:rPr>
            </w:pPr>
            <w:r>
              <w:rPr>
                <w:rFonts w:ascii="Arial" w:cs="Arial" w:eastAsia="Arial" w:hAnsi="Arial"/>
                <w:sz w:val="13"/>
                <w:szCs w:val="13"/>
                <w:color w:val="auto"/>
              </w:rPr>
              <w:t>Issuance of common stock upon vesting of</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360"/>
              <w:spacing w:after="0"/>
              <w:rPr>
                <w:sz w:val="20"/>
                <w:szCs w:val="20"/>
                <w:color w:val="auto"/>
              </w:rPr>
            </w:pPr>
            <w:r>
              <w:rPr>
                <w:rFonts w:ascii="Arial" w:cs="Arial" w:eastAsia="Arial" w:hAnsi="Arial"/>
                <w:sz w:val="13"/>
                <w:szCs w:val="13"/>
                <w:color w:val="auto"/>
              </w:rPr>
              <w:t>restricted stock units and restricted stock</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00" w:type="dxa"/>
            <w:vAlign w:val="bottom"/>
          </w:tcPr>
          <w:p>
            <w:pPr>
              <w:ind w:left="360"/>
              <w:spacing w:after="0"/>
              <w:rPr>
                <w:sz w:val="20"/>
                <w:szCs w:val="20"/>
                <w:color w:val="auto"/>
              </w:rPr>
            </w:pPr>
            <w:r>
              <w:rPr>
                <w:rFonts w:ascii="Arial" w:cs="Arial" w:eastAsia="Arial" w:hAnsi="Arial"/>
                <w:sz w:val="13"/>
                <w:szCs w:val="13"/>
                <w:color w:val="auto"/>
              </w:rPr>
              <w:t>awards</w:t>
            </w:r>
          </w:p>
        </w:tc>
        <w:tc>
          <w:tcPr>
            <w:tcW w:w="740" w:type="dxa"/>
            <w:vAlign w:val="bottom"/>
          </w:tcPr>
          <w:p>
            <w:pPr>
              <w:jc w:val="right"/>
              <w:spacing w:after="0"/>
              <w:rPr>
                <w:sz w:val="20"/>
                <w:szCs w:val="20"/>
                <w:color w:val="auto"/>
              </w:rPr>
            </w:pPr>
            <w:r>
              <w:rPr>
                <w:rFonts w:ascii="Arial" w:cs="Arial" w:eastAsia="Arial" w:hAnsi="Arial"/>
                <w:sz w:val="13"/>
                <w:szCs w:val="13"/>
                <w:color w:val="auto"/>
              </w:rPr>
              <w:t>2,376,709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 withholding related to vesting of</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restricted stock units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(5,470)</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(5,470)</w:t>
            </w:r>
          </w:p>
        </w:tc>
        <w:tc>
          <w:tcPr>
            <w:tcW w:w="0" w:type="dxa"/>
            <w:vAlign w:val="bottom"/>
          </w:tcPr>
          <w:p>
            <w:pPr>
              <w:spacing w:after="0"/>
              <w:rPr>
                <w:sz w:val="1"/>
                <w:szCs w:val="1"/>
                <w:color w:val="auto"/>
              </w:rPr>
            </w:pPr>
          </w:p>
        </w:tc>
      </w:tr>
      <w:tr>
        <w:trPr>
          <w:trHeight w:val="151"/>
        </w:trPr>
        <w:tc>
          <w:tcPr>
            <w:tcW w:w="3700" w:type="dxa"/>
            <w:vAlign w:val="bottom"/>
          </w:tcPr>
          <w:p>
            <w:pPr>
              <w:ind w:left="260"/>
              <w:spacing w:after="0"/>
              <w:rPr>
                <w:sz w:val="20"/>
                <w:szCs w:val="20"/>
                <w:color w:val="auto"/>
              </w:rPr>
            </w:pPr>
            <w:r>
              <w:rPr>
                <w:rFonts w:ascii="Arial" w:cs="Arial" w:eastAsia="Arial" w:hAnsi="Arial"/>
                <w:sz w:val="13"/>
                <w:szCs w:val="13"/>
                <w:color w:val="auto"/>
              </w:rPr>
              <w:t>Issuance of common stock in connection</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00" w:type="dxa"/>
            <w:vAlign w:val="bottom"/>
          </w:tcPr>
          <w:p>
            <w:pPr>
              <w:ind w:left="360"/>
              <w:spacing w:after="0"/>
              <w:rPr>
                <w:sz w:val="20"/>
                <w:szCs w:val="20"/>
                <w:color w:val="auto"/>
              </w:rPr>
            </w:pPr>
            <w:r>
              <w:rPr>
                <w:rFonts w:ascii="Arial" w:cs="Arial" w:eastAsia="Arial" w:hAnsi="Arial"/>
                <w:sz w:val="13"/>
                <w:szCs w:val="13"/>
                <w:color w:val="auto"/>
              </w:rPr>
              <w:t>with employee stock purchase plan</w:t>
            </w:r>
          </w:p>
        </w:tc>
        <w:tc>
          <w:tcPr>
            <w:tcW w:w="740" w:type="dxa"/>
            <w:vAlign w:val="bottom"/>
          </w:tcPr>
          <w:p>
            <w:pPr>
              <w:jc w:val="right"/>
              <w:spacing w:after="0"/>
              <w:rPr>
                <w:sz w:val="20"/>
                <w:szCs w:val="20"/>
                <w:color w:val="auto"/>
              </w:rPr>
            </w:pPr>
            <w:r>
              <w:rPr>
                <w:rFonts w:ascii="Arial" w:cs="Arial" w:eastAsia="Arial" w:hAnsi="Arial"/>
                <w:sz w:val="13"/>
                <w:szCs w:val="13"/>
                <w:color w:val="auto"/>
              </w:rPr>
              <w:t>363,209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984</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Settlement of prepaid forward shares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(5,077,400)</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98,858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5,077,400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(98,857)</w:t>
            </w:r>
          </w:p>
        </w:tc>
        <w:tc>
          <w:tcPr>
            <w:tcW w:w="14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700" w:type="dxa"/>
            <w:vAlign w:val="bottom"/>
          </w:tcPr>
          <w:p>
            <w:pPr>
              <w:ind w:left="260"/>
              <w:spacing w:after="0"/>
              <w:rPr>
                <w:sz w:val="20"/>
                <w:szCs w:val="20"/>
                <w:color w:val="auto"/>
              </w:rPr>
            </w:pPr>
            <w:r>
              <w:rPr>
                <w:rFonts w:ascii="Arial" w:cs="Arial" w:eastAsia="Arial" w:hAnsi="Arial"/>
                <w:sz w:val="13"/>
                <w:szCs w:val="13"/>
                <w:color w:val="auto"/>
              </w:rPr>
              <w:t>Impact of the adoption of new accounting</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00" w:type="dxa"/>
            <w:vAlign w:val="bottom"/>
          </w:tcPr>
          <w:p>
            <w:pPr>
              <w:ind w:left="360"/>
              <w:spacing w:after="0"/>
              <w:rPr>
                <w:sz w:val="20"/>
                <w:szCs w:val="20"/>
                <w:color w:val="auto"/>
              </w:rPr>
            </w:pPr>
            <w:r>
              <w:rPr>
                <w:rFonts w:ascii="Arial" w:cs="Arial" w:eastAsia="Arial" w:hAnsi="Arial"/>
                <w:sz w:val="13"/>
                <w:szCs w:val="13"/>
                <w:color w:val="auto"/>
              </w:rPr>
              <w:t>standards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(3,665)</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(3,665)</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December 31, 2020</w:t>
            </w: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00" w:type="dxa"/>
            <w:vAlign w:val="bottom"/>
            <w:vMerge w:val="continue"/>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85,990,499</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1,088,590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1,013</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(1,629,843)</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5,077,400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(98,857)</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(641,114)</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w:t>
      </w:r>
    </w:p>
    <w:p>
      <w:pPr>
        <w:spacing w:after="0" w:line="148"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Gogo (“we”, “us,” “our”) is the world’s largest provider of broadband connectivity services for the business aviation market. Our mission is to provide ground-like connectivity to every passenger on every flight around the globe, enabling superior passenger experiences and efficient flight operations. To accomplish our mission, we design, build and operate dedicated air-to-ground (“ATG”) networks, engineer, install and maintain in-flight systems of proprietary hardware and software, and deliver customizable connectivity and wireless entertainment services and global support capabilities to our aviation partners. Our services include satellite-based voice and data services through our strategic alliances with satellite providers.</w:t>
      </w:r>
    </w:p>
    <w:p>
      <w:pPr>
        <w:spacing w:after="0" w:line="16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On December 1, 2020, we completed the previously announced sale of our commercial aviation (“CA”) business to a subsidiary of Intelsat Jackson Holdings S.A. (“Intelsat”) for a purchase price of $400 million in cash, subject to certain adjustments (the “Transaction”).</w:t>
      </w:r>
    </w:p>
    <w:p>
      <w:pPr>
        <w:spacing w:after="0" w:line="170"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At the closing of the Transaction, the parties entered into certain ancillary agreements, including a transition services agreement, an intellectual property license agreement and commercial agreements. These agreements include an ATG network sharing agreement, pursuant to which we provide certain inflight connectivity services on our current ATG network and, when available, our Gogo 5G network, subject to certain revenue sharing obligations. Under the ATG network sharing agreement, Intelsat will have exclusive access to the ATG network for commercial aviation in North America, subject to minimum revenue guarantees starting at $5 million in the first year of the agreement.</w:t>
      </w:r>
    </w:p>
    <w:p>
      <w:pPr>
        <w:spacing w:after="0" w:line="176" w:lineRule="exact"/>
        <w:rPr>
          <w:sz w:val="20"/>
          <w:szCs w:val="20"/>
          <w:color w:val="auto"/>
        </w:rPr>
      </w:pPr>
    </w:p>
    <w:p>
      <w:pPr>
        <w:ind w:right="180" w:firstLine="589"/>
        <w:spacing w:after="0" w:line="273" w:lineRule="auto"/>
        <w:rPr>
          <w:sz w:val="20"/>
          <w:szCs w:val="20"/>
          <w:color w:val="auto"/>
        </w:rPr>
      </w:pPr>
      <w:r>
        <w:rPr>
          <w:rFonts w:ascii="Arial" w:cs="Arial" w:eastAsia="Arial" w:hAnsi="Arial"/>
          <w:sz w:val="17"/>
          <w:szCs w:val="17"/>
          <w:color w:val="auto"/>
        </w:rPr>
        <w:t>As a result of the Transaction, the CA business is reported in discontinued operations and all periods presented in this Form 10-K have been conformed to present the CA business as a discontinued operation. We report the financial results of discontinued operations separately from continuing operations to distinguish the financial impact of disposal transactions from ongoing operations. Discontinued operations reporting occurs only when the disposal of a component or a group of components (i) meets the held-for-sale classification criteria or is disposed of by sale or other than by sale, and (ii) represents a strategic shift that will have a major effect on our operations and financial results. The results of operations and cash flows of a discontinued operation are restated for all comparative periods presented.</w:t>
      </w:r>
    </w:p>
    <w:p>
      <w:pPr>
        <w:spacing w:after="0" w:line="178"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Unless otherwise noted, discussion in these Notes to Consolidated Financial Statements refers to our continuing operations. Refer to Note 2, “Discontinued Operations” for further information.</w:t>
      </w:r>
    </w:p>
    <w:p>
      <w:pPr>
        <w:spacing w:after="0" w:line="170"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As a result of the Transaction, our chief operating decision maker evaluates performance and business results for our operations, and makes resource and operating decisions, on a consolidated basis. As such, we do not present segment information in this Annual Report on Form 10-K. Refer to Note 13, “Business Segments and Major Customers,”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8" w:name="page79"/>
    <w:bookmarkEnd w:id="78"/>
    <w:p>
      <w:pPr>
        <w:ind w:left="480" w:hanging="472"/>
        <w:spacing w:after="0"/>
        <w:tabs>
          <w:tab w:leader="none" w:pos="4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62"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As discussed in Note 1, “Background,” on December 1, 2020, we completed the sale of our CA business to Intelsat. As a result of the Transaction, the CA business is reported for all periods as discontinued operations.</w:t>
      </w:r>
    </w:p>
    <w:p>
      <w:pPr>
        <w:spacing w:after="0" w:line="170"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 xml:space="preserve">The following table summarizes the results of discontinued operations which are presented as Net loss from discontinued operations in our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Arial" w:cs="Arial" w:eastAsia="Arial" w:hAnsi="Arial"/>
                <w:sz w:val="16"/>
                <w:szCs w:val="16"/>
                <w:color w:val="auto"/>
              </w:rPr>
              <w:t>Service revenue</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192,616</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442,431</w:t>
            </w:r>
          </w:p>
        </w:tc>
        <w:tc>
          <w:tcPr>
            <w:tcW w:w="140" w:type="dxa"/>
            <w:vAlign w:val="bottom"/>
          </w:tcPr>
          <w:p>
            <w:pPr>
              <w:spacing w:after="0"/>
              <w:rPr>
                <w:sz w:val="18"/>
                <w:szCs w:val="18"/>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433,770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Equipment revenue</w:t>
            </w:r>
          </w:p>
        </w:tc>
        <w:tc>
          <w:tcPr>
            <w:tcW w:w="8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40,483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84,310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169,841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Borders>
              <w:bottom w:val="single" w:sz="8" w:color="CFF0FC"/>
            </w:tcBorders>
          </w:tcPr>
          <w:p>
            <w:pPr>
              <w:ind w:left="620"/>
              <w:spacing w:after="0"/>
              <w:rPr>
                <w:sz w:val="20"/>
                <w:szCs w:val="20"/>
                <w:color w:val="auto"/>
              </w:rPr>
            </w:pPr>
            <w:r>
              <w:rPr>
                <w:rFonts w:ascii="Arial" w:cs="Arial" w:eastAsia="Arial" w:hAnsi="Arial"/>
                <w:sz w:val="16"/>
                <w:szCs w:val="16"/>
                <w:b w:val="1"/>
                <w:bCs w:val="1"/>
                <w:color w:val="auto"/>
              </w:rPr>
              <w:t>Total revenue</w:t>
            </w:r>
          </w:p>
        </w:tc>
        <w:tc>
          <w:tcPr>
            <w:tcW w:w="8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233,099</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526,741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603,611</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80" w:type="dxa"/>
            <w:vAlign w:val="bottom"/>
          </w:tcPr>
          <w:p>
            <w:pPr>
              <w:ind w:left="360"/>
              <w:spacing w:after="0"/>
              <w:rPr>
                <w:sz w:val="20"/>
                <w:szCs w:val="20"/>
                <w:color w:val="auto"/>
              </w:rPr>
            </w:pPr>
            <w:r>
              <w:rPr>
                <w:rFonts w:ascii="Arial" w:cs="Arial" w:eastAsia="Arial" w:hAnsi="Arial"/>
                <w:sz w:val="16"/>
                <w:szCs w:val="16"/>
                <w:color w:val="auto"/>
              </w:rPr>
              <w:t>Cost of service revenue (exclusive of items shown</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145,958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255,706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254,503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4480" w:type="dxa"/>
            <w:vAlign w:val="bottom"/>
            <w:vMerge w:val="restart"/>
          </w:tcPr>
          <w:p>
            <w:pPr>
              <w:ind w:left="480"/>
              <w:spacing w:after="0"/>
              <w:rPr>
                <w:sz w:val="20"/>
                <w:szCs w:val="20"/>
                <w:color w:val="auto"/>
              </w:rPr>
            </w:pPr>
            <w:r>
              <w:rPr>
                <w:rFonts w:ascii="Arial" w:cs="Arial" w:eastAsia="Arial" w:hAnsi="Arial"/>
                <w:sz w:val="16"/>
                <w:szCs w:val="16"/>
                <w:color w:val="auto"/>
              </w:rPr>
              <w:t>below)</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4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Cost of equipment revenue (exclusive of items</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33,978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82,984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166,828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448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shown below)</w:t>
            </w:r>
          </w:p>
        </w:tc>
        <w:tc>
          <w:tcPr>
            <w:tcW w:w="8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20" w:type="dxa"/>
            <w:vAlign w:val="bottom"/>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7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480" w:type="dxa"/>
            <w:vAlign w:val="bottom"/>
            <w:vMerge w:val="continue"/>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Arial" w:cs="Arial" w:eastAsia="Arial" w:hAnsi="Arial"/>
                <w:sz w:val="16"/>
                <w:szCs w:val="16"/>
                <w:color w:val="auto"/>
              </w:rPr>
              <w:t>Engineering, design and development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57,167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82,597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101,571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Sales and marketing</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40,551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35,215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36,366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Impairment of long-lived assets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Borders>
              <w:bottom w:val="single" w:sz="8" w:color="CFF0FC"/>
            </w:tcBorders>
          </w:tcPr>
          <w:p>
            <w:pPr>
              <w:ind w:left="360"/>
              <w:spacing w:after="0"/>
              <w:rPr>
                <w:sz w:val="20"/>
                <w:szCs w:val="20"/>
                <w:color w:val="auto"/>
              </w:rPr>
            </w:pPr>
            <w:r>
              <w:rPr>
                <w:rFonts w:ascii="Arial" w:cs="Arial" w:eastAsia="Arial" w:hAnsi="Arial"/>
                <w:sz w:val="16"/>
                <w:szCs w:val="16"/>
                <w:color w:val="auto"/>
              </w:rPr>
              <w:t>Depreciation and amortization</w:t>
            </w:r>
          </w:p>
        </w:tc>
        <w:tc>
          <w:tcPr>
            <w:tcW w:w="8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119,827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102,127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119,254</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shd w:val="clear" w:color="auto" w:fill="CFF0FC"/>
          </w:tcPr>
          <w:p>
            <w:pPr>
              <w:ind w:left="620"/>
              <w:spacing w:after="0"/>
              <w:rPr>
                <w:sz w:val="20"/>
                <w:szCs w:val="20"/>
                <w:color w:val="auto"/>
              </w:rPr>
            </w:pPr>
            <w:r>
              <w:rPr>
                <w:rFonts w:ascii="Arial" w:cs="Arial" w:eastAsia="Arial" w:hAnsi="Arial"/>
                <w:sz w:val="16"/>
                <w:szCs w:val="16"/>
                <w:b w:val="1"/>
                <w:bCs w:val="1"/>
                <w:color w:val="auto"/>
              </w:rPr>
              <w:t>Total operating expenses</w:t>
            </w:r>
          </w:p>
        </w:tc>
        <w:tc>
          <w:tcPr>
            <w:tcW w:w="8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468,977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586,549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712,949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8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(235,878)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(59,808)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(109,338)</w:t>
            </w:r>
          </w:p>
        </w:tc>
        <w:tc>
          <w:tcPr>
            <w:tcW w:w="0" w:type="dxa"/>
            <w:vAlign w:val="bottom"/>
          </w:tcPr>
          <w:p>
            <w:pPr>
              <w:spacing w:after="0"/>
              <w:rPr>
                <w:sz w:val="1"/>
                <w:szCs w:val="1"/>
                <w:color w:val="auto"/>
              </w:rPr>
            </w:pPr>
          </w:p>
        </w:tc>
      </w:tr>
      <w:tr>
        <w:trPr>
          <w:trHeight w:val="212"/>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Other (income) expense:</w:t>
            </w:r>
          </w:p>
        </w:tc>
        <w:tc>
          <w:tcPr>
            <w:tcW w:w="8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Arial" w:cs="Arial" w:eastAsia="Arial" w:hAnsi="Arial"/>
                <w:sz w:val="16"/>
                <w:szCs w:val="16"/>
                <w:color w:val="auto"/>
              </w:rPr>
              <w:t>Gain on sale of CA business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(37,958)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Other (income) expense</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(2,744)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620"/>
              <w:spacing w:after="0"/>
              <w:rPr>
                <w:sz w:val="20"/>
                <w:szCs w:val="20"/>
                <w:color w:val="auto"/>
              </w:rPr>
            </w:pPr>
            <w:r>
              <w:rPr>
                <w:rFonts w:ascii="Arial" w:cs="Arial" w:eastAsia="Arial" w:hAnsi="Arial"/>
                <w:sz w:val="16"/>
                <w:szCs w:val="16"/>
                <w:b w:val="1"/>
                <w:bCs w:val="1"/>
                <w:color w:val="auto"/>
              </w:rPr>
              <w:t>Total other (income) expense: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(34,824)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(2,744)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before income taxes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(201,054)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(57,064)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(109,510)</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FF0FC"/>
            </w:tcBorders>
          </w:tcPr>
          <w:p>
            <w:pPr>
              <w:ind w:left="360"/>
              <w:spacing w:after="0"/>
              <w:rPr>
                <w:sz w:val="20"/>
                <w:szCs w:val="20"/>
                <w:color w:val="auto"/>
              </w:rPr>
            </w:pPr>
            <w:r>
              <w:rPr>
                <w:rFonts w:ascii="Arial" w:cs="Arial" w:eastAsia="Arial" w:hAnsi="Arial"/>
                <w:sz w:val="16"/>
                <w:szCs w:val="16"/>
                <w:color w:val="auto"/>
              </w:rPr>
              <w:t>Income tax provision</w:t>
            </w:r>
          </w:p>
        </w:tc>
        <w:tc>
          <w:tcPr>
            <w:tcW w:w="8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loss from discontinued operations, net of tax</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(201,477</w:t>
            </w:r>
          </w:p>
        </w:tc>
        <w:tc>
          <w:tcPr>
            <w:tcW w:w="120" w:type="dxa"/>
            <w:vAlign w:val="bottom"/>
            <w:shd w:val="clear" w:color="auto" w:fill="CFF0FC"/>
          </w:tcPr>
          <w:p>
            <w:pPr>
              <w:jc w:val="right"/>
              <w:ind w:right="40"/>
              <w:spacing w:after="0"/>
              <w:rPr>
                <w:sz w:val="20"/>
                <w:szCs w:val="20"/>
                <w:color w:val="auto"/>
              </w:rPr>
            </w:pPr>
            <w:r>
              <w:rPr>
                <w:rFonts w:ascii="Arial" w:cs="Arial" w:eastAsia="Arial" w:hAnsi="Arial"/>
                <w:sz w:val="8"/>
                <w:szCs w:val="8"/>
                <w:color w:val="auto"/>
                <w:w w:val="73"/>
              </w:rPr>
              <w:t>)</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(57,507</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(109,571)</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discussion relates entirely to discontinued operations.</w:t>
      </w:r>
    </w:p>
    <w:p>
      <w:pPr>
        <w:spacing w:after="0" w:line="11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b w:val="1"/>
          <w:bCs w:val="1"/>
          <w:color w:val="auto"/>
        </w:rPr>
        <w:t xml:space="preserve">Gain on sale </w:t>
      </w:r>
      <w:r>
        <w:rPr>
          <w:rFonts w:ascii="Arial" w:cs="Arial" w:eastAsia="Arial" w:hAnsi="Arial"/>
          <w:sz w:val="17"/>
          <w:szCs w:val="17"/>
          <w:color w:val="auto"/>
        </w:rPr>
        <w:t>– Upon the closing of the Transaction on December 1, 2020, we received initial gross proceeds of $386.3 million, which reflects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$400.0 million purchase price, adjusted for cash, debt, transaction expenses and working capital. The final purchase price remains subject to change due to customary post-closing purchase price adjustment procedures set forth in the purchase and sale agreement between Gogo and Intelsat, that are not yet complete. In February 2021, Intelsat delivered a draft closing statement that would reduce the working capital portion of the purchase price computation by $9.4 million, which would result in Gogo returning to Intelsat $9.4 million of the initial gross proceeds. Gogo is reviewing Intelsat’s draft closing statement in accordance with the terms of the purchase and sale agreement. As this post-closing purchase price adjustment is not yet finalized and therefore represents a contingent gain, $9.4 million has been recorded as a deferred gain on sale included within Accrued liabilities. As a result, we have recognized within Gain on sale of CA business a pretax gain on sale of $38.0 million, computed as the $386.3 million of initial gross proceeds less (i) the potential $9.4 million post-closing purchase price adjustment not yet finalized, (ii) the carrying value of the assets and liabilities transferred in the Transaction and (iii) Transaction-related </w:t>
      </w:r>
      <w:r>
        <w:rPr>
          <w:rFonts w:ascii="Arial" w:cs="Arial" w:eastAsia="Arial" w:hAnsi="Arial"/>
          <w:sz w:val="17"/>
          <w:szCs w:val="17"/>
          <w:b w:val="1"/>
          <w:bCs w:val="1"/>
          <w:color w:val="auto"/>
        </w:rPr>
        <w:t>costs.</w:t>
      </w:r>
    </w:p>
    <w:p>
      <w:pPr>
        <w:spacing w:after="0" w:line="177" w:lineRule="exact"/>
        <w:rPr>
          <w:sz w:val="20"/>
          <w:szCs w:val="20"/>
          <w:color w:val="auto"/>
        </w:rPr>
      </w:pPr>
    </w:p>
    <w:p>
      <w:pPr>
        <w:ind w:right="80" w:firstLine="589"/>
        <w:spacing w:after="0" w:line="256" w:lineRule="auto"/>
        <w:rPr>
          <w:sz w:val="20"/>
          <w:szCs w:val="20"/>
          <w:color w:val="auto"/>
        </w:rPr>
      </w:pPr>
      <w:r>
        <w:rPr>
          <w:rFonts w:ascii="Arial" w:cs="Arial" w:eastAsia="Arial" w:hAnsi="Arial"/>
          <w:sz w:val="18"/>
          <w:szCs w:val="18"/>
          <w:b w:val="1"/>
          <w:bCs w:val="1"/>
          <w:color w:val="auto"/>
        </w:rPr>
        <w:t xml:space="preserve">Change in estimates </w:t>
      </w:r>
      <w:r>
        <w:rPr>
          <w:rFonts w:ascii="Arial" w:cs="Arial" w:eastAsia="Arial" w:hAnsi="Arial"/>
          <w:sz w:val="18"/>
          <w:szCs w:val="18"/>
          <w:color w:val="auto"/>
        </w:rPr>
        <w:t>– During the second quarter of 2020, our agreement with Delta Air Lines, Inc. (“Delta”) to provide 2Ku service on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Delta aircraft was amended to change the contract expiration date from February 2027 with respect to all aircraft to a staggered, fleet by fleet expiration schedule under which expiration dates will occur between November 2020 and July 2022 (the “Delta amendment”). As a result, the useful lives of the equipment installed on these fleets were shortened to align with the expiration dates in the amended agreement. The change in estimated useful lives resulted in approximately $41 million of accelerated depreciation during the year ended December 31, 2020. We ceased depreciating these assets and other depreciable assets included as part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ind w:right="240"/>
        <w:spacing w:after="0" w:line="259" w:lineRule="auto"/>
        <w:rPr>
          <w:sz w:val="20"/>
          <w:szCs w:val="20"/>
          <w:color w:val="auto"/>
        </w:rPr>
      </w:pPr>
      <w:r>
        <w:rPr>
          <w:rFonts w:ascii="Arial" w:cs="Arial" w:eastAsia="Arial" w:hAnsi="Arial"/>
          <w:sz w:val="18"/>
          <w:szCs w:val="18"/>
          <w:color w:val="auto"/>
        </w:rPr>
        <w:t>discontinued operations when the CA business was classified as held for sale. Additionally, the amortization periods for the remaining deferred airborne lease incentives associated with the equipment installed on the 2Ku fleets were shortened to align with the new expiration dates, which resulted in approximately $42 million of accelerated amortization during the year ended December 31, 2020. Amortization of deferred airborne lease incentives is a reduction to cost of service revenue.</w:t>
      </w:r>
    </w:p>
    <w:p>
      <w:pPr>
        <w:spacing w:after="0" w:line="183" w:lineRule="exact"/>
        <w:rPr>
          <w:sz w:val="20"/>
          <w:szCs w:val="20"/>
          <w:color w:val="auto"/>
        </w:rPr>
      </w:pPr>
    </w:p>
    <w:p>
      <w:pPr>
        <w:ind w:right="40" w:firstLine="589"/>
        <w:spacing w:after="0" w:line="289" w:lineRule="auto"/>
        <w:rPr>
          <w:sz w:val="20"/>
          <w:szCs w:val="20"/>
          <w:color w:val="auto"/>
        </w:rPr>
      </w:pPr>
      <w:r>
        <w:rPr>
          <w:rFonts w:ascii="Arial" w:cs="Arial" w:eastAsia="Arial" w:hAnsi="Arial"/>
          <w:sz w:val="17"/>
          <w:szCs w:val="17"/>
          <w:b w:val="1"/>
          <w:bCs w:val="1"/>
          <w:color w:val="auto"/>
        </w:rPr>
        <w:t xml:space="preserve">Credit Losses </w:t>
      </w:r>
      <w:r>
        <w:rPr>
          <w:rFonts w:ascii="Arial" w:cs="Arial" w:eastAsia="Arial" w:hAnsi="Arial"/>
          <w:sz w:val="17"/>
          <w:szCs w:val="17"/>
          <w:color w:val="auto"/>
        </w:rPr>
        <w:t>– During the year ended December 31, 2020, we recorded $10.7 million of provisions for expected credit losses, primarily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one international airline partner entering bankruptcy administration, while we had recoveries of approximately $0.6 million. See “Recently Issued Accounting Pronouncements” in Note 3, “Summary of Significant Accounting Policies,” for additional information.</w:t>
      </w:r>
    </w:p>
    <w:p>
      <w:pPr>
        <w:spacing w:after="0" w:line="158" w:lineRule="exact"/>
        <w:rPr>
          <w:sz w:val="20"/>
          <w:szCs w:val="20"/>
          <w:color w:val="auto"/>
        </w:rPr>
      </w:pPr>
    </w:p>
    <w:p>
      <w:pPr>
        <w:ind w:right="20" w:firstLine="589"/>
        <w:spacing w:after="0" w:line="256" w:lineRule="auto"/>
        <w:rPr>
          <w:sz w:val="20"/>
          <w:szCs w:val="20"/>
          <w:color w:val="auto"/>
        </w:rPr>
      </w:pPr>
      <w:r>
        <w:rPr>
          <w:rFonts w:ascii="Arial" w:cs="Arial" w:eastAsia="Arial" w:hAnsi="Arial"/>
          <w:sz w:val="18"/>
          <w:szCs w:val="18"/>
          <w:b w:val="1"/>
          <w:bCs w:val="1"/>
          <w:color w:val="auto"/>
        </w:rPr>
        <w:t xml:space="preserve">Arrangements with commercial airlines </w:t>
      </w:r>
      <w:r>
        <w:rPr>
          <w:rFonts w:ascii="Arial" w:cs="Arial" w:eastAsia="Arial" w:hAnsi="Arial"/>
          <w:sz w:val="18"/>
          <w:szCs w:val="18"/>
          <w:color w:val="auto"/>
        </w:rPr>
        <w:t>– For our divested CA business, pursuant to contractual agreements with our airline partners, we placed</w:t>
      </w:r>
      <w:r>
        <w:rPr>
          <w:rFonts w:ascii="Arial" w:cs="Arial" w:eastAsia="Arial" w:hAnsi="Arial"/>
          <w:sz w:val="18"/>
          <w:szCs w:val="18"/>
          <w:b w:val="1"/>
          <w:bCs w:val="1"/>
          <w:color w:val="auto"/>
        </w:rPr>
        <w:t xml:space="preserve"> </w:t>
      </w:r>
      <w:r>
        <w:rPr>
          <w:rFonts w:ascii="Arial" w:cs="Arial" w:eastAsia="Arial" w:hAnsi="Arial"/>
          <w:sz w:val="18"/>
          <w:szCs w:val="18"/>
          <w:color w:val="auto"/>
        </w:rPr>
        <w:t>our equipment on commercial aircraft operated by the airlines in order to deliver our service to passengers on the aircraft. We had two types of commercial airline arrangements: turnkey and airline-directed. Under the airline-directed model, we transferred control of the equipment to the airline and therefore the airline was our customer in these transactions. Under the turnkey model, we had not transferred control of our equipment to our airline partner and, as a result, the airline passenger was deemed to be our customer. Transactions with our airline partners under the turnkey model were accounted for as an operating lease of space on an aircraft.</w:t>
      </w:r>
    </w:p>
    <w:p>
      <w:pPr>
        <w:spacing w:after="0" w:line="191"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We recognized $71.2 million, $28.6 million and $31.7 million, respectively, for the years ended December 31, 2020, 2019 and 2018 as a reduction to our cost of service revenue from the amortization of deferred airborne lease incentives. The increase during the year ended December 31, 2020 was due to the Delta amendment.</w:t>
      </w:r>
    </w:p>
    <w:p>
      <w:pPr>
        <w:spacing w:after="0" w:line="184" w:lineRule="exact"/>
        <w:rPr>
          <w:sz w:val="20"/>
          <w:szCs w:val="20"/>
          <w:color w:val="auto"/>
        </w:rPr>
      </w:pPr>
    </w:p>
    <w:p>
      <w:pPr>
        <w:ind w:right="140" w:firstLine="589"/>
        <w:spacing w:after="0" w:line="291" w:lineRule="auto"/>
        <w:rPr>
          <w:sz w:val="20"/>
          <w:szCs w:val="20"/>
          <w:color w:val="auto"/>
        </w:rPr>
      </w:pPr>
      <w:r>
        <w:rPr>
          <w:rFonts w:ascii="Arial" w:cs="Arial" w:eastAsia="Arial" w:hAnsi="Arial"/>
          <w:sz w:val="16"/>
          <w:szCs w:val="16"/>
          <w:color w:val="auto"/>
        </w:rPr>
        <w:t>Under the turnkey model, the revenue share paid to our airline partners represented operating lease payments. These payments were deemed to be contingent rental payments as the payments due to each airline were based on a percentage of our CA service revenue generated from that airline’s passengers, which was unknown until realized. Therefore, we estimated the lease payments due to an airline at the commencement of our contract with such airline. This rental expense is included in cost of service revenue and is partially offset by the amortization of the deferred airborne lease incentives discussed above. Due to the accelerated amortization resulting from the Delta amendment and a significant reduction in revenue share as a result of COVID-19, the amortization of deferred airborne lease incentives exceeded our revenue share expense by $49.1 million for the year ended December 31, 2020. We incurred net rental expense of $25.1 million and $24.5 million, respectively, for the years ended December 31, 2019 and 2018.</w:t>
      </w:r>
    </w:p>
    <w:p>
      <w:pPr>
        <w:spacing w:after="0" w:line="162" w:lineRule="exact"/>
        <w:rPr>
          <w:sz w:val="20"/>
          <w:szCs w:val="20"/>
          <w:color w:val="auto"/>
        </w:rPr>
      </w:pPr>
    </w:p>
    <w:p>
      <w:pPr>
        <w:ind w:right="40" w:firstLine="589"/>
        <w:spacing w:after="0" w:line="256" w:lineRule="auto"/>
        <w:rPr>
          <w:sz w:val="20"/>
          <w:szCs w:val="20"/>
          <w:color w:val="auto"/>
        </w:rPr>
      </w:pPr>
      <w:r>
        <w:rPr>
          <w:rFonts w:ascii="Arial" w:cs="Arial" w:eastAsia="Arial" w:hAnsi="Arial"/>
          <w:sz w:val="18"/>
          <w:szCs w:val="18"/>
          <w:b w:val="1"/>
          <w:bCs w:val="1"/>
          <w:color w:val="auto"/>
        </w:rPr>
        <w:t xml:space="preserve">Asset impairment </w:t>
      </w:r>
      <w:r>
        <w:rPr>
          <w:rFonts w:ascii="Arial" w:cs="Arial" w:eastAsia="Arial" w:hAnsi="Arial"/>
          <w:sz w:val="18"/>
          <w:szCs w:val="18"/>
          <w:color w:val="auto"/>
        </w:rPr>
        <w:t>– We reviewed our long-lived assets, including property and equipment, right-of-use assets, and other non-current assets, for</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impairment whenever events indicated that the carrying amount of such assets might not be recoverable. We performed this review by comparing the carrying value of the long-lived assets to the estimated future undiscounted cash flows expected to result from the use of the assets. We grouped certain long-lived assets by airline contract and by technology. If we determined that an impairment existed, the amount of the impairment was computed as the difference between the asset group’s carrying value and its estimated fair value, following which the assets were written down to their estimated fair values.</w:t>
      </w:r>
    </w:p>
    <w:p>
      <w:pPr>
        <w:spacing w:after="0" w:line="191"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In light of the COVID-19 pandemic and its impact on air travel, including decreased flights, decreased gross passenger opportunity and our airline partners’ temporary parking of a significant number of their aircraft, we conducted a review as of March 31, 2020 and determined that the carrying values for the asset groups related to three of our airline agreements for the CA business exceeded their estimated undiscounted cash flows, which triggered the need to estimate the fair value of these assets. Fair value reflects our best estimate of the discounted cash flows of the impaired assets. For the airborne assets and right-of-use assets associated with the three airline agreements (the “impaired assets”), we recorded an impairment charge of $46.4 million for the three-month period ended March 31, 2020, reflecting the difference between the carrying value and the estimated fair value of the impaired assets. We conducted another review as of June 30, 2020 due to the continuation of the COVID-19 pandemic as well as the signing of the Delta amendment and determined that $1.0 million of deferred STC costs was impaired due to the bankruptcy of three airline partners. As such, we recorded a $1.0 million charge for impairment of long-lived assets for the three-month period ended June 30, 2020. For the year ended December 31, 2020, charges recorded for impairments of long-lived assets totaled $47.4 million. No such charges were recorded for the years ended December 31, 2019 or 2018.</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We account for revenue in accordance with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w:t>
      </w:r>
    </w:p>
    <w:p>
      <w:pPr>
        <w:spacing w:after="0" w:line="248"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CA’s airline-directed contracts contain multiple performance obligations, which primarily include the sale of equipment, installation services, connectivity services and entertainment services. For these contracts, we accounted for each distinct good or service as a separate performance obligation. We allocated the contract’s transaction price to each performance obligation using the relative standalone selling price, which was based on the actual selling price for any good or service sold separately to a similar class of customer, if available. To the extent a good or service was not sold separately, we used our best estimate of the standalone selling price and maximized the use of observable inputs. The primary method we used to estimate the standalone selling price was the expected cost-plus margin approach.</w:t>
      </w:r>
    </w:p>
    <w:p>
      <w:pPr>
        <w:spacing w:after="0" w:line="192"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 contractual consideration used for allocation purposes includes connectivity and entertainment services, which may be based on a fixed monthly fee per aircraft or a variable fee based on the volume of connectivity activity, or a combination of both. Examples of variable consideration within CA’s airline contracts include megabyte overages and pay-per-use sessions.</w:t>
      </w:r>
    </w:p>
    <w:p>
      <w:pPr>
        <w:spacing w:after="0" w:line="184"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We constrained our estimates to reduce the probability of a significant revenue reversal in future periods, allocated variable consideration to the identified performance obligations and recognized revenue in the period the services were provided. Our estimates were based on historical experience, anticipated future performance, market conditions and our best judgment at the time. For 2020, our estimates included management’s best assumptions for the continued impact of COVID-19, which included decreased flights and gross passenger opportunity (“GPO”).</w:t>
      </w:r>
    </w:p>
    <w:p>
      <w:pPr>
        <w:spacing w:after="0" w:line="171" w:lineRule="exact"/>
        <w:rPr>
          <w:sz w:val="20"/>
          <w:szCs w:val="20"/>
          <w:color w:val="auto"/>
        </w:rPr>
      </w:pPr>
    </w:p>
    <w:p>
      <w:pPr>
        <w:ind w:right="300" w:firstLine="589"/>
        <w:spacing w:after="0" w:line="301" w:lineRule="auto"/>
        <w:rPr>
          <w:sz w:val="20"/>
          <w:szCs w:val="20"/>
          <w:color w:val="auto"/>
        </w:rPr>
      </w:pPr>
      <w:r>
        <w:rPr>
          <w:rFonts w:ascii="Arial" w:cs="Arial" w:eastAsia="Arial" w:hAnsi="Arial"/>
          <w:sz w:val="16"/>
          <w:szCs w:val="16"/>
          <w:color w:val="auto"/>
        </w:rPr>
        <w:t>A significant change in one or more of these estimates could have affected estimated contract value. For example, estimates of variable revenue within certain contracts required estimation of the number of sessions or megabytes that would be purchased over the contract term and the average revenue per connectivity session, which varies based on the connectivity options available to passengers on each airline. Estimated revenue under these contracts anticipated increases in take rates over time and assumed an average revenue per session consistent with our historical experience.</w:t>
      </w:r>
    </w:p>
    <w:p>
      <w:pPr>
        <w:spacing w:after="0" w:line="157" w:lineRule="exact"/>
        <w:rPr>
          <w:sz w:val="20"/>
          <w:szCs w:val="20"/>
          <w:color w:val="auto"/>
        </w:rPr>
      </w:pPr>
    </w:p>
    <w:p>
      <w:pPr>
        <w:ind w:right="360" w:firstLine="589"/>
        <w:spacing w:after="0" w:line="263" w:lineRule="auto"/>
        <w:rPr>
          <w:sz w:val="20"/>
          <w:szCs w:val="20"/>
          <w:color w:val="auto"/>
        </w:rPr>
      </w:pPr>
      <w:r>
        <w:rPr>
          <w:rFonts w:ascii="Arial" w:cs="Arial" w:eastAsia="Arial" w:hAnsi="Arial"/>
          <w:sz w:val="18"/>
          <w:szCs w:val="18"/>
          <w:color w:val="auto"/>
        </w:rPr>
        <w:t>We regularly reviewed and updated our estimates, especially in light of COVID-19, and recognized adjustments under the cumulative catch-up method. Any adjustments under this method were recorded as a cumulative adjustment in the period identified and revenue for future periods was recognized using the new adjusted estimate.</w:t>
      </w:r>
    </w:p>
    <w:p>
      <w:pPr>
        <w:spacing w:after="0" w:line="180"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 In August 2020, the compensation committee of our Board of Directors (the “Compensation Committee”) 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modifications to the vesting conditions and exercise periods of outstanding equity compensation awards held by certain of our then-current employees who became employees of Intelsat in the Transaction. These modifications became effective upon the consummation of the Transaction. Pursuant to such modifications, the options and restricted stock units (“RSUs”) held by Intelsat employees generally vest on the earlier of (i) the original vesting date and (ii) November 30, 2021; provided that the employee does not voluntarily resign from and is not terminated for cause by Intelsat prior to such date. Certain of these awards vest based on conditions that are not classified as a service, market or performance condition and as a result such awards are classified as a liability. All costs related to stock-based compensation for our prior employees who became employees of Intelsat in the Transaction have been recognized as of December 31, 2020.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ind w:right="440" w:firstLine="589"/>
        <w:spacing w:after="0" w:line="277" w:lineRule="auto"/>
        <w:rPr>
          <w:sz w:val="20"/>
          <w:szCs w:val="20"/>
          <w:color w:val="auto"/>
        </w:rPr>
      </w:pPr>
      <w:r>
        <w:rPr>
          <w:rFonts w:ascii="Arial" w:cs="Arial" w:eastAsia="Arial" w:hAnsi="Arial"/>
          <w:sz w:val="18"/>
          <w:szCs w:val="18"/>
          <w:color w:val="auto"/>
        </w:rPr>
        <w:t xml:space="preserve">The following is a summary of our stock-based compensation expense by operating expense line contained within the results of discontinued operations for the years December 31, 2020, 2019 and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60" w:type="dxa"/>
            <w:vAlign w:val="bottom"/>
            <w:vMerge w:val="restart"/>
          </w:tcPr>
          <w:p>
            <w:pPr>
              <w:spacing w:after="0"/>
              <w:rPr>
                <w:sz w:val="20"/>
                <w:szCs w:val="20"/>
                <w:color w:val="auto"/>
              </w:rPr>
            </w:pPr>
            <w:r>
              <w:rPr>
                <w:rFonts w:ascii="Arial" w:cs="Arial" w:eastAsia="Arial" w:hAnsi="Arial"/>
                <w:sz w:val="18"/>
                <w:szCs w:val="18"/>
                <w:color w:val="auto"/>
              </w:rPr>
              <w:t>Cost of service revenue</w:t>
            </w: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7,647</w:t>
            </w:r>
          </w:p>
        </w:tc>
        <w:tc>
          <w:tcPr>
            <w:tcW w:w="2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1,497</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Cost of equipment revenue</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Engineering, design and development</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5,836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25,807</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additional information on our stock-based compensation plans, see Note 15, “Employee Retirement and Postretirement Benefits.”</w:t>
      </w:r>
    </w:p>
    <w:p>
      <w:pPr>
        <w:spacing w:after="0" w:line="341"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ind w:right="220" w:firstLine="589"/>
        <w:spacing w:after="0" w:line="282" w:lineRule="auto"/>
        <w:rPr>
          <w:sz w:val="20"/>
          <w:szCs w:val="20"/>
          <w:color w:val="auto"/>
        </w:rPr>
      </w:pPr>
      <w:r>
        <w:rPr>
          <w:rFonts w:ascii="Arial" w:cs="Arial" w:eastAsia="Arial" w:hAnsi="Arial"/>
          <w:sz w:val="18"/>
          <w:szCs w:val="18"/>
          <w:b w:val="1"/>
          <w:bCs w:val="1"/>
          <w:color w:val="221E1F"/>
        </w:rPr>
        <w:t xml:space="preserve">Principles of Consolidation </w:t>
      </w:r>
      <w:r>
        <w:rPr>
          <w:rFonts w:ascii="Arial" w:cs="Arial" w:eastAsia="Arial" w:hAnsi="Arial"/>
          <w:sz w:val="18"/>
          <w:szCs w:val="18"/>
          <w:i w:val="1"/>
          <w:iCs w:val="1"/>
          <w:color w:val="221E1F"/>
        </w:rPr>
        <w:t>–</w:t>
      </w:r>
      <w:r>
        <w:rPr>
          <w:rFonts w:ascii="Arial" w:cs="Arial" w:eastAsia="Arial" w:hAnsi="Arial"/>
          <w:sz w:val="18"/>
          <w:szCs w:val="18"/>
          <w:b w:val="1"/>
          <w:bCs w:val="1"/>
          <w:color w:val="221E1F"/>
        </w:rPr>
        <w:t xml:space="preserve"> </w:t>
      </w:r>
      <w:r>
        <w:rPr>
          <w:rFonts w:ascii="Arial" w:cs="Arial" w:eastAsia="Arial" w:hAnsi="Arial"/>
          <w:sz w:val="18"/>
          <w:szCs w:val="18"/>
          <w:color w:val="221E1F"/>
        </w:rPr>
        <w:t>The consolidated financial statements include our wholly owned subsidiaries. All intercompany transactions and</w:t>
      </w:r>
      <w:r>
        <w:rPr>
          <w:rFonts w:ascii="Arial" w:cs="Arial" w:eastAsia="Arial" w:hAnsi="Arial"/>
          <w:sz w:val="18"/>
          <w:szCs w:val="18"/>
          <w:b w:val="1"/>
          <w:bCs w:val="1"/>
          <w:color w:val="221E1F"/>
        </w:rPr>
        <w:t xml:space="preserve"> </w:t>
      </w:r>
      <w:r>
        <w:rPr>
          <w:rFonts w:ascii="Arial" w:cs="Arial" w:eastAsia="Arial" w:hAnsi="Arial"/>
          <w:sz w:val="18"/>
          <w:szCs w:val="18"/>
          <w:color w:val="221E1F"/>
        </w:rPr>
        <w:t>account balances have been eliminated.</w:t>
      </w:r>
    </w:p>
    <w:p>
      <w:pPr>
        <w:spacing w:after="0" w:line="162" w:lineRule="exact"/>
        <w:rPr>
          <w:sz w:val="20"/>
          <w:szCs w:val="20"/>
          <w:color w:val="auto"/>
        </w:rPr>
      </w:pPr>
    </w:p>
    <w:p>
      <w:pPr>
        <w:ind w:right="120" w:firstLine="589"/>
        <w:spacing w:after="0" w:line="298" w:lineRule="auto"/>
        <w:rPr>
          <w:sz w:val="20"/>
          <w:szCs w:val="20"/>
          <w:color w:val="auto"/>
        </w:rPr>
      </w:pPr>
      <w:r>
        <w:rPr>
          <w:rFonts w:ascii="Arial" w:cs="Arial" w:eastAsia="Arial" w:hAnsi="Arial"/>
          <w:sz w:val="16"/>
          <w:szCs w:val="16"/>
          <w:b w:val="1"/>
          <w:bCs w:val="1"/>
          <w:color w:val="221E1F"/>
        </w:rPr>
        <w:t xml:space="preserve">Use of Estimates </w:t>
      </w:r>
      <w:r>
        <w:rPr>
          <w:rFonts w:ascii="Arial" w:cs="Arial" w:eastAsia="Arial" w:hAnsi="Arial"/>
          <w:sz w:val="16"/>
          <w:szCs w:val="16"/>
          <w:color w:val="221E1F"/>
        </w:rPr>
        <w:t>- The preparation of financial statements in conformity with accounting principles generally accepted in the United States of</w:t>
      </w:r>
      <w:r>
        <w:rPr>
          <w:rFonts w:ascii="Arial" w:cs="Arial" w:eastAsia="Arial" w:hAnsi="Arial"/>
          <w:sz w:val="16"/>
          <w:szCs w:val="16"/>
          <w:b w:val="1"/>
          <w:bCs w:val="1"/>
          <w:color w:val="221E1F"/>
        </w:rPr>
        <w:t xml:space="preserve"> </w:t>
      </w:r>
      <w:r>
        <w:rPr>
          <w:rFonts w:ascii="Arial" w:cs="Arial" w:eastAsia="Arial" w:hAnsi="Arial"/>
          <w:sz w:val="16"/>
          <w:szCs w:val="16"/>
          <w:color w:val="221E1F"/>
        </w:rPr>
        <w:t>America (“GAAP”)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On an ongoing basis, management evaluates the significant estimates and bases such estimates on historical experience and on various other assumptions believed to be reasonable under the circumstances. However, actual results could differ materially from those estimates.</w:t>
      </w:r>
    </w:p>
    <w:p>
      <w:pPr>
        <w:spacing w:after="0" w:line="154" w:lineRule="exact"/>
        <w:rPr>
          <w:sz w:val="20"/>
          <w:szCs w:val="20"/>
          <w:color w:val="auto"/>
        </w:rPr>
      </w:pPr>
    </w:p>
    <w:p>
      <w:pPr>
        <w:ind w:right="100" w:firstLine="589"/>
        <w:spacing w:after="0" w:line="261" w:lineRule="auto"/>
        <w:rPr>
          <w:sz w:val="20"/>
          <w:szCs w:val="20"/>
          <w:color w:val="auto"/>
        </w:rPr>
      </w:pPr>
      <w:r>
        <w:rPr>
          <w:rFonts w:ascii="Arial" w:cs="Arial" w:eastAsia="Arial" w:hAnsi="Arial"/>
          <w:sz w:val="18"/>
          <w:szCs w:val="18"/>
          <w:b w:val="1"/>
          <w:bCs w:val="1"/>
          <w:color w:val="221E1F"/>
        </w:rPr>
        <w:t xml:space="preserve">Significant Risks and Uncertainties </w:t>
      </w:r>
      <w:r>
        <w:rPr>
          <w:rFonts w:ascii="Arial" w:cs="Arial" w:eastAsia="Arial" w:hAnsi="Arial"/>
          <w:sz w:val="18"/>
          <w:szCs w:val="18"/>
          <w:color w:val="221E1F"/>
        </w:rPr>
        <w:t>- Our operations are subject to certain risks and uncertainties, including without limitation those associated</w:t>
      </w:r>
      <w:r>
        <w:rPr>
          <w:rFonts w:ascii="Arial" w:cs="Arial" w:eastAsia="Arial" w:hAnsi="Arial"/>
          <w:sz w:val="18"/>
          <w:szCs w:val="18"/>
          <w:b w:val="1"/>
          <w:bCs w:val="1"/>
          <w:color w:val="221E1F"/>
        </w:rPr>
        <w:t xml:space="preserve"> </w:t>
      </w:r>
      <w:r>
        <w:rPr>
          <w:rFonts w:ascii="Arial" w:cs="Arial" w:eastAsia="Arial" w:hAnsi="Arial"/>
          <w:sz w:val="18"/>
          <w:szCs w:val="18"/>
          <w:color w:val="221E1F"/>
        </w:rPr>
        <w:t>with continuing losses, fluctuations in operating results, funding of our growth, implementation of our technology roadmap, strategic alliances, relationships with customers, suppliers and dealers, financing terms that may restrict operations, regulatory issues, competition, COVID-19, the economy, technology trends and evolving industry standards.</w:t>
      </w:r>
    </w:p>
    <w:p>
      <w:pPr>
        <w:spacing w:after="0" w:line="180" w:lineRule="exact"/>
        <w:rPr>
          <w:sz w:val="20"/>
          <w:szCs w:val="20"/>
          <w:color w:val="auto"/>
        </w:rPr>
      </w:pPr>
    </w:p>
    <w:p>
      <w:pPr>
        <w:ind w:right="40" w:firstLine="589"/>
        <w:spacing w:after="0" w:line="258" w:lineRule="auto"/>
        <w:rPr>
          <w:sz w:val="20"/>
          <w:szCs w:val="20"/>
          <w:color w:val="auto"/>
        </w:rPr>
      </w:pPr>
      <w:r>
        <w:rPr>
          <w:rFonts w:ascii="Arial" w:cs="Arial" w:eastAsia="Arial" w:hAnsi="Arial"/>
          <w:sz w:val="18"/>
          <w:szCs w:val="18"/>
          <w:b w:val="1"/>
          <w:bCs w:val="1"/>
          <w:color w:val="221E1F"/>
        </w:rPr>
        <w:t xml:space="preserve">Cash, Cash Equivalents and Short-Term Investments - </w:t>
      </w:r>
      <w:r>
        <w:rPr>
          <w:rFonts w:ascii="Arial" w:cs="Arial" w:eastAsia="Arial" w:hAnsi="Arial"/>
          <w:sz w:val="18"/>
          <w:szCs w:val="18"/>
          <w:color w:val="221E1F"/>
        </w:rPr>
        <w:t>We consider cash and cash equivalents to be short-term, highly liquid investments that</w:t>
      </w:r>
      <w:r>
        <w:rPr>
          <w:rFonts w:ascii="Arial" w:cs="Arial" w:eastAsia="Arial" w:hAnsi="Arial"/>
          <w:sz w:val="18"/>
          <w:szCs w:val="18"/>
          <w:b w:val="1"/>
          <w:bCs w:val="1"/>
          <w:color w:val="221E1F"/>
        </w:rPr>
        <w:t xml:space="preserve"> </w:t>
      </w:r>
      <w:r>
        <w:rPr>
          <w:rFonts w:ascii="Arial" w:cs="Arial" w:eastAsia="Arial" w:hAnsi="Arial"/>
          <w:sz w:val="18"/>
          <w:szCs w:val="18"/>
          <w:color w:val="221E1F"/>
        </w:rPr>
        <w:t>have the following characteristics: readily convertible to known amounts of cash, so near their maturities that there is insignificant risk of changes in value due to any changes in market interest rates, and having maturities of three months or less when purchased. We continually monitor positions with, and the credit quality of, the financial institutions with which we invest. The carrying amounts reported in the balance sheets for cash and cash equivalents approximate the fair market value of these assets.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We consider short-term investments to be investments with maturities of twelve months or less (but greater than three months).</w:t>
      </w:r>
    </w:p>
    <w:p>
      <w:pPr>
        <w:spacing w:after="0" w:line="225"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221E1F"/>
        </w:rPr>
        <w:t>Certain cash amounts are restricted as to use and are classified outside of cash and cash equivalents. See Note 9, “Long-Term Debt and Other Liabilities,” for further details.</w:t>
      </w:r>
    </w:p>
    <w:p>
      <w:pPr>
        <w:spacing w:after="0" w:line="166" w:lineRule="exact"/>
        <w:rPr>
          <w:sz w:val="20"/>
          <w:szCs w:val="20"/>
          <w:color w:val="auto"/>
        </w:rPr>
      </w:pPr>
    </w:p>
    <w:p>
      <w:pPr>
        <w:ind w:right="140" w:firstLine="589"/>
        <w:spacing w:after="0" w:line="282" w:lineRule="auto"/>
        <w:rPr>
          <w:sz w:val="20"/>
          <w:szCs w:val="20"/>
          <w:color w:val="auto"/>
        </w:rPr>
      </w:pPr>
      <w:r>
        <w:rPr>
          <w:rFonts w:ascii="Arial" w:cs="Arial" w:eastAsia="Arial" w:hAnsi="Arial"/>
          <w:sz w:val="18"/>
          <w:szCs w:val="18"/>
          <w:b w:val="1"/>
          <w:bCs w:val="1"/>
          <w:color w:val="221E1F"/>
        </w:rPr>
        <w:t xml:space="preserve">Concentrations of Credit Risk - </w:t>
      </w:r>
      <w:r>
        <w:rPr>
          <w:rFonts w:ascii="Arial" w:cs="Arial" w:eastAsia="Arial" w:hAnsi="Arial"/>
          <w:sz w:val="18"/>
          <w:szCs w:val="18"/>
          <w:color w:val="221E1F"/>
        </w:rPr>
        <w:t>Financial instruments that potentially subject us to a concentration of credit risk consist principally of cash and</w:t>
      </w:r>
      <w:r>
        <w:rPr>
          <w:rFonts w:ascii="Arial" w:cs="Arial" w:eastAsia="Arial" w:hAnsi="Arial"/>
          <w:sz w:val="18"/>
          <w:szCs w:val="18"/>
          <w:b w:val="1"/>
          <w:bCs w:val="1"/>
          <w:color w:val="221E1F"/>
        </w:rPr>
        <w:t xml:space="preserve"> </w:t>
      </w:r>
      <w:r>
        <w:rPr>
          <w:rFonts w:ascii="Arial" w:cs="Arial" w:eastAsia="Arial" w:hAnsi="Arial"/>
          <w:sz w:val="18"/>
          <w:szCs w:val="18"/>
          <w:color w:val="221E1F"/>
        </w:rPr>
        <w:t>cash equivalents. All cash and cash equivalents are invested with creditworthy financial institutions.</w:t>
      </w:r>
    </w:p>
    <w:p>
      <w:pPr>
        <w:spacing w:after="0" w:line="162" w:lineRule="exact"/>
        <w:rPr>
          <w:sz w:val="20"/>
          <w:szCs w:val="20"/>
          <w:color w:val="auto"/>
        </w:rPr>
      </w:pPr>
    </w:p>
    <w:p>
      <w:pPr>
        <w:ind w:firstLine="589"/>
        <w:spacing w:after="0" w:line="281" w:lineRule="auto"/>
        <w:rPr>
          <w:sz w:val="20"/>
          <w:szCs w:val="20"/>
          <w:color w:val="auto"/>
        </w:rPr>
      </w:pPr>
      <w:r>
        <w:rPr>
          <w:rFonts w:ascii="Arial" w:cs="Arial" w:eastAsia="Arial" w:hAnsi="Arial"/>
          <w:sz w:val="17"/>
          <w:szCs w:val="17"/>
          <w:b w:val="1"/>
          <w:bCs w:val="1"/>
          <w:color w:val="221E1F"/>
        </w:rPr>
        <w:t xml:space="preserve">Income Tax - </w:t>
      </w:r>
      <w:r>
        <w:rPr>
          <w:rFonts w:ascii="Arial" w:cs="Arial" w:eastAsia="Arial" w:hAnsi="Arial"/>
          <w:sz w:val="17"/>
          <w:szCs w:val="17"/>
          <w:color w:val="221E1F"/>
        </w:rPr>
        <w:t>We use an asset- and liability-based approach in accounting for income taxes. Deferred income tax assets and liabilities are recorded</w:t>
      </w:r>
      <w:r>
        <w:rPr>
          <w:rFonts w:ascii="Arial" w:cs="Arial" w:eastAsia="Arial" w:hAnsi="Arial"/>
          <w:sz w:val="17"/>
          <w:szCs w:val="17"/>
          <w:b w:val="1"/>
          <w:bCs w:val="1"/>
          <w:color w:val="221E1F"/>
        </w:rPr>
        <w:t xml:space="preserve"> </w:t>
      </w:r>
      <w:r>
        <w:rPr>
          <w:rFonts w:ascii="Arial" w:cs="Arial" w:eastAsia="Arial" w:hAnsi="Arial"/>
          <w:sz w:val="17"/>
          <w:szCs w:val="17"/>
          <w:color w:val="221E1F"/>
        </w:rPr>
        <w:t>based on the differences between the financial statement and tax bases of assets and liabilities, applying enacted statutory tax rates in effect for the year in which the tax differences are expected to reverse. Valuation allowances are provided against deferred tax assets which are not likely to be realized. On a regular basis, management evaluates the recoverability of deferred tax assets and the need for a valuation allowance.</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221E1F"/>
        </w:rPr>
        <w:t>We also consider the existence of any uncertain tax positions and, as necessary, provide a reserve for any uncertain tax positions at each reporting date.</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See Note 16, “Income Tax,” for further details.</w:t>
      </w:r>
    </w:p>
    <w:p>
      <w:pPr>
        <w:spacing w:after="0" w:line="221" w:lineRule="exact"/>
        <w:rPr>
          <w:sz w:val="20"/>
          <w:szCs w:val="20"/>
          <w:color w:val="auto"/>
        </w:rPr>
      </w:pPr>
    </w:p>
    <w:p>
      <w:pPr>
        <w:ind w:right="220" w:firstLine="589"/>
        <w:spacing w:after="0" w:line="266" w:lineRule="auto"/>
        <w:rPr>
          <w:sz w:val="20"/>
          <w:szCs w:val="20"/>
          <w:color w:val="auto"/>
        </w:rPr>
      </w:pPr>
      <w:r>
        <w:rPr>
          <w:rFonts w:ascii="Arial" w:cs="Arial" w:eastAsia="Arial" w:hAnsi="Arial"/>
          <w:sz w:val="18"/>
          <w:szCs w:val="18"/>
          <w:b w:val="1"/>
          <w:bCs w:val="1"/>
          <w:color w:val="221E1F"/>
        </w:rPr>
        <w:t xml:space="preserve">Inventories - </w:t>
      </w:r>
      <w:r>
        <w:rPr>
          <w:rFonts w:ascii="Arial" w:cs="Arial" w:eastAsia="Arial" w:hAnsi="Arial"/>
          <w:sz w:val="18"/>
          <w:szCs w:val="18"/>
          <w:color w:val="221E1F"/>
        </w:rPr>
        <w:t>Inventories consist primarily of telecommunications systems and parts and are recorded at the lower of average cost or market. We</w:t>
      </w:r>
      <w:r>
        <w:rPr>
          <w:rFonts w:ascii="Arial" w:cs="Arial" w:eastAsia="Arial" w:hAnsi="Arial"/>
          <w:sz w:val="18"/>
          <w:szCs w:val="18"/>
          <w:b w:val="1"/>
          <w:bCs w:val="1"/>
          <w:color w:val="221E1F"/>
        </w:rPr>
        <w:t xml:space="preserve"> </w:t>
      </w:r>
      <w:r>
        <w:rPr>
          <w:rFonts w:ascii="Arial" w:cs="Arial" w:eastAsia="Arial" w:hAnsi="Arial"/>
          <w:sz w:val="18"/>
          <w:szCs w:val="18"/>
          <w:color w:val="221E1F"/>
        </w:rPr>
        <w:t>evaluate the need for write-downs associated with obsolete, slow-moving and nonsalable inventory by reviewing net realizable inventory values on a periodic basis.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See Note 6, “Composition of Certain Balance Sheet Accounts,” for further details.</w:t>
      </w:r>
    </w:p>
    <w:p>
      <w:pPr>
        <w:spacing w:after="0" w:line="221" w:lineRule="exact"/>
        <w:rPr>
          <w:sz w:val="20"/>
          <w:szCs w:val="20"/>
          <w:color w:val="auto"/>
        </w:rPr>
      </w:pPr>
    </w:p>
    <w:p>
      <w:pPr>
        <w:ind w:right="80" w:firstLine="589"/>
        <w:spacing w:after="0" w:line="294" w:lineRule="auto"/>
        <w:rPr>
          <w:sz w:val="20"/>
          <w:szCs w:val="20"/>
          <w:color w:val="auto"/>
        </w:rPr>
      </w:pPr>
      <w:r>
        <w:rPr>
          <w:rFonts w:ascii="Arial" w:cs="Arial" w:eastAsia="Arial" w:hAnsi="Arial"/>
          <w:sz w:val="16"/>
          <w:szCs w:val="16"/>
          <w:b w:val="1"/>
          <w:bCs w:val="1"/>
          <w:color w:val="221E1F"/>
        </w:rPr>
        <w:t xml:space="preserve">Property and Equipment and Depreciation - </w:t>
      </w:r>
      <w:r>
        <w:rPr>
          <w:rFonts w:ascii="Arial" w:cs="Arial" w:eastAsia="Arial" w:hAnsi="Arial"/>
          <w:sz w:val="16"/>
          <w:szCs w:val="16"/>
          <w:color w:val="221E1F"/>
        </w:rPr>
        <w:t>Property and equipment, including leasehold improvements, are stated at historical cost, less</w:t>
      </w:r>
      <w:r>
        <w:rPr>
          <w:rFonts w:ascii="Arial" w:cs="Arial" w:eastAsia="Arial" w:hAnsi="Arial"/>
          <w:sz w:val="16"/>
          <w:szCs w:val="16"/>
          <w:b w:val="1"/>
          <w:bCs w:val="1"/>
          <w:color w:val="221E1F"/>
        </w:rPr>
        <w:t xml:space="preserve"> </w:t>
      </w:r>
      <w:r>
        <w:rPr>
          <w:rFonts w:ascii="Arial" w:cs="Arial" w:eastAsia="Arial" w:hAnsi="Arial"/>
          <w:sz w:val="16"/>
          <w:szCs w:val="16"/>
          <w:color w:val="221E1F"/>
        </w:rPr>
        <w:t>accumulated depreciation. Network asset inventory and construction in progress, which include materials, transmission and related equipment, interest and other costs relating to the construction and development of our network, are not depreciated until they are put into service. Network equipment consists of switching equipment, antennas, base transceiver stations, site preparation costs, and other related equipment used in the operation of our network. Depreciation expense totaled $14.2 million, $16.7 million and $14.4 million for the years ended December 31, 2020, 2019 and 2018, respectively. Depreciation of property and equipment is computed using the straight-line method over the estimated useful lives for owned assets, which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furniture, fixtures and other</w:t>
            </w:r>
          </w:p>
        </w:tc>
        <w:tc>
          <w:tcPr>
            <w:tcW w:w="6760" w:type="dxa"/>
            <w:vAlign w:val="bottom"/>
            <w:shd w:val="clear" w:color="auto" w:fill="CFF0FC"/>
          </w:tcPr>
          <w:p>
            <w:pPr>
              <w:ind w:left="1140"/>
              <w:spacing w:after="0"/>
              <w:rPr>
                <w:sz w:val="20"/>
                <w:szCs w:val="20"/>
                <w:color w:val="auto"/>
              </w:rPr>
            </w:pPr>
            <w:r>
              <w:rPr>
                <w:rFonts w:ascii="Arial" w:cs="Arial" w:eastAsia="Arial" w:hAnsi="Arial"/>
                <w:sz w:val="18"/>
                <w:szCs w:val="18"/>
                <w:color w:val="auto"/>
              </w:rPr>
              <w:t>3-7 years</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760" w:type="dxa"/>
            <w:vAlign w:val="bottom"/>
          </w:tcPr>
          <w:p>
            <w:pPr>
              <w:ind w:left="1140"/>
              <w:spacing w:after="0"/>
              <w:rPr>
                <w:sz w:val="20"/>
                <w:szCs w:val="20"/>
                <w:color w:val="auto"/>
              </w:rPr>
            </w:pPr>
            <w:r>
              <w:rPr>
                <w:rFonts w:ascii="Arial" w:cs="Arial" w:eastAsia="Arial" w:hAnsi="Arial"/>
                <w:sz w:val="18"/>
                <w:szCs w:val="18"/>
                <w:color w:val="auto"/>
              </w:rPr>
              <w:t>3-13 years</w:t>
            </w: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Network equipment</w:t>
            </w:r>
          </w:p>
        </w:tc>
        <w:tc>
          <w:tcPr>
            <w:tcW w:w="6760" w:type="dxa"/>
            <w:vAlign w:val="bottom"/>
            <w:shd w:val="clear" w:color="auto" w:fill="CFF0FC"/>
          </w:tcPr>
          <w:p>
            <w:pPr>
              <w:ind w:left="1140"/>
              <w:spacing w:after="0"/>
              <w:rPr>
                <w:sz w:val="20"/>
                <w:szCs w:val="20"/>
                <w:color w:val="auto"/>
              </w:rPr>
            </w:pPr>
            <w:r>
              <w:rPr>
                <w:rFonts w:ascii="Arial" w:cs="Arial" w:eastAsia="Arial" w:hAnsi="Arial"/>
                <w:sz w:val="18"/>
                <w:szCs w:val="18"/>
                <w:color w:val="auto"/>
              </w:rPr>
              <w:t>5-25 years</w:t>
            </w: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See Note 6, “Composition of Certain Balance Sheet Accounts,” for further details.</w:t>
      </w:r>
    </w:p>
    <w:p>
      <w:pPr>
        <w:spacing w:after="0" w:line="225" w:lineRule="exact"/>
        <w:rPr>
          <w:sz w:val="20"/>
          <w:szCs w:val="20"/>
          <w:color w:val="auto"/>
        </w:rPr>
      </w:pPr>
    </w:p>
    <w:p>
      <w:pPr>
        <w:jc w:val="both"/>
        <w:ind w:right="80" w:firstLine="589"/>
        <w:spacing w:after="0" w:line="259" w:lineRule="auto"/>
        <w:rPr>
          <w:sz w:val="20"/>
          <w:szCs w:val="20"/>
          <w:color w:val="auto"/>
        </w:rPr>
      </w:pPr>
      <w:r>
        <w:rPr>
          <w:rFonts w:ascii="Arial" w:cs="Arial" w:eastAsia="Arial" w:hAnsi="Arial"/>
          <w:sz w:val="18"/>
          <w:szCs w:val="18"/>
          <w:color w:val="221E1F"/>
        </w:rPr>
        <w:t>Improvements to leased property are depreciated over the shorter of the useful life of the improvement or the term of the related lease. We reassess the useful lives of leasehold improvements when there are changes to the terms of the underlying lease. Such reassessment has resulted in the useful life of specific assets being adjusted to a shorter period than originally estimated, resulting in an increase in annual depreciation expense for those assets. Repairs and maintenance costs are expensed as incurred.</w:t>
      </w:r>
    </w:p>
    <w:p>
      <w:pPr>
        <w:spacing w:after="0" w:line="183" w:lineRule="exact"/>
        <w:rPr>
          <w:sz w:val="20"/>
          <w:szCs w:val="20"/>
          <w:color w:val="auto"/>
        </w:rPr>
      </w:pPr>
    </w:p>
    <w:p>
      <w:pPr>
        <w:ind w:right="100" w:firstLine="589"/>
        <w:spacing w:after="0" w:line="277" w:lineRule="auto"/>
        <w:rPr>
          <w:sz w:val="20"/>
          <w:szCs w:val="20"/>
          <w:color w:val="auto"/>
        </w:rPr>
      </w:pPr>
      <w:r>
        <w:rPr>
          <w:rFonts w:ascii="Arial" w:cs="Arial" w:eastAsia="Arial" w:hAnsi="Arial"/>
          <w:sz w:val="17"/>
          <w:szCs w:val="17"/>
          <w:b w:val="1"/>
          <w:bCs w:val="1"/>
          <w:color w:val="221E1F"/>
        </w:rPr>
        <w:t xml:space="preserve">Software Development Costs - </w:t>
      </w:r>
      <w:r>
        <w:rPr>
          <w:rFonts w:ascii="Arial" w:cs="Arial" w:eastAsia="Arial" w:hAnsi="Arial"/>
          <w:sz w:val="17"/>
          <w:szCs w:val="17"/>
          <w:color w:val="221E1F"/>
        </w:rPr>
        <w:t>We capitalize costs for network and non-network software developed or obtained for internal use during the</w:t>
      </w:r>
      <w:r>
        <w:rPr>
          <w:rFonts w:ascii="Arial" w:cs="Arial" w:eastAsia="Arial" w:hAnsi="Arial"/>
          <w:sz w:val="17"/>
          <w:szCs w:val="17"/>
          <w:b w:val="1"/>
          <w:bCs w:val="1"/>
          <w:color w:val="221E1F"/>
        </w:rPr>
        <w:t xml:space="preserve"> </w:t>
      </w:r>
      <w:r>
        <w:rPr>
          <w:rFonts w:ascii="Arial" w:cs="Arial" w:eastAsia="Arial" w:hAnsi="Arial"/>
          <w:sz w:val="17"/>
          <w:szCs w:val="17"/>
          <w:color w:val="221E1F"/>
        </w:rPr>
        <w:t>application development stage. These costs include purchased software and direct costs associated with the development and configuration of internal use software that supports the operation of our service offerings. These costs are included in goodwill and intangible assets, net, in our consolidated balance sheets and, when the software is placed in service, are amortized on a straight-line basis over their estimated useful lives. Costs incurred in the preliminary project and post-implementation stages, as well as maintenance and training costs, are expensed as incurred.</w:t>
      </w:r>
    </w:p>
    <w:p>
      <w:pPr>
        <w:spacing w:after="0" w:line="172"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221E1F"/>
        </w:rPr>
        <w:t>With respect to software sold as part of our equipment sales, we capitalize software development costs once technological feasibility has been established. Such capitalized software costs are amortized on a product-by-product basis over the remaining estimated economic life of the product, based on the greater of the ratio that current gross revenues for a product bear to the total of current and anticipated future gross revenues for that product or the straight-line method.</w:t>
      </w:r>
    </w:p>
    <w:p>
      <w:pPr>
        <w:spacing w:after="0" w:line="183"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b w:val="1"/>
          <w:bCs w:val="1"/>
          <w:color w:val="221E1F"/>
        </w:rPr>
        <w:t xml:space="preserve">Intangible Assets - </w:t>
      </w:r>
      <w:r>
        <w:rPr>
          <w:rFonts w:ascii="Arial" w:cs="Arial" w:eastAsia="Arial" w:hAnsi="Arial"/>
          <w:sz w:val="17"/>
          <w:szCs w:val="17"/>
          <w:color w:val="221E1F"/>
        </w:rPr>
        <w:t>Intangible assets with indefinite lives are not amortized but are reviewed for impairment at least annually or whenever events</w:t>
      </w:r>
      <w:r>
        <w:rPr>
          <w:rFonts w:ascii="Arial" w:cs="Arial" w:eastAsia="Arial" w:hAnsi="Arial"/>
          <w:sz w:val="17"/>
          <w:szCs w:val="17"/>
          <w:b w:val="1"/>
          <w:bCs w:val="1"/>
          <w:color w:val="221E1F"/>
        </w:rPr>
        <w:t xml:space="preserve"> </w:t>
      </w:r>
      <w:r>
        <w:rPr>
          <w:rFonts w:ascii="Arial" w:cs="Arial" w:eastAsia="Arial" w:hAnsi="Arial"/>
          <w:sz w:val="17"/>
          <w:szCs w:val="17"/>
          <w:color w:val="221E1F"/>
        </w:rPr>
        <w:t>or circumstances indicate the carrying value of the asset may not be recoverable. Our FCC Licenses (</w:t>
      </w:r>
      <w:r>
        <w:rPr>
          <w:rFonts w:ascii="Arial" w:cs="Arial" w:eastAsia="Arial" w:hAnsi="Arial"/>
          <w:sz w:val="17"/>
          <w:szCs w:val="17"/>
          <w:color w:val="000000"/>
        </w:rPr>
        <w:t>as defined in Note 8, “Intangible Assets”</w:t>
      </w:r>
      <w:r>
        <w:rPr>
          <w:rFonts w:ascii="Arial" w:cs="Arial" w:eastAsia="Arial" w:hAnsi="Arial"/>
          <w:sz w:val="17"/>
          <w:szCs w:val="17"/>
          <w:color w:val="221E1F"/>
        </w:rPr>
        <w:t xml:space="preserve">) are our only indefinite-lived intangible assets. We perform our annual impairment test of our FCC Licenses during the fourth quarter of each fiscal year. </w:t>
      </w:r>
      <w:r>
        <w:rPr>
          <w:rFonts w:ascii="Arial" w:cs="Arial" w:eastAsia="Arial" w:hAnsi="Arial"/>
          <w:sz w:val="17"/>
          <w:szCs w:val="17"/>
          <w:color w:val="000000"/>
        </w:rPr>
        <w:t>We assess</w:t>
      </w:r>
      <w:r>
        <w:rPr>
          <w:rFonts w:ascii="Arial" w:cs="Arial" w:eastAsia="Arial" w:hAnsi="Arial"/>
          <w:sz w:val="17"/>
          <w:szCs w:val="17"/>
          <w:color w:val="221E1F"/>
        </w:rPr>
        <w:t xml:space="preserve"> </w:t>
      </w:r>
      <w:r>
        <w:rPr>
          <w:rFonts w:ascii="Arial" w:cs="Arial" w:eastAsia="Arial" w:hAnsi="Arial"/>
          <w:sz w:val="17"/>
          <w:szCs w:val="17"/>
          <w:color w:val="000000"/>
        </w:rPr>
        <w:t>qualitative factors to determine the likelihood of impairment. Our qualitative analysis includes, but is not limited to, assessing the changes in macroeconomic conditions, regulatory environment, industry and market conditions, financial performance versus budget and any other events or circumstances specific to goodwill and the FCC Licenses. If it is more likely than not that the fair value of the FCC Licenses is greater than the carrying value, no further testing is required. Otherwise, we will apply the quantitative impairment test method.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ind w:firstLine="589"/>
        <w:spacing w:after="0" w:line="290" w:lineRule="auto"/>
        <w:rPr>
          <w:sz w:val="20"/>
          <w:szCs w:val="20"/>
          <w:color w:val="auto"/>
        </w:rPr>
      </w:pPr>
      <w:r>
        <w:rPr>
          <w:rFonts w:ascii="Arial" w:cs="Arial" w:eastAsia="Arial" w:hAnsi="Arial"/>
          <w:sz w:val="16"/>
          <w:szCs w:val="16"/>
          <w:color w:val="221E1F"/>
        </w:rPr>
        <w:t>Our quantitative impairment testing of the FCC Licenses uses the Greenfield method, an income-based approach. When performing this quantitative impairment testing, we estimate the fair value of the FCC Licenses asset balances based primarily on projected future operating results, discounted cash flows, and other assumptions. Projected future operating results and cash flows used for valuation purposes may reflect considerable improvements relative to historical periods with respect to, among other things, revenue growth and operating margins. Although we believe our projected future operating results and cash flows and related estimates regarding fair values are based on reasonable assumptions, projected operating results and cash flows may not always be achieved. The failure to achieve one or more of our assumptions regarding projected operating results and cash flows in the near term or long term could reduce the estimated fair value below carrying value and result in the recognition of an impairment charge. The results of our annual goodwill and indefinite-lived intangible asset impairment assessments for 2020, 2019 and 2018 indicated no impairment.</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Intangible assets that are deemed to have a finite life are amortized over their useful lives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6300" w:type="dxa"/>
            <w:vAlign w:val="bottom"/>
            <w:shd w:val="clear" w:color="auto" w:fill="CFF0FC"/>
          </w:tcPr>
          <w:p>
            <w:pPr>
              <w:ind w:left="680"/>
              <w:spacing w:after="0"/>
              <w:rPr>
                <w:sz w:val="20"/>
                <w:szCs w:val="20"/>
                <w:color w:val="auto"/>
              </w:rPr>
            </w:pPr>
            <w:r>
              <w:rPr>
                <w:rFonts w:ascii="Arial" w:cs="Arial" w:eastAsia="Arial" w:hAnsi="Arial"/>
                <w:sz w:val="18"/>
                <w:szCs w:val="18"/>
                <w:color w:val="auto"/>
              </w:rPr>
              <w:t>3-8 years</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OEM and dealer relationships</w:t>
            </w:r>
          </w:p>
        </w:tc>
        <w:tc>
          <w:tcPr>
            <w:tcW w:w="6300" w:type="dxa"/>
            <w:vAlign w:val="bottom"/>
          </w:tcPr>
          <w:p>
            <w:pPr>
              <w:ind w:left="680"/>
              <w:spacing w:after="0"/>
              <w:rPr>
                <w:sz w:val="20"/>
                <w:szCs w:val="20"/>
                <w:color w:val="auto"/>
              </w:rPr>
            </w:pPr>
            <w:r>
              <w:rPr>
                <w:rFonts w:ascii="Arial" w:cs="Arial" w:eastAsia="Arial" w:hAnsi="Arial"/>
                <w:sz w:val="18"/>
                <w:szCs w:val="18"/>
                <w:color w:val="auto"/>
              </w:rPr>
              <w:t>10 years</w:t>
            </w: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Service customer relationships</w:t>
            </w:r>
          </w:p>
        </w:tc>
        <w:tc>
          <w:tcPr>
            <w:tcW w:w="6300" w:type="dxa"/>
            <w:vAlign w:val="bottom"/>
            <w:shd w:val="clear" w:color="auto" w:fill="CFF0FC"/>
          </w:tcPr>
          <w:p>
            <w:pPr>
              <w:ind w:left="680"/>
              <w:spacing w:after="0"/>
              <w:rPr>
                <w:sz w:val="20"/>
                <w:szCs w:val="20"/>
                <w:color w:val="auto"/>
              </w:rPr>
            </w:pPr>
            <w:r>
              <w:rPr>
                <w:rFonts w:ascii="Arial" w:cs="Arial" w:eastAsia="Arial" w:hAnsi="Arial"/>
                <w:sz w:val="18"/>
                <w:szCs w:val="18"/>
                <w:color w:val="auto"/>
              </w:rPr>
              <w:t>5-7 years</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6300" w:type="dxa"/>
            <w:vAlign w:val="bottom"/>
          </w:tcPr>
          <w:p>
            <w:pPr>
              <w:ind w:left="680"/>
              <w:spacing w:after="0"/>
              <w:rPr>
                <w:sz w:val="20"/>
                <w:szCs w:val="20"/>
                <w:color w:val="auto"/>
              </w:rPr>
            </w:pPr>
            <w:r>
              <w:rPr>
                <w:rFonts w:ascii="Arial" w:cs="Arial" w:eastAsia="Arial" w:hAnsi="Arial"/>
                <w:sz w:val="18"/>
                <w:szCs w:val="18"/>
                <w:color w:val="auto"/>
              </w:rPr>
              <w:t>4-10 years</w:t>
            </w:r>
          </w:p>
        </w:tc>
      </w:tr>
      <w:tr>
        <w:trPr>
          <w:trHeight w:val="472"/>
        </w:trPr>
        <w:tc>
          <w:tcPr>
            <w:tcW w:w="4940" w:type="dxa"/>
            <w:vAlign w:val="bottom"/>
          </w:tcPr>
          <w:p>
            <w:pPr>
              <w:ind w:left="600"/>
              <w:spacing w:after="0"/>
              <w:rPr>
                <w:sz w:val="20"/>
                <w:szCs w:val="20"/>
                <w:color w:val="auto"/>
              </w:rPr>
            </w:pPr>
            <w:r>
              <w:rPr>
                <w:rFonts w:ascii="Arial" w:cs="Arial" w:eastAsia="Arial" w:hAnsi="Arial"/>
                <w:sz w:val="18"/>
                <w:szCs w:val="18"/>
                <w:color w:val="221E1F"/>
              </w:rPr>
              <w:t>See Note 8, “Intangible Assets,” for further details.</w:t>
            </w:r>
          </w:p>
        </w:tc>
        <w:tc>
          <w:tcPr>
            <w:tcW w:w="6300" w:type="dxa"/>
            <w:vAlign w:val="bottom"/>
          </w:tcPr>
          <w:p>
            <w:pPr>
              <w:spacing w:after="0"/>
              <w:rPr>
                <w:sz w:val="24"/>
                <w:szCs w:val="24"/>
                <w:color w:val="auto"/>
              </w:rPr>
            </w:pPr>
          </w:p>
        </w:tc>
      </w:tr>
    </w:tbl>
    <w:p>
      <w:pPr>
        <w:spacing w:after="0" w:line="198" w:lineRule="exact"/>
        <w:rPr>
          <w:sz w:val="20"/>
          <w:szCs w:val="20"/>
          <w:color w:val="auto"/>
        </w:rPr>
      </w:pPr>
    </w:p>
    <w:p>
      <w:pPr>
        <w:ind w:right="20" w:firstLine="589"/>
        <w:spacing w:after="0" w:line="261" w:lineRule="auto"/>
        <w:rPr>
          <w:sz w:val="20"/>
          <w:szCs w:val="20"/>
          <w:color w:val="auto"/>
        </w:rPr>
      </w:pPr>
      <w:r>
        <w:rPr>
          <w:rFonts w:ascii="Arial" w:cs="Arial" w:eastAsia="Arial" w:hAnsi="Arial"/>
          <w:sz w:val="18"/>
          <w:szCs w:val="18"/>
          <w:b w:val="1"/>
          <w:bCs w:val="1"/>
          <w:color w:val="221E1F"/>
        </w:rPr>
        <w:t xml:space="preserve">Long-Lived Assets - </w:t>
      </w:r>
      <w:r>
        <w:rPr>
          <w:rFonts w:ascii="Arial" w:cs="Arial" w:eastAsia="Arial" w:hAnsi="Arial"/>
          <w:sz w:val="18"/>
          <w:szCs w:val="18"/>
          <w:color w:val="221E1F"/>
        </w:rPr>
        <w:t>We review our long-lived assets to determine potential impairment whenever events indicate that the carrying amount of such</w:t>
      </w:r>
      <w:r>
        <w:rPr>
          <w:rFonts w:ascii="Arial" w:cs="Arial" w:eastAsia="Arial" w:hAnsi="Arial"/>
          <w:sz w:val="18"/>
          <w:szCs w:val="18"/>
          <w:b w:val="1"/>
          <w:bCs w:val="1"/>
          <w:color w:val="221E1F"/>
        </w:rPr>
        <w:t xml:space="preserve"> </w:t>
      </w:r>
      <w:r>
        <w:rPr>
          <w:rFonts w:ascii="Arial" w:cs="Arial" w:eastAsia="Arial" w:hAnsi="Arial"/>
          <w:sz w:val="18"/>
          <w:szCs w:val="18"/>
          <w:color w:val="221E1F"/>
        </w:rPr>
        <w:t>assets may not be recoverable. We do this by comparing the carrying value of the long-lived assets with the estimated future undiscounted cash flows expected to result from the use of the assets, including cash flows from disposition. If we determine an impairment exists, the asset is written down to estimated fair value. There were no impairments of long-lived assets in 2020, 2019 or 2018.</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221E1F"/>
        </w:rPr>
        <w:t xml:space="preserve">Revenue Recognition - </w:t>
      </w:r>
      <w:r>
        <w:rPr>
          <w:rFonts w:ascii="Arial" w:cs="Arial" w:eastAsia="Arial" w:hAnsi="Arial"/>
          <w:sz w:val="16"/>
          <w:szCs w:val="16"/>
          <w:color w:val="000000"/>
        </w:rPr>
        <w:t>Our revenue is primarily earned from providing connectivity and entertainment services and through sales of equipment.</w:t>
      </w:r>
    </w:p>
    <w:p>
      <w:pPr>
        <w:spacing w:after="0" w:line="252"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Service revenue primarily consists of monthly subscription and usage fees paid by aircraft owners and operators for telecommunication, data, and in-flight entertainment services and is recognized as the services are provided to the customer.</w:t>
      </w:r>
    </w:p>
    <w:p>
      <w:pPr>
        <w:spacing w:after="0" w:line="170"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auto"/>
        </w:rPr>
        <w:t>Equipment revenue primarily consists of proceeds from the sale of ATG and satellite connectivity equipment and the sale of entertainment equipment and is generally recognized when the equipment is shipped to OEMs and dealers.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We account for revenue in accordance with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03" w:lineRule="exact"/>
        <w:rPr>
          <w:sz w:val="20"/>
          <w:szCs w:val="20"/>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Recognition of revenue as we satisfy the performance obligations.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5, “Revenue Recognition,” for further information.</w:t>
      </w:r>
    </w:p>
    <w:p>
      <w:pPr>
        <w:spacing w:after="0" w:line="221" w:lineRule="exact"/>
        <w:rPr>
          <w:sz w:val="20"/>
          <w:szCs w:val="20"/>
          <w:color w:val="auto"/>
        </w:rPr>
      </w:pPr>
    </w:p>
    <w:p>
      <w:pPr>
        <w:jc w:val="both"/>
        <w:ind w:right="380" w:firstLine="589"/>
        <w:spacing w:after="0" w:line="266" w:lineRule="auto"/>
        <w:rPr>
          <w:sz w:val="20"/>
          <w:szCs w:val="20"/>
          <w:color w:val="auto"/>
        </w:rPr>
      </w:pPr>
      <w:r>
        <w:rPr>
          <w:rFonts w:ascii="Arial" w:cs="Arial" w:eastAsia="Arial" w:hAnsi="Arial"/>
          <w:sz w:val="18"/>
          <w:szCs w:val="18"/>
          <w:b w:val="1"/>
          <w:bCs w:val="1"/>
          <w:color w:val="221E1F"/>
        </w:rPr>
        <w:t xml:space="preserve">Research and Development Costs - </w:t>
      </w:r>
      <w:r>
        <w:rPr>
          <w:rFonts w:ascii="Arial" w:cs="Arial" w:eastAsia="Arial" w:hAnsi="Arial"/>
          <w:sz w:val="18"/>
          <w:szCs w:val="18"/>
          <w:color w:val="221E1F"/>
        </w:rPr>
        <w:t>Expenditures for research and development are charged to expense as incurred and totaled $25.2 million,</w:t>
      </w:r>
      <w:r>
        <w:rPr>
          <w:rFonts w:ascii="Arial" w:cs="Arial" w:eastAsia="Arial" w:hAnsi="Arial"/>
          <w:sz w:val="18"/>
          <w:szCs w:val="18"/>
          <w:b w:val="1"/>
          <w:bCs w:val="1"/>
          <w:color w:val="221E1F"/>
        </w:rPr>
        <w:t xml:space="preserve"> </w:t>
      </w:r>
      <w:r>
        <w:rPr>
          <w:rFonts w:ascii="Arial" w:cs="Arial" w:eastAsia="Arial" w:hAnsi="Arial"/>
          <w:sz w:val="18"/>
          <w:szCs w:val="18"/>
          <w:color w:val="221E1F"/>
        </w:rPr>
        <w:t>$26.0 million and $18.5 million for the years ended December 31, 2020, 2019 and 2018, respectively. Research and development costs are reported as engineering, design and development expenses in our consolidated statements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jc w:val="both"/>
        <w:ind w:right="120" w:firstLine="589"/>
        <w:spacing w:after="0" w:line="261" w:lineRule="auto"/>
        <w:rPr>
          <w:sz w:val="20"/>
          <w:szCs w:val="20"/>
          <w:color w:val="auto"/>
        </w:rPr>
      </w:pPr>
      <w:r>
        <w:rPr>
          <w:rFonts w:ascii="Arial" w:cs="Arial" w:eastAsia="Arial" w:hAnsi="Arial"/>
          <w:sz w:val="18"/>
          <w:szCs w:val="18"/>
          <w:b w:val="1"/>
          <w:bCs w:val="1"/>
          <w:color w:val="221E1F"/>
        </w:rPr>
        <w:t xml:space="preserve">Warranty - </w:t>
      </w:r>
      <w:r>
        <w:rPr>
          <w:rFonts w:ascii="Arial" w:cs="Arial" w:eastAsia="Arial" w:hAnsi="Arial"/>
          <w:sz w:val="18"/>
          <w:szCs w:val="18"/>
          <w:color w:val="221E1F"/>
        </w:rPr>
        <w:t>We provide warranties on parts and labor related to our products. Our warranty terms range from two to five years. Warranty reserves</w:t>
      </w:r>
      <w:r>
        <w:rPr>
          <w:rFonts w:ascii="Arial" w:cs="Arial" w:eastAsia="Arial" w:hAnsi="Arial"/>
          <w:sz w:val="18"/>
          <w:szCs w:val="18"/>
          <w:b w:val="1"/>
          <w:bCs w:val="1"/>
          <w:color w:val="221E1F"/>
        </w:rPr>
        <w:t xml:space="preserve"> </w:t>
      </w:r>
      <w:r>
        <w:rPr>
          <w:rFonts w:ascii="Arial" w:cs="Arial" w:eastAsia="Arial" w:hAnsi="Arial"/>
          <w:sz w:val="18"/>
          <w:szCs w:val="18"/>
          <w:color w:val="221E1F"/>
        </w:rPr>
        <w:t>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consolidated balance sheets.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See Note 6, “Composition of Certain Balance Sheet Accounts,” for the details of the changes in our warranty reserve.</w:t>
      </w:r>
    </w:p>
    <w:p>
      <w:pPr>
        <w:spacing w:after="0" w:line="221" w:lineRule="exact"/>
        <w:rPr>
          <w:sz w:val="20"/>
          <w:szCs w:val="20"/>
          <w:color w:val="auto"/>
        </w:rPr>
      </w:pPr>
    </w:p>
    <w:p>
      <w:pPr>
        <w:ind w:right="80" w:firstLine="589"/>
        <w:spacing w:after="0" w:line="266" w:lineRule="auto"/>
        <w:rPr>
          <w:sz w:val="20"/>
          <w:szCs w:val="20"/>
          <w:color w:val="auto"/>
        </w:rPr>
      </w:pPr>
      <w:r>
        <w:rPr>
          <w:rFonts w:ascii="Arial" w:cs="Arial" w:eastAsia="Arial" w:hAnsi="Arial"/>
          <w:sz w:val="18"/>
          <w:szCs w:val="18"/>
          <w:b w:val="1"/>
          <w:bCs w:val="1"/>
          <w:color w:val="221E1F"/>
        </w:rPr>
        <w:t xml:space="preserve">Asset Retirement Obligations - </w:t>
      </w:r>
      <w:r>
        <w:rPr>
          <w:rFonts w:ascii="Arial" w:cs="Arial" w:eastAsia="Arial" w:hAnsi="Arial"/>
          <w:sz w:val="18"/>
          <w:szCs w:val="18"/>
          <w:color w:val="221E1F"/>
        </w:rPr>
        <w:t>We have certain asset retirement obligations related to contractual commitments to remove our network</w:t>
      </w:r>
      <w:r>
        <w:rPr>
          <w:rFonts w:ascii="Arial" w:cs="Arial" w:eastAsia="Arial" w:hAnsi="Arial"/>
          <w:sz w:val="18"/>
          <w:szCs w:val="18"/>
          <w:b w:val="1"/>
          <w:bCs w:val="1"/>
          <w:color w:val="221E1F"/>
        </w:rPr>
        <w:t xml:space="preserve"> </w:t>
      </w:r>
      <w:r>
        <w:rPr>
          <w:rFonts w:ascii="Arial" w:cs="Arial" w:eastAsia="Arial" w:hAnsi="Arial"/>
          <w:sz w:val="18"/>
          <w:szCs w:val="18"/>
          <w:color w:val="221E1F"/>
        </w:rPr>
        <w:t>equipment and other assets from leased cell sites upon termination of the site leases. The asset retirement obligations are classified as a noncurrent liability in our consolidated balance sheets.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See Note 6, “Composition of Certain Balance Sheet Accounts,” for the details of the changes in our asset retirement obligations.</w:t>
      </w:r>
    </w:p>
    <w:p>
      <w:pPr>
        <w:spacing w:after="0" w:line="221" w:lineRule="exact"/>
        <w:rPr>
          <w:sz w:val="20"/>
          <w:szCs w:val="20"/>
          <w:color w:val="auto"/>
        </w:rPr>
      </w:pPr>
    </w:p>
    <w:p>
      <w:pPr>
        <w:ind w:firstLine="589"/>
        <w:spacing w:after="0" w:line="312" w:lineRule="auto"/>
        <w:rPr>
          <w:sz w:val="20"/>
          <w:szCs w:val="20"/>
          <w:color w:val="auto"/>
        </w:rPr>
      </w:pPr>
      <w:r>
        <w:rPr>
          <w:rFonts w:ascii="Arial" w:cs="Arial" w:eastAsia="Arial" w:hAnsi="Arial"/>
          <w:sz w:val="17"/>
          <w:szCs w:val="17"/>
          <w:b w:val="1"/>
          <w:bCs w:val="1"/>
          <w:color w:val="221E1F"/>
        </w:rPr>
        <w:t xml:space="preserve">Fair Value of Financial Instruments - </w:t>
      </w:r>
      <w:r>
        <w:rPr>
          <w:rFonts w:ascii="Arial" w:cs="Arial" w:eastAsia="Arial" w:hAnsi="Arial"/>
          <w:sz w:val="17"/>
          <w:szCs w:val="17"/>
          <w:color w:val="221E1F"/>
        </w:rPr>
        <w:t>We group financial assets and financial liabilities measured at fair value into three levels of hierarchy based</w:t>
      </w:r>
      <w:r>
        <w:rPr>
          <w:rFonts w:ascii="Arial" w:cs="Arial" w:eastAsia="Arial" w:hAnsi="Arial"/>
          <w:sz w:val="17"/>
          <w:szCs w:val="17"/>
          <w:b w:val="1"/>
          <w:bCs w:val="1"/>
          <w:color w:val="221E1F"/>
        </w:rPr>
        <w:t xml:space="preserve"> </w:t>
      </w:r>
      <w:r>
        <w:rPr>
          <w:rFonts w:ascii="Arial" w:cs="Arial" w:eastAsia="Arial" w:hAnsi="Arial"/>
          <w:sz w:val="17"/>
          <w:szCs w:val="17"/>
          <w:color w:val="221E1F"/>
        </w:rPr>
        <w:t>on the markets in which the assets and liabilities are traded and the reliability of the assumptions used to determine fair value.</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See Note 12, “Fair Value of Financial Assets and Liabilities,” for further information.</w:t>
      </w:r>
    </w:p>
    <w:p>
      <w:pPr>
        <w:spacing w:after="0" w:line="221"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b w:val="1"/>
          <w:bCs w:val="1"/>
          <w:color w:val="221E1F"/>
        </w:rPr>
        <w:t xml:space="preserve">Derivatives - </w:t>
      </w:r>
      <w:r>
        <w:rPr>
          <w:rFonts w:ascii="Arial" w:cs="Arial" w:eastAsia="Arial" w:hAnsi="Arial"/>
          <w:sz w:val="16"/>
          <w:szCs w:val="16"/>
          <w:color w:val="221E1F"/>
        </w:rPr>
        <w:t>In March 2015, we entered into the Forward Transactions (as defined and described in Note 9, “Long-Term Debt and Other</w:t>
      </w:r>
      <w:r>
        <w:rPr>
          <w:rFonts w:ascii="Arial" w:cs="Arial" w:eastAsia="Arial" w:hAnsi="Arial"/>
          <w:sz w:val="16"/>
          <w:szCs w:val="16"/>
          <w:b w:val="1"/>
          <w:bCs w:val="1"/>
          <w:color w:val="221E1F"/>
        </w:rPr>
        <w:t xml:space="preserve"> </w:t>
      </w:r>
      <w:r>
        <w:rPr>
          <w:rFonts w:ascii="Arial" w:cs="Arial" w:eastAsia="Arial" w:hAnsi="Arial"/>
          <w:sz w:val="16"/>
          <w:szCs w:val="16"/>
          <w:color w:val="221E1F"/>
        </w:rPr>
        <w:t xml:space="preserve">Liabilities”) in which we purchased 7.2 million shares of our common stock for approximately $140 million, with an expected settlement date on or around March 13, 2020, and in December 2019, we amended a portion of the Forward Transactions to extend the expected settlement date for approximately 2.1 million of those shares to on or around May 15, 2022. During March 2020, approximately 5.1 million shares of common stock were delivered to us in connection with the Forward Transactions (as defined and described in Note 9, “Long-Term Debt and Other Liabilities”). We accounted for these shares as Treasury Stock and reclassified $98.9 million from Additional Paid-In Capital to Treasury Stock, at cost, in our consolidated balance sheets. Because the Forward Transactions are indexed to our own stock and classified within stockholders’ equity, we do not account for the Forward Transactions as derivative instruments in accordance with Accounting Standards Codification (“ASC”) 815, </w:t>
      </w:r>
      <w:r>
        <w:rPr>
          <w:rFonts w:ascii="Arial" w:cs="Arial" w:eastAsia="Arial" w:hAnsi="Arial"/>
          <w:sz w:val="16"/>
          <w:szCs w:val="16"/>
          <w:i w:val="1"/>
          <w:iCs w:val="1"/>
          <w:color w:val="221E1F"/>
        </w:rPr>
        <w:t>Derivatives and Hedging</w:t>
      </w:r>
      <w:r>
        <w:rPr>
          <w:rFonts w:ascii="Arial" w:cs="Arial" w:eastAsia="Arial" w:hAnsi="Arial"/>
          <w:sz w:val="16"/>
          <w:szCs w:val="16"/>
          <w:color w:val="221E1F"/>
        </w:rPr>
        <w:t>.</w:t>
      </w:r>
    </w:p>
    <w:p>
      <w:pPr>
        <w:spacing w:after="0" w:line="163"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221E1F"/>
        </w:rPr>
        <w:t>See Note 9, “Long-Term Debt and Other Liabilities,” Note 11, “Common Stock and Preferred Stock,” and Note 12, “Fair Value of Financial Assets and Liabilities,” for further information.</w:t>
      </w:r>
    </w:p>
    <w:p>
      <w:pPr>
        <w:spacing w:after="0" w:line="166" w:lineRule="exact"/>
        <w:rPr>
          <w:sz w:val="20"/>
          <w:szCs w:val="20"/>
          <w:color w:val="auto"/>
        </w:rPr>
      </w:pPr>
    </w:p>
    <w:p>
      <w:pPr>
        <w:ind w:right="20" w:firstLine="589"/>
        <w:spacing w:after="0" w:line="298" w:lineRule="auto"/>
        <w:rPr>
          <w:sz w:val="20"/>
          <w:szCs w:val="20"/>
          <w:color w:val="auto"/>
        </w:rPr>
      </w:pPr>
      <w:r>
        <w:rPr>
          <w:rFonts w:ascii="Arial" w:cs="Arial" w:eastAsia="Arial" w:hAnsi="Arial"/>
          <w:sz w:val="16"/>
          <w:szCs w:val="16"/>
          <w:b w:val="1"/>
          <w:bCs w:val="1"/>
          <w:color w:val="221E1F"/>
        </w:rPr>
        <w:t xml:space="preserve">Convertible Notes – </w:t>
      </w:r>
      <w:r>
        <w:rPr>
          <w:rFonts w:ascii="Arial" w:cs="Arial" w:eastAsia="Arial" w:hAnsi="Arial"/>
          <w:sz w:val="16"/>
          <w:szCs w:val="16"/>
          <w:color w:val="221E1F"/>
        </w:rPr>
        <w:t>Proceeds received from the issuance of the 2022 Convertible Notes and the 2020 Convertible Notes (as defined in Note 9,</w:t>
      </w:r>
      <w:r>
        <w:rPr>
          <w:rFonts w:ascii="Arial" w:cs="Arial" w:eastAsia="Arial" w:hAnsi="Arial"/>
          <w:sz w:val="16"/>
          <w:szCs w:val="16"/>
          <w:b w:val="1"/>
          <w:bCs w:val="1"/>
          <w:color w:val="221E1F"/>
        </w:rPr>
        <w:t xml:space="preserve"> </w:t>
      </w:r>
      <w:r>
        <w:rPr>
          <w:rFonts w:ascii="Arial" w:cs="Arial" w:eastAsia="Arial" w:hAnsi="Arial"/>
          <w:sz w:val="16"/>
          <w:szCs w:val="16"/>
          <w:color w:val="221E1F"/>
        </w:rPr>
        <w:t>“Long-Term Debt and Other Liabilities”) were initially allocated between a liability component (long-term debt) and an equity component (additional paid-in capital),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and the 2020 Convertible Notes.</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See Note 9, “Long-Term Debt and Other Liabilities,” for further information.</w:t>
      </w:r>
    </w:p>
    <w:p>
      <w:pPr>
        <w:spacing w:after="0" w:line="221" w:lineRule="exact"/>
        <w:rPr>
          <w:sz w:val="20"/>
          <w:szCs w:val="20"/>
          <w:color w:val="auto"/>
        </w:rPr>
      </w:pPr>
    </w:p>
    <w:p>
      <w:pPr>
        <w:ind w:right="160" w:firstLine="589"/>
        <w:spacing w:after="0" w:line="282" w:lineRule="auto"/>
        <w:rPr>
          <w:sz w:val="20"/>
          <w:szCs w:val="20"/>
          <w:color w:val="auto"/>
        </w:rPr>
      </w:pPr>
      <w:r>
        <w:rPr>
          <w:rFonts w:ascii="Arial" w:cs="Arial" w:eastAsia="Arial" w:hAnsi="Arial"/>
          <w:sz w:val="18"/>
          <w:szCs w:val="18"/>
          <w:b w:val="1"/>
          <w:bCs w:val="1"/>
          <w:color w:val="221E1F"/>
        </w:rPr>
        <w:t xml:space="preserve">Net Loss Per Share - </w:t>
      </w:r>
      <w:r>
        <w:rPr>
          <w:rFonts w:ascii="Arial" w:cs="Arial" w:eastAsia="Arial" w:hAnsi="Arial"/>
          <w:sz w:val="18"/>
          <w:szCs w:val="18"/>
          <w:color w:val="221E1F"/>
        </w:rPr>
        <w:t>We calculate basic and diluted net loss per share using the weighted-average number of common shares outstanding during</w:t>
      </w:r>
      <w:r>
        <w:rPr>
          <w:rFonts w:ascii="Arial" w:cs="Arial" w:eastAsia="Arial" w:hAnsi="Arial"/>
          <w:sz w:val="18"/>
          <w:szCs w:val="18"/>
          <w:b w:val="1"/>
          <w:bCs w:val="1"/>
          <w:color w:val="221E1F"/>
        </w:rPr>
        <w:t xml:space="preserve"> </w:t>
      </w:r>
      <w:r>
        <w:rPr>
          <w:rFonts w:ascii="Arial" w:cs="Arial" w:eastAsia="Arial" w:hAnsi="Arial"/>
          <w:sz w:val="18"/>
          <w:szCs w:val="18"/>
          <w:color w:val="221E1F"/>
        </w:rPr>
        <w:t>the period.</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See Note 4, “Net Loss Per Share,” for further information.</w:t>
      </w:r>
    </w:p>
    <w:p>
      <w:pPr>
        <w:spacing w:after="0" w:line="221" w:lineRule="exact"/>
        <w:rPr>
          <w:sz w:val="20"/>
          <w:szCs w:val="20"/>
          <w:color w:val="auto"/>
        </w:rPr>
      </w:pPr>
    </w:p>
    <w:p>
      <w:pPr>
        <w:ind w:right="80" w:firstLine="589"/>
        <w:spacing w:after="0" w:line="266" w:lineRule="auto"/>
        <w:rPr>
          <w:sz w:val="20"/>
          <w:szCs w:val="20"/>
          <w:color w:val="auto"/>
        </w:rPr>
      </w:pPr>
      <w:r>
        <w:rPr>
          <w:rFonts w:ascii="Arial" w:cs="Arial" w:eastAsia="Arial" w:hAnsi="Arial"/>
          <w:sz w:val="18"/>
          <w:szCs w:val="18"/>
          <w:b w:val="1"/>
          <w:bCs w:val="1"/>
          <w:color w:val="221E1F"/>
        </w:rPr>
        <w:t xml:space="preserve">Stock-Based Compensation Expense - </w:t>
      </w:r>
      <w:r>
        <w:rPr>
          <w:rFonts w:ascii="Arial" w:cs="Arial" w:eastAsia="Arial" w:hAnsi="Arial"/>
          <w:sz w:val="18"/>
          <w:szCs w:val="18"/>
          <w:color w:val="221E1F"/>
        </w:rPr>
        <w:t>Compensation cost is measured and recognized at fair value for all stock-based payments, including stock</w:t>
      </w:r>
      <w:r>
        <w:rPr>
          <w:rFonts w:ascii="Arial" w:cs="Arial" w:eastAsia="Arial" w:hAnsi="Arial"/>
          <w:sz w:val="18"/>
          <w:szCs w:val="18"/>
          <w:b w:val="1"/>
          <w:bCs w:val="1"/>
          <w:color w:val="221E1F"/>
        </w:rPr>
        <w:t xml:space="preserve"> </w:t>
      </w:r>
      <w:r>
        <w:rPr>
          <w:rFonts w:ascii="Arial" w:cs="Arial" w:eastAsia="Arial" w:hAnsi="Arial"/>
          <w:sz w:val="18"/>
          <w:szCs w:val="18"/>
          <w:color w:val="221E1F"/>
        </w:rPr>
        <w:t>options. For time-based vesting stock options, we estimate fair value using the Black-Scholes option-pricing model, which requires assumptions, such as expected volatility, risk-free interest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5" w:name="page86"/>
    <w:bookmarkEnd w:id="85"/>
    <w:p>
      <w:pPr>
        <w:spacing w:after="0" w:line="257" w:lineRule="auto"/>
        <w:rPr>
          <w:sz w:val="20"/>
          <w:szCs w:val="20"/>
          <w:color w:val="auto"/>
        </w:rPr>
      </w:pPr>
      <w:r>
        <w:rPr>
          <w:rFonts w:ascii="Arial" w:cs="Arial" w:eastAsia="Arial" w:hAnsi="Arial"/>
          <w:sz w:val="18"/>
          <w:szCs w:val="18"/>
          <w:color w:val="221E1F"/>
        </w:rPr>
        <w:t xml:space="preserve">rate, expected life, and dividends. Forfeitures are recognized when they occur. RSUs and restricted stock are measured based on the fair market value of the underlying stock on the date of grant. For awards with a market condition (which we have used on a limited basis), we estimated fair value using the Monte Carlo Simulation model, which requires assumptions, such as volatility, risk-free interest rate, expected life and dividends. Our stock-based compensation expense is recognized over the applicable vesting period and is included in </w:t>
      </w:r>
      <w:r>
        <w:rPr>
          <w:rFonts w:ascii="Arial" w:cs="Arial" w:eastAsia="Arial" w:hAnsi="Arial"/>
          <w:sz w:val="18"/>
          <w:szCs w:val="18"/>
          <w:color w:val="000000"/>
        </w:rPr>
        <w:t>the same operating expense line items in the consolidated statements of</w:t>
      </w:r>
      <w:r>
        <w:rPr>
          <w:rFonts w:ascii="Arial" w:cs="Arial" w:eastAsia="Arial" w:hAnsi="Arial"/>
          <w:sz w:val="18"/>
          <w:szCs w:val="18"/>
          <w:color w:val="221E1F"/>
        </w:rPr>
        <w:t xml:space="preserve"> </w:t>
      </w:r>
      <w:r>
        <w:rPr>
          <w:rFonts w:ascii="Arial" w:cs="Arial" w:eastAsia="Arial" w:hAnsi="Arial"/>
          <w:sz w:val="18"/>
          <w:szCs w:val="18"/>
          <w:color w:val="000000"/>
        </w:rPr>
        <w:t>operations as the base cash compensation paid to the underlying employees</w:t>
      </w:r>
      <w:r>
        <w:rPr>
          <w:rFonts w:ascii="Arial" w:cs="Arial" w:eastAsia="Arial" w:hAnsi="Arial"/>
          <w:sz w:val="18"/>
          <w:szCs w:val="18"/>
          <w:color w:val="221E1F"/>
        </w:rPr>
        <w:t>.</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See Note 14, “Stock-Based Compensation,” for further information.</w:t>
      </w:r>
    </w:p>
    <w:p>
      <w:pPr>
        <w:spacing w:after="0" w:line="221" w:lineRule="exact"/>
        <w:rPr>
          <w:sz w:val="20"/>
          <w:szCs w:val="20"/>
          <w:color w:val="auto"/>
        </w:rPr>
      </w:pPr>
    </w:p>
    <w:p>
      <w:pPr>
        <w:ind w:right="40" w:firstLine="589"/>
        <w:spacing w:after="0" w:line="261" w:lineRule="auto"/>
        <w:rPr>
          <w:sz w:val="20"/>
          <w:szCs w:val="20"/>
          <w:color w:val="auto"/>
        </w:rPr>
      </w:pPr>
      <w:r>
        <w:rPr>
          <w:rFonts w:ascii="Arial" w:cs="Arial" w:eastAsia="Arial" w:hAnsi="Arial"/>
          <w:sz w:val="18"/>
          <w:szCs w:val="18"/>
          <w:b w:val="1"/>
          <w:bCs w:val="1"/>
          <w:color w:val="221E1F"/>
        </w:rPr>
        <w:t xml:space="preserve">Leases – </w:t>
      </w:r>
      <w:r>
        <w:rPr>
          <w:rFonts w:ascii="Arial" w:cs="Arial" w:eastAsia="Arial" w:hAnsi="Arial"/>
          <w:sz w:val="18"/>
          <w:szCs w:val="18"/>
          <w:color w:val="221E1F"/>
        </w:rPr>
        <w:t>We account for leases in accordance with Accounting Standards Codification Topic 842, “Leases” (“ASC 842”), adopted on January 1,</w:t>
      </w:r>
      <w:r>
        <w:rPr>
          <w:rFonts w:ascii="Arial" w:cs="Arial" w:eastAsia="Arial" w:hAnsi="Arial"/>
          <w:sz w:val="18"/>
          <w:szCs w:val="18"/>
          <w:b w:val="1"/>
          <w:bCs w:val="1"/>
          <w:color w:val="221E1F"/>
        </w:rPr>
        <w:t xml:space="preserve"> </w:t>
      </w:r>
      <w:r>
        <w:rPr>
          <w:rFonts w:ascii="Arial" w:cs="Arial" w:eastAsia="Arial" w:hAnsi="Arial"/>
          <w:sz w:val="18"/>
          <w:szCs w:val="18"/>
          <w:color w:val="221E1F"/>
        </w:rPr>
        <w:t>2019 using the modified retrospective approach. As a result, we recognized the cumulative effect of initially applying ASC 842 as an adjustment to the opening balance of retained earnings as of January 1, 2019. Our historical financial statements have not been restated and continue to be reported under the lease accounting standard in effect for those periods.</w:t>
      </w:r>
    </w:p>
    <w:p>
      <w:pPr>
        <w:spacing w:after="0" w:line="184"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have operating lease agreements for which w</w:t>
      </w:r>
      <w:r>
        <w:rPr>
          <w:rFonts w:ascii="Arial" w:cs="Arial" w:eastAsia="Arial" w:hAnsi="Arial"/>
          <w:sz w:val="17"/>
          <w:szCs w:val="17"/>
          <w:color w:val="221E1F"/>
        </w:rPr>
        <w:t>e have recorded lease liabilities and right-of-use assets for leases primarily related to cell sites,</w:t>
      </w:r>
      <w:r>
        <w:rPr>
          <w:rFonts w:ascii="Arial" w:cs="Arial" w:eastAsia="Arial" w:hAnsi="Arial"/>
          <w:sz w:val="17"/>
          <w:szCs w:val="17"/>
          <w:color w:val="auto"/>
        </w:rPr>
        <w:t xml:space="preserve"> </w:t>
      </w:r>
      <w:r>
        <w:rPr>
          <w:rFonts w:ascii="Arial" w:cs="Arial" w:eastAsia="Arial" w:hAnsi="Arial"/>
          <w:sz w:val="17"/>
          <w:szCs w:val="17"/>
          <w:color w:val="221E1F"/>
        </w:rPr>
        <w:t xml:space="preserve">office buildings, warehouses and computer and office equipment. </w:t>
      </w:r>
      <w:r>
        <w:rPr>
          <w:rFonts w:ascii="Arial" w:cs="Arial" w:eastAsia="Arial" w:hAnsi="Arial"/>
          <w:sz w:val="17"/>
          <w:szCs w:val="17"/>
          <w:color w:val="000000"/>
        </w:rPr>
        <w:t>We determine whether a contract contains a lease at contract inception and calculate the</w:t>
      </w:r>
      <w:r>
        <w:rPr>
          <w:rFonts w:ascii="Arial" w:cs="Arial" w:eastAsia="Arial" w:hAnsi="Arial"/>
          <w:sz w:val="17"/>
          <w:szCs w:val="17"/>
          <w:color w:val="221E1F"/>
        </w:rPr>
        <w:t xml:space="preserve"> </w:t>
      </w:r>
      <w:r>
        <w:rPr>
          <w:rFonts w:ascii="Arial" w:cs="Arial" w:eastAsia="Arial" w:hAnsi="Arial"/>
          <w:sz w:val="17"/>
          <w:szCs w:val="17"/>
          <w:color w:val="000000"/>
        </w:rPr>
        <w:t>lease liability and right-of-use asset using our incremental borrowing rate. Our cell site leases generally have terms of five to ten years, with renewal options for an additional five to 25 years. For certain cell sites, the renewal options are deemed to be reasonably certain to be exercised. Our building leases generally range from one to ten years, with renewal options for an additional one to five years. We recognize operating lease expense on a straight-line basis over the lease term. We have finance leases for computer and office equipment. Covenants within the 2024 Senior Secured Notes contain certain restrictions on our ability to enter into new finance lease arrangements.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See Note 17, “Leases,” for further information.</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221E1F"/>
        </w:rPr>
        <w:t xml:space="preserve">Advertising Costs - </w:t>
      </w:r>
      <w:r>
        <w:rPr>
          <w:rFonts w:ascii="Arial" w:cs="Arial" w:eastAsia="Arial" w:hAnsi="Arial"/>
          <w:sz w:val="18"/>
          <w:szCs w:val="18"/>
          <w:color w:val="221E1F"/>
        </w:rPr>
        <w:t>Costs for advertising are expensed as incurred.</w:t>
      </w:r>
    </w:p>
    <w:p>
      <w:pPr>
        <w:spacing w:after="0" w:line="225" w:lineRule="exact"/>
        <w:rPr>
          <w:sz w:val="20"/>
          <w:szCs w:val="20"/>
          <w:color w:val="auto"/>
        </w:rPr>
      </w:pPr>
    </w:p>
    <w:p>
      <w:pPr>
        <w:ind w:right="40" w:firstLine="589"/>
        <w:spacing w:after="0" w:line="298" w:lineRule="auto"/>
        <w:rPr>
          <w:sz w:val="20"/>
          <w:szCs w:val="20"/>
          <w:color w:val="auto"/>
        </w:rPr>
      </w:pPr>
      <w:r>
        <w:rPr>
          <w:rFonts w:ascii="Arial" w:cs="Arial" w:eastAsia="Arial" w:hAnsi="Arial"/>
          <w:sz w:val="16"/>
          <w:szCs w:val="16"/>
          <w:b w:val="1"/>
          <w:bCs w:val="1"/>
          <w:color w:val="221E1F"/>
        </w:rPr>
        <w:t xml:space="preserve">Debt Issuance Costs - </w:t>
      </w:r>
      <w:r>
        <w:rPr>
          <w:rFonts w:ascii="Arial" w:cs="Arial" w:eastAsia="Arial" w:hAnsi="Arial"/>
          <w:sz w:val="16"/>
          <w:szCs w:val="16"/>
          <w:color w:val="221E1F"/>
        </w:rPr>
        <w:t>We defer loan origination fees and financing costs related to our various debt offerings as deferred financing costs.</w:t>
      </w:r>
      <w:r>
        <w:rPr>
          <w:rFonts w:ascii="Arial" w:cs="Arial" w:eastAsia="Arial" w:hAnsi="Arial"/>
          <w:sz w:val="16"/>
          <w:szCs w:val="16"/>
          <w:b w:val="1"/>
          <w:bCs w:val="1"/>
          <w:color w:val="221E1F"/>
        </w:rPr>
        <w:t xml:space="preserve"> </w:t>
      </w:r>
      <w:r>
        <w:rPr>
          <w:rFonts w:ascii="Arial" w:cs="Arial" w:eastAsia="Arial" w:hAnsi="Arial"/>
          <w:sz w:val="16"/>
          <w:szCs w:val="16"/>
          <w:color w:val="221E1F"/>
        </w:rPr>
        <w:t>Additionally, we defer fees paid directly to the lenders related to amendments of our various debt offerings as deferred financing costs. We amortize these costs over the term of the underlying debt obligation using the effective interest method and include them in interest expense in the consolidated statement of operations. The fees incurred but not paid directly to the lenders in connection with amendments are expensed as incurred to interest expense. Deferred financing costs associated with future debt issuances are written off in the period during which we determine that the debt will no longer be issued.</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221E1F"/>
        </w:rPr>
        <w:t>See Note 9, “Long-Term Debt and Other Liabilities” for further information.</w:t>
      </w:r>
    </w:p>
    <w:p>
      <w:pPr>
        <w:spacing w:after="0" w:line="221" w:lineRule="exact"/>
        <w:rPr>
          <w:sz w:val="20"/>
          <w:szCs w:val="20"/>
          <w:color w:val="auto"/>
        </w:rPr>
      </w:pPr>
    </w:p>
    <w:p>
      <w:pPr>
        <w:ind w:right="60" w:firstLine="589"/>
        <w:spacing w:after="0" w:line="282" w:lineRule="auto"/>
        <w:rPr>
          <w:sz w:val="20"/>
          <w:szCs w:val="20"/>
          <w:color w:val="auto"/>
        </w:rPr>
      </w:pPr>
      <w:r>
        <w:rPr>
          <w:rFonts w:ascii="Arial" w:cs="Arial" w:eastAsia="Arial" w:hAnsi="Arial"/>
          <w:sz w:val="18"/>
          <w:szCs w:val="18"/>
          <w:b w:val="1"/>
          <w:bCs w:val="1"/>
          <w:color w:val="221E1F"/>
        </w:rPr>
        <w:t xml:space="preserve">Comprehensive Loss </w:t>
      </w:r>
      <w:r>
        <w:rPr>
          <w:rFonts w:ascii="Arial" w:cs="Arial" w:eastAsia="Arial" w:hAnsi="Arial"/>
          <w:sz w:val="18"/>
          <w:szCs w:val="18"/>
          <w:color w:val="221E1F"/>
        </w:rPr>
        <w:t>- Comprehensive loss for the years ended December 31, 2020, 2019 and 2018 is net loss plus unrealized gains and losses on</w:t>
      </w:r>
      <w:r>
        <w:rPr>
          <w:rFonts w:ascii="Arial" w:cs="Arial" w:eastAsia="Arial" w:hAnsi="Arial"/>
          <w:sz w:val="18"/>
          <w:szCs w:val="18"/>
          <w:b w:val="1"/>
          <w:bCs w:val="1"/>
          <w:color w:val="221E1F"/>
        </w:rPr>
        <w:t xml:space="preserve"> </w:t>
      </w:r>
      <w:r>
        <w:rPr>
          <w:rFonts w:ascii="Arial" w:cs="Arial" w:eastAsia="Arial" w:hAnsi="Arial"/>
          <w:sz w:val="18"/>
          <w:szCs w:val="18"/>
          <w:color w:val="221E1F"/>
        </w:rPr>
        <w:t>foreign currency translation adjustments.</w:t>
      </w:r>
    </w:p>
    <w:p>
      <w:pPr>
        <w:spacing w:after="0" w:line="27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221E1F"/>
        </w:rPr>
        <w:t>Recently Issued Accounting Pronouncements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Accounting standards adopted:</w:t>
      </w:r>
    </w:p>
    <w:p>
      <w:pPr>
        <w:spacing w:after="0" w:line="117" w:lineRule="exact"/>
        <w:rPr>
          <w:sz w:val="20"/>
          <w:szCs w:val="20"/>
          <w:color w:val="auto"/>
        </w:rPr>
      </w:pPr>
    </w:p>
    <w:p>
      <w:pPr>
        <w:ind w:right="480" w:firstLine="589"/>
        <w:spacing w:after="0" w:line="342" w:lineRule="auto"/>
        <w:rPr>
          <w:sz w:val="20"/>
          <w:szCs w:val="20"/>
          <w:color w:val="auto"/>
        </w:rPr>
      </w:pPr>
      <w:r>
        <w:rPr>
          <w:rFonts w:ascii="Arial" w:cs="Arial" w:eastAsia="Arial" w:hAnsi="Arial"/>
          <w:sz w:val="16"/>
          <w:szCs w:val="16"/>
          <w:color w:val="auto"/>
        </w:rPr>
        <w:t xml:space="preserve">On January 1, 2020, we adopted ASU 2016-13, </w:t>
      </w:r>
      <w:r>
        <w:rPr>
          <w:rFonts w:ascii="Arial" w:cs="Arial" w:eastAsia="Arial" w:hAnsi="Arial"/>
          <w:sz w:val="16"/>
          <w:szCs w:val="16"/>
          <w:i w:val="1"/>
          <w:iCs w:val="1"/>
          <w:color w:val="auto"/>
        </w:rPr>
        <w:t>Financial Instruments-Credit Losses (ASC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which requires the measurement and recognition of expected credit losses for financial assets held at amortized cost.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6" w:name="page87"/>
    <w:bookmarkEnd w:id="86"/>
    <w:p>
      <w:pPr>
        <w:ind w:right="100" w:firstLine="589"/>
        <w:spacing w:after="0" w:line="277" w:lineRule="auto"/>
        <w:rPr>
          <w:sz w:val="20"/>
          <w:szCs w:val="20"/>
          <w:color w:val="auto"/>
        </w:rPr>
      </w:pPr>
      <w:r>
        <w:rPr>
          <w:rFonts w:ascii="Arial" w:cs="Arial" w:eastAsia="Arial" w:hAnsi="Arial"/>
          <w:sz w:val="18"/>
          <w:szCs w:val="18"/>
          <w:color w:val="auto"/>
        </w:rPr>
        <w:t>The cumulative effect adjustment from using the modified retrospective approach for the adoption of ASC 326 impacted our consolidated balance sheet as of January 1, 2020 by the recognition of allowance for credit losses as summarized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Balances</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Impact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ASC 326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ASC 326</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7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Accounts receivable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42,322</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41,918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12,121</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Accumulated deficit </w:t>
            </w:r>
            <w:r>
              <w:rPr>
                <w:rFonts w:ascii="Arial" w:cs="Arial" w:eastAsia="Arial" w:hAnsi="Arial"/>
                <w:sz w:val="15"/>
                <w:szCs w:val="15"/>
                <w:i w:val="1"/>
                <w:iCs w:val="1"/>
                <w:color w:val="auto"/>
              </w:rPr>
              <w:t>(1)</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(1,376,142)</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(3,665)</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(1,379,807)</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160" w:right="140" w:hanging="572"/>
        <w:spacing w:after="0" w:line="263" w:lineRule="auto"/>
        <w:tabs>
          <w:tab w:leader="none" w:pos="1160"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 xml:space="preserve">The $3.7 million impact of the adoption of ASC 326 </w:t>
      </w:r>
      <w:r>
        <w:rPr>
          <w:rFonts w:ascii="Arial" w:cs="Arial" w:eastAsia="Arial" w:hAnsi="Arial"/>
          <w:sz w:val="18"/>
          <w:szCs w:val="18"/>
          <w:i w:val="1"/>
          <w:iCs w:val="1"/>
          <w:color w:val="auto"/>
        </w:rPr>
        <w:t>is comprised of $0.5 million for our continuing operations related to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 and $3.2 million for our discontinued operations comprised of $1.0 million related to accounts receivable, $0.4 million related to prepaid and other current assets, and $1.8 million related to other non-current assets.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7, “Composition of Certain Reserves and Allowances,” for additional information.</w:t>
      </w:r>
    </w:p>
    <w:p>
      <w:pPr>
        <w:spacing w:after="0" w:line="225"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 xml:space="preserve">On January 1, 2020, we adopted ASU 2018-15, </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which requires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in a hosting arrangement that is a service contract to follow the guidance in Subtopic 350-40 to determine which implementation costs to capitalize as an asset related to the service contract and which costs to expense. Adoption of this standard did not have a material impact on our consolidated financial statements.</w:t>
      </w:r>
    </w:p>
    <w:p>
      <w:pPr>
        <w:spacing w:after="0" w:line="188" w:lineRule="exact"/>
        <w:rPr>
          <w:sz w:val="20"/>
          <w:szCs w:val="20"/>
          <w:color w:val="auto"/>
        </w:rPr>
      </w:pPr>
    </w:p>
    <w:p>
      <w:pPr>
        <w:ind w:right="260" w:firstLine="589"/>
        <w:spacing w:after="0" w:line="257" w:lineRule="auto"/>
        <w:rPr>
          <w:sz w:val="20"/>
          <w:szCs w:val="20"/>
          <w:color w:val="auto"/>
        </w:rPr>
      </w:pPr>
      <w:r>
        <w:rPr>
          <w:rFonts w:ascii="Arial" w:cs="Arial" w:eastAsia="Arial" w:hAnsi="Arial"/>
          <w:sz w:val="18"/>
          <w:szCs w:val="18"/>
          <w:color w:val="auto"/>
        </w:rPr>
        <w:t xml:space="preserve">On January 1, 2020, we adopted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modifies the disclosure requirements related to recurring or nonrecurring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Currently all of our fair value measurements are classified as Level 2 within the fair value hierarchy and, as such, the adoption of this standard did not have an impact on our consolidated financial statements. See Note 12, “Fair Value of Financial Assets and Liabilities,” for additional information.</w:t>
      </w:r>
    </w:p>
    <w:p>
      <w:pPr>
        <w:spacing w:after="0" w:line="188"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On January 1, 2019, we adopted Accounting Standards Codification Topic 842</w:t>
      </w:r>
      <w:r>
        <w:rPr>
          <w:rFonts w:ascii="Arial" w:cs="Arial" w:eastAsia="Arial" w:hAnsi="Arial"/>
          <w:sz w:val="16"/>
          <w:szCs w:val="16"/>
          <w:color w:val="221E1F"/>
        </w:rPr>
        <w:t>,</w:t>
      </w:r>
      <w:r>
        <w:rPr>
          <w:rFonts w:ascii="Arial" w:cs="Arial" w:eastAsia="Arial" w:hAnsi="Arial"/>
          <w:sz w:val="16"/>
          <w:szCs w:val="16"/>
          <w:color w:val="auto"/>
        </w:rPr>
        <w:t xml:space="preserve"> </w:t>
      </w:r>
      <w:r>
        <w:rPr>
          <w:rFonts w:ascii="Arial" w:cs="Arial" w:eastAsia="Arial" w:hAnsi="Arial"/>
          <w:sz w:val="16"/>
          <w:szCs w:val="16"/>
          <w:i w:val="1"/>
          <w:iCs w:val="1"/>
          <w:color w:val="221E1F"/>
        </w:rPr>
        <w:t>Leases</w:t>
      </w:r>
      <w:r>
        <w:rPr>
          <w:rFonts w:ascii="Arial" w:cs="Arial" w:eastAsia="Arial" w:hAnsi="Arial"/>
          <w:sz w:val="16"/>
          <w:szCs w:val="16"/>
          <w:color w:val="auto"/>
        </w:rPr>
        <w:t xml:space="preserve"> </w:t>
      </w:r>
      <w:r>
        <w:rPr>
          <w:rFonts w:ascii="Arial" w:cs="Arial" w:eastAsia="Arial" w:hAnsi="Arial"/>
          <w:sz w:val="16"/>
          <w:szCs w:val="16"/>
          <w:color w:val="221E1F"/>
        </w:rPr>
        <w:t>(“ASC 842”),</w:t>
      </w:r>
      <w:r>
        <w:rPr>
          <w:rFonts w:ascii="Arial" w:cs="Arial" w:eastAsia="Arial" w:hAnsi="Arial"/>
          <w:sz w:val="16"/>
          <w:szCs w:val="16"/>
          <w:color w:val="auto"/>
        </w:rPr>
        <w:t xml:space="preserve"> using the modified retrospective approach. As a result, we recognized the cumulative effect of initially applying ASC 842 as an adjustment to the opening balance of retained earnings as of January 1, 2019. Our historical financial statements have not been restated and continue to be reported under the lease accounting standard in effect for those periods.</w:t>
      </w:r>
    </w:p>
    <w:p>
      <w:pPr>
        <w:spacing w:after="0" w:line="149"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We elected the practical expedients regarding use of hindsight to evaluate lease terms as well as maintaining lease classifications established under the prior lease accounting standard. Through this practical expedient, we did not reevaluate contracts to determine if they contained a lease. We did not elect the practical expedients regarding short-term leases or the separation of lease and non-lease components.</w:t>
      </w:r>
    </w:p>
    <w:p>
      <w:pPr>
        <w:spacing w:after="0" w:line="165"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Adoption of ASC 842 had a material impact on our consolidated balance sheet through recognition of right-of-use assets and operating lease liabilities. Adoption did not have a material impact on our consolidated statements of operations or our consolidated statements of cash flows and did not result in the recognition of incremental finance leases, formerly referred to as capital leases.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7" w:name="page88"/>
    <w:bookmarkEnd w:id="87"/>
    <w:p>
      <w:pPr>
        <w:ind w:right="260" w:firstLine="589"/>
        <w:spacing w:after="0" w:line="342" w:lineRule="auto"/>
        <w:rPr>
          <w:sz w:val="20"/>
          <w:szCs w:val="20"/>
          <w:color w:val="auto"/>
        </w:rPr>
      </w:pPr>
      <w:r>
        <w:rPr>
          <w:rFonts w:ascii="Arial" w:cs="Arial" w:eastAsia="Arial" w:hAnsi="Arial"/>
          <w:sz w:val="16"/>
          <w:szCs w:val="16"/>
          <w:color w:val="auto"/>
        </w:rPr>
        <w:t>The discount rate used to calculate the adjustment to the opening balance was our incremental borrowing rate as of the adoption date, January 1, 2019. The cumulative effect of the adoption of ASC 842 to our consolidated balance sheet as of January 1, 2019 was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1"/>
              </w:rPr>
              <w:t>Balance at</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Balances</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Impact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ASC 842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ASC 842</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72,188</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72,188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Accrued liabilities</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213,111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80,191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(36,178)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228"/>
        </w:trPr>
        <w:tc>
          <w:tcPr>
            <w:tcW w:w="35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Accumulated deficit</w:t>
            </w:r>
          </w:p>
        </w:tc>
        <w:tc>
          <w:tcPr>
            <w:tcW w:w="3280" w:type="dxa"/>
            <w:vAlign w:val="bottom"/>
          </w:tcPr>
          <w:p>
            <w:pPr>
              <w:jc w:val="right"/>
              <w:ind w:right="270"/>
              <w:spacing w:after="0"/>
              <w:rPr>
                <w:sz w:val="20"/>
                <w:szCs w:val="20"/>
                <w:color w:val="auto"/>
              </w:rPr>
            </w:pPr>
            <w:r>
              <w:rPr>
                <w:rFonts w:ascii="Arial" w:cs="Arial" w:eastAsia="Arial" w:hAnsi="Arial"/>
                <w:sz w:val="18"/>
                <w:szCs w:val="18"/>
                <w:color w:val="auto"/>
              </w:rPr>
              <w:t>(1,228,674)</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(3,093)</w:t>
            </w:r>
          </w:p>
        </w:tc>
        <w:tc>
          <w:tcPr>
            <w:tcW w:w="1060" w:type="dxa"/>
            <w:vAlign w:val="bottom"/>
          </w:tcPr>
          <w:p>
            <w:pPr>
              <w:jc w:val="right"/>
              <w:spacing w:after="0"/>
              <w:rPr>
                <w:sz w:val="20"/>
                <w:szCs w:val="20"/>
                <w:color w:val="auto"/>
              </w:rPr>
            </w:pPr>
            <w:r>
              <w:rPr>
                <w:rFonts w:ascii="Arial" w:cs="Arial" w:eastAsia="Arial" w:hAnsi="Arial"/>
                <w:sz w:val="18"/>
                <w:szCs w:val="18"/>
                <w:color w:val="auto"/>
              </w:rPr>
              <w:t>(1,231,767)</w:t>
            </w: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17, “Leases,” for additional information.</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All other new pronouncements:</w:t>
      </w:r>
    </w:p>
    <w:p>
      <w:pPr>
        <w:spacing w:after="0" w:line="117"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 xml:space="preserve">In December 2019, the Financial Accounting Standards Board (“FASB”) issued Accounting Standards Update (“ASU”) 2019-12, </w:t>
      </w:r>
      <w:r>
        <w:rPr>
          <w:rFonts w:ascii="Arial" w:cs="Arial" w:eastAsia="Arial" w:hAnsi="Arial"/>
          <w:sz w:val="16"/>
          <w:szCs w:val="16"/>
          <w:i w:val="1"/>
          <w:iCs w:val="1"/>
          <w:color w:val="auto"/>
        </w:rPr>
        <w:t>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Income Taxes (Topic740)</w:t>
      </w:r>
      <w:r>
        <w:rPr>
          <w:rFonts w:ascii="Arial" w:cs="Arial" w:eastAsia="Arial" w:hAnsi="Arial"/>
          <w:sz w:val="16"/>
          <w:szCs w:val="16"/>
          <w:color w:val="auto"/>
        </w:rPr>
        <w:t>, which removes certain exceptions to the general principles in Topic 740 and improves consistent application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and simplifies GAAP for other areas of Topic 740 by clarifying and amending existing guidance. This guidance is effective for fiscal years and interim periods within those years beginning after December 15, 2020 with early adoption permitted. Amendments are to be applied prospectively, except for certain amendments that are to be applied either retrospectively or with a modified retrospective approach through a cumulative effect adjustment recorded to retained earnings. We do not currently believe that the adoption of this standard will have a material impact on our consolidated financial statements.</w:t>
      </w:r>
    </w:p>
    <w:p>
      <w:pPr>
        <w:spacing w:after="0" w:line="164"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which provides optional expedients and exceptions for applying U.S. GAAP to contracts, hedging relationships and other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by the discontinuation of the London Interbank Offered Rate (LIBOR) and other interbank offered rates. This guidance is effective beginning on March 12, 2020 through December 31, 2022. Adoption of this standard did not have a material impact on our consolidated financial statements.</w:t>
      </w:r>
    </w:p>
    <w:p>
      <w:pPr>
        <w:spacing w:after="0" w:line="157" w:lineRule="exact"/>
        <w:rPr>
          <w:sz w:val="20"/>
          <w:szCs w:val="20"/>
          <w:color w:val="auto"/>
        </w:rPr>
      </w:pPr>
    </w:p>
    <w:p>
      <w:pPr>
        <w:ind w:right="120" w:firstLine="589"/>
        <w:spacing w:after="0" w:line="291"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Accounting for Convertible Instruments and Contracts in an Entity’s Own Equity (“ASU 2020-06”). </w:t>
      </w:r>
      <w:r>
        <w:rPr>
          <w:rFonts w:ascii="Arial" w:cs="Arial" w:eastAsia="Arial" w:hAnsi="Arial"/>
          <w:sz w:val="16"/>
          <w:szCs w:val="16"/>
          <w:color w:val="auto"/>
        </w:rPr>
        <w:t>ASU 2020-06 simplifies the accounting for certain convertible instruments by removing the separation models for convertible debt with a cash conversion feature or convertible instruments with a beneficial conversion feature. As a result, more convertible debt instruments will be reported as a single liability instrument with no separate accounting for embedded conversion features. Additionally, ASU 2020-06 amends the diluted earnings per share calculation for convertible instruments by requiring the use of the if-converted method. The treasury stock method is no longer available. This guidance is effective beginning on January 1, 2022. We are currently evaluating the impact that this guidance will have upon our consolidated financial statements.</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Net Loss Per Share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Basic and diluted net loss per share have been calculated using the weighted-average number of common shares outstanding for the period.</w:t>
      </w:r>
    </w:p>
    <w:p>
      <w:pPr>
        <w:spacing w:after="0" w:line="23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shares of common stock effectively repurchased in connection with the Forward Transactions (as defined and described in Note 9, “Long-Term Debt and Other Liabilities”) are considered participating securities requiring the two-class method to calculate basic and diluted earnings per share. Net earnings in future periods will be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spacing w:after="0" w:line="273" w:lineRule="auto"/>
        <w:rPr>
          <w:sz w:val="20"/>
          <w:szCs w:val="20"/>
          <w:color w:val="auto"/>
        </w:rPr>
      </w:pPr>
      <w:r>
        <w:rPr>
          <w:rFonts w:ascii="Arial" w:cs="Arial" w:eastAsia="Arial" w:hAnsi="Arial"/>
          <w:sz w:val="17"/>
          <w:szCs w:val="17"/>
          <w:color w:val="auto"/>
        </w:rPr>
        <w:t>allocated between common shares and participating securities. In periods of a net loss, the shares associated with the Forward Transactions will not receive an allocation of losses, as the counterparties to the Forward Transactions are not required to fund losses. Additionally, the calculation of weighted average shares outstanding as of December 31, 2020, 2019 and 2018 excludes approximately 2.1 million, 7.2 million and 7.2 million shares, respectively, associated with the Forward Transactions. As a result of the net loss for each of the years ended December 31, 2020, 2019 and 2018 for the periods where such shares or securities were outstanding, all of the outstanding shares of common stock underlying stock options, deferred stock units and restricted stock units were excluded from the computation of diluted shares outstanding because they were anti-dilutive.</w:t>
      </w:r>
    </w:p>
    <w:p>
      <w:pPr>
        <w:spacing w:after="0" w:line="178" w:lineRule="exact"/>
        <w:rPr>
          <w:sz w:val="20"/>
          <w:szCs w:val="20"/>
          <w:color w:val="auto"/>
        </w:rPr>
      </w:pPr>
    </w:p>
    <w:p>
      <w:pPr>
        <w:ind w:right="80" w:firstLine="589"/>
        <w:spacing w:after="0" w:line="286" w:lineRule="auto"/>
        <w:rPr>
          <w:sz w:val="20"/>
          <w:szCs w:val="20"/>
          <w:color w:val="auto"/>
        </w:rPr>
      </w:pPr>
      <w:r>
        <w:rPr>
          <w:rFonts w:ascii="Arial" w:cs="Arial" w:eastAsia="Arial" w:hAnsi="Arial"/>
          <w:sz w:val="17"/>
          <w:szCs w:val="17"/>
          <w:color w:val="auto"/>
        </w:rPr>
        <w:t>The following table sets forth the computation of basic and diluted earnings per share for the years ended December 31, 2020, 2019 and 2018; however, because of the undistributed losses, the shares associated with the Forward Transactions are excluded from the computation of basic earnings per share as undistributed losses are not allocated to these shares (</w:t>
      </w:r>
      <w:r>
        <w:rPr>
          <w:rFonts w:ascii="Arial" w:cs="Arial" w:eastAsia="Arial" w:hAnsi="Arial"/>
          <w:sz w:val="17"/>
          <w:szCs w:val="17"/>
          <w:i w:val="1"/>
          <w:iCs w:val="1"/>
          <w:color w:val="auto"/>
        </w:rPr>
        <w:t>in thousands, except per share amounts</w:t>
      </w:r>
      <w:r>
        <w:rPr>
          <w:rFonts w:ascii="Arial" w:cs="Arial" w:eastAsia="Arial" w:hAnsi="Arial"/>
          <w:sz w:val="17"/>
          <w:szCs w:val="17"/>
          <w:color w:val="auto"/>
        </w:rPr>
        <w:t>):</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2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(48,559</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(88,497</w:t>
            </w:r>
          </w:p>
        </w:tc>
        <w:tc>
          <w:tcPr>
            <w:tcW w:w="180" w:type="dxa"/>
            <w:vAlign w:val="bottom"/>
            <w:shd w:val="clear" w:color="auto" w:fill="CFF0FC"/>
          </w:tcPr>
          <w:p>
            <w:pPr>
              <w:jc w:val="right"/>
              <w:ind w:right="101"/>
              <w:spacing w:after="0"/>
              <w:rPr>
                <w:sz w:val="20"/>
                <w:szCs w:val="20"/>
                <w:color w:val="auto"/>
              </w:rPr>
            </w:pPr>
            <w:r>
              <w:rPr>
                <w:rFonts w:ascii="Arial" w:cs="Arial" w:eastAsia="Arial" w:hAnsi="Arial"/>
                <w:sz w:val="8"/>
                <w:szCs w:val="8"/>
                <w:color w:val="auto"/>
                <w:w w:val="73"/>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(201,477)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(57,507)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(109,571)</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loss</w:t>
            </w: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(250,036)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(146,004)</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(162,031)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120"/>
              <w:spacing w:after="0"/>
              <w:rPr>
                <w:sz w:val="20"/>
                <w:szCs w:val="20"/>
                <w:color w:val="auto"/>
              </w:rPr>
            </w:pPr>
            <w:r>
              <w:rPr>
                <w:rFonts w:ascii="Arial" w:cs="Arial" w:eastAsia="Arial" w:hAnsi="Arial"/>
                <w:sz w:val="18"/>
                <w:szCs w:val="18"/>
                <w:color w:val="auto"/>
              </w:rPr>
              <w:t>Less: Participation rights of the Forward</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Transactions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Undistributed losses</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(146,004</w:t>
            </w:r>
          </w:p>
        </w:tc>
        <w:tc>
          <w:tcPr>
            <w:tcW w:w="18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(162,031)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 and diluted</w:t>
            </w:r>
          </w:p>
        </w:tc>
        <w:tc>
          <w:tcPr>
            <w:tcW w:w="84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82,266</w:t>
            </w:r>
          </w:p>
        </w:tc>
        <w:tc>
          <w:tcPr>
            <w:tcW w:w="140" w:type="dxa"/>
            <w:vAlign w:val="bottom"/>
            <w:tcBorders>
              <w:bottom w:val="single" w:sz="8" w:color="CFF0FC"/>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80,766</w:t>
            </w:r>
          </w:p>
        </w:tc>
        <w:tc>
          <w:tcPr>
            <w:tcW w:w="18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80,038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ind w:left="120"/>
              <w:spacing w:after="0" w:line="195" w:lineRule="exact"/>
              <w:rPr>
                <w:sz w:val="20"/>
                <w:szCs w:val="20"/>
                <w:color w:val="auto"/>
              </w:rPr>
            </w:pPr>
            <w:r>
              <w:rPr>
                <w:rFonts w:ascii="Arial" w:cs="Arial" w:eastAsia="Arial" w:hAnsi="Arial"/>
                <w:sz w:val="18"/>
                <w:szCs w:val="18"/>
                <w:color w:val="auto"/>
              </w:rPr>
              <w:t>Net loss attributable to common stock per share-</w:t>
            </w: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and diluted:</w:t>
            </w: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120"/>
              <w:spacing w:after="0"/>
              <w:rPr>
                <w:sz w:val="20"/>
                <w:szCs w:val="20"/>
                <w:color w:val="auto"/>
              </w:rPr>
            </w:pPr>
            <w:r>
              <w:rPr>
                <w:rFonts w:ascii="Arial" w:cs="Arial" w:eastAsia="Arial" w:hAnsi="Arial"/>
                <w:sz w:val="18"/>
                <w:szCs w:val="18"/>
                <w:color w:val="auto"/>
              </w:rPr>
              <w:t>Net loss from continuing operations</w:t>
            </w:r>
          </w:p>
        </w:tc>
        <w:tc>
          <w:tcPr>
            <w:tcW w:w="10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(0.59)</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(1.10)</w:t>
            </w: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from discontinued operations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(0.71)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44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0" w:right="8360" w:hanging="32"/>
        <w:spacing w:after="0" w:line="425" w:lineRule="auto"/>
        <w:tabs>
          <w:tab w:leader="none" w:pos="589"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Remaining Performance Obligations</w:t>
      </w:r>
    </w:p>
    <w:p>
      <w:pPr>
        <w:ind w:right="60" w:firstLine="589"/>
        <w:spacing w:after="0" w:line="257" w:lineRule="auto"/>
        <w:rPr>
          <w:sz w:val="20"/>
          <w:szCs w:val="20"/>
          <w:color w:val="auto"/>
        </w:rPr>
      </w:pPr>
      <w:r>
        <w:rPr>
          <w:rFonts w:ascii="Arial" w:cs="Arial" w:eastAsia="Arial" w:hAnsi="Arial"/>
          <w:sz w:val="18"/>
          <w:szCs w:val="18"/>
          <w:color w:val="auto"/>
        </w:rPr>
        <w:t>As of December 31, 2020, the aggregate amount of the transaction price in our customer contracts allocated to unsatisfied performance obligations was approximately $71 million. Approximately $69million primarily represents connectivity and entertainment service revenues which are recognized as services are provided, which is expected to occur through the remaining term of the contract. The remaining $2 million of such amount represents future equipment revenue that is expected to be recognized within the next year. We have excluded from this amount consideration from contracts that have an original duration of one year or less.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The following table presents our revenue disaggregated by category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Service revenue</w:t>
            </w: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Connectivity</w:t>
            </w:r>
          </w:p>
        </w:tc>
        <w:tc>
          <w:tcPr>
            <w:tcW w:w="44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209,160</w:t>
            </w:r>
          </w:p>
        </w:tc>
        <w:tc>
          <w:tcPr>
            <w:tcW w:w="1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219,450</w:t>
            </w:r>
          </w:p>
        </w:tc>
        <w:tc>
          <w:tcPr>
            <w:tcW w:w="1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Entertainment and other</w:t>
            </w:r>
          </w:p>
        </w:tc>
        <w:tc>
          <w:tcPr>
            <w:tcW w:w="4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1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00" w:type="dxa"/>
            <w:vAlign w:val="bottom"/>
          </w:tcPr>
          <w:p>
            <w:pPr>
              <w:spacing w:after="0"/>
              <w:rPr>
                <w:sz w:val="20"/>
                <w:szCs w:val="20"/>
                <w:color w:val="auto"/>
              </w:rPr>
            </w:pPr>
            <w:r>
              <w:rPr>
                <w:rFonts w:ascii="Arial" w:cs="Arial" w:eastAsia="Arial" w:hAnsi="Arial"/>
                <w:sz w:val="18"/>
                <w:szCs w:val="18"/>
                <w:b w:val="1"/>
                <w:bCs w:val="1"/>
                <w:color w:val="auto"/>
              </w:rPr>
              <w:t>Total service revenue</w:t>
            </w:r>
          </w:p>
        </w:tc>
        <w:tc>
          <w:tcPr>
            <w:tcW w:w="440" w:type="dxa"/>
            <w:vAlign w:val="bottom"/>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211,987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221,922</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Equipment revenue</w:t>
            </w:r>
          </w:p>
        </w:tc>
        <w:tc>
          <w:tcPr>
            <w:tcW w:w="440" w:type="dxa"/>
            <w:vAlign w:val="bottom"/>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5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ATG</w:t>
            </w:r>
          </w:p>
        </w:tc>
        <w:tc>
          <w:tcPr>
            <w:tcW w:w="7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45,200</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62,899</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Satellite</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21,755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2,409</w:t>
            </w:r>
          </w:p>
        </w:tc>
        <w:tc>
          <w:tcPr>
            <w:tcW w:w="1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tcPr>
          <w:p>
            <w:pPr>
              <w:spacing w:after="0"/>
              <w:rPr>
                <w:sz w:val="20"/>
                <w:szCs w:val="20"/>
                <w:color w:val="auto"/>
              </w:rPr>
            </w:pPr>
            <w:r>
              <w:rPr>
                <w:rFonts w:ascii="Arial" w:cs="Arial" w:eastAsia="Arial" w:hAnsi="Arial"/>
                <w:sz w:val="18"/>
                <w:szCs w:val="18"/>
                <w:b w:val="1"/>
                <w:bCs w:val="1"/>
                <w:color w:val="auto"/>
              </w:rPr>
              <w:t>Total equipment revenue</w:t>
            </w:r>
          </w:p>
        </w:tc>
        <w:tc>
          <w:tcPr>
            <w:tcW w:w="440" w:type="dxa"/>
            <w:vAlign w:val="bottom"/>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57,731</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87,063</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Customer type</w:t>
            </w:r>
          </w:p>
        </w:tc>
        <w:tc>
          <w:tcPr>
            <w:tcW w:w="440" w:type="dxa"/>
            <w:vAlign w:val="bottom"/>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5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Aircraft owner/operator</w:t>
            </w:r>
          </w:p>
        </w:tc>
        <w:tc>
          <w:tcPr>
            <w:tcW w:w="7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211,987</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221,922</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OEM and aftermarket dealer</w:t>
            </w:r>
          </w:p>
        </w:tc>
        <w:tc>
          <w:tcPr>
            <w:tcW w:w="4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57,731</w:t>
            </w:r>
          </w:p>
        </w:tc>
        <w:tc>
          <w:tcPr>
            <w:tcW w:w="1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87,063</w:t>
            </w:r>
          </w:p>
        </w:tc>
        <w:tc>
          <w:tcPr>
            <w:tcW w:w="1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93,776</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4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269,718</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308,985</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290,153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right="360" w:firstLine="589"/>
        <w:spacing w:after="0" w:line="308" w:lineRule="auto"/>
        <w:rPr>
          <w:sz w:val="20"/>
          <w:szCs w:val="20"/>
          <w:color w:val="auto"/>
        </w:rPr>
      </w:pPr>
      <w:r>
        <w:rPr>
          <w:rFonts w:ascii="Arial" w:cs="Arial" w:eastAsia="Arial" w:hAnsi="Arial"/>
          <w:sz w:val="17"/>
          <w:szCs w:val="17"/>
          <w:color w:val="auto"/>
        </w:rPr>
        <w:t>Our current and non-current deferred revenue balances totaled $3.1 million and $2.2 million as of December 31, 2020 and December 31, 2019, respectively. Deferred revenue includes, among other things, fees paid for equipment subscription connectivity products.</w:t>
      </w:r>
    </w:p>
    <w:p>
      <w:pPr>
        <w:spacing w:after="0" w:line="146" w:lineRule="exact"/>
        <w:rPr>
          <w:sz w:val="20"/>
          <w:szCs w:val="20"/>
          <w:color w:val="auto"/>
        </w:rPr>
      </w:pPr>
    </w:p>
    <w:p>
      <w:pPr>
        <w:ind w:right="500" w:firstLine="589"/>
        <w:spacing w:after="0" w:line="342" w:lineRule="auto"/>
        <w:rPr>
          <w:sz w:val="20"/>
          <w:szCs w:val="20"/>
          <w:color w:val="auto"/>
        </w:rPr>
      </w:pPr>
      <w:r>
        <w:rPr>
          <w:rFonts w:ascii="Arial" w:cs="Arial" w:eastAsia="Arial" w:hAnsi="Arial"/>
          <w:sz w:val="16"/>
          <w:szCs w:val="16"/>
          <w:color w:val="auto"/>
        </w:rPr>
        <w:t>Our current and non-current contract asset balances totaled $12.2 million and $3.1 million as of December 31, 2020 and December 31, 2019, respectively. Contract assets represent the aggregate amount of revenue recognized in excess of billings primarily for certain sales programs.</w:t>
      </w:r>
    </w:p>
    <w:p>
      <w:pPr>
        <w:spacing w:after="0" w:line="200" w:lineRule="exact"/>
        <w:rPr>
          <w:sz w:val="20"/>
          <w:szCs w:val="20"/>
          <w:color w:val="auto"/>
        </w:rPr>
      </w:pPr>
    </w:p>
    <w:p>
      <w:pPr>
        <w:spacing w:after="0" w:line="27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Balance Sheet Accounts</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Inventories as of December 31, 2020 and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Work-in-process component parts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23,141</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12,709</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12,064</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28,114</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35,205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Prepaid expenses and other current assets as of December 31, 2020 and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60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7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2,417</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Restricted cash</w:t>
            </w: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5,992</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ind w:left="1700"/>
              <w:spacing w:after="0"/>
              <w:rPr>
                <w:sz w:val="20"/>
                <w:szCs w:val="20"/>
                <w:color w:val="auto"/>
              </w:rPr>
            </w:pPr>
            <w:r>
              <w:rPr>
                <w:rFonts w:ascii="Arial" w:cs="Arial" w:eastAsia="Arial" w:hAnsi="Arial"/>
                <w:sz w:val="18"/>
                <w:szCs w:val="18"/>
                <w:color w:val="auto"/>
                <w:w w:val="92"/>
              </w:rPr>
              <w:t>Total prepaid expenses and other current assets</w:t>
            </w:r>
          </w:p>
        </w:tc>
        <w:tc>
          <w:tcPr>
            <w:tcW w:w="1760" w:type="dxa"/>
            <w:vAlign w:val="bottom"/>
          </w:tcPr>
          <w:p>
            <w:pPr>
              <w:spacing w:after="0"/>
              <w:rPr>
                <w:sz w:val="19"/>
                <w:szCs w:val="19"/>
                <w:color w:val="auto"/>
              </w:rPr>
            </w:pPr>
          </w:p>
        </w:tc>
        <w:tc>
          <w:tcPr>
            <w:tcW w:w="7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8,934</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60" w:type="dxa"/>
            <w:vAlign w:val="bottom"/>
            <w:vMerge w:val="restart"/>
          </w:tcPr>
          <w:p>
            <w:pPr>
              <w:jc w:val="right"/>
              <w:ind w:right="1250"/>
              <w:spacing w:after="0"/>
              <w:rPr>
                <w:sz w:val="20"/>
                <w:szCs w:val="20"/>
                <w:color w:val="auto"/>
              </w:rPr>
            </w:pPr>
            <w:r>
              <w:rPr>
                <w:rFonts w:ascii="Arial" w:cs="Arial" w:eastAsia="Arial" w:hAnsi="Arial"/>
                <w:sz w:val="18"/>
                <w:szCs w:val="18"/>
                <w:color w:val="auto"/>
              </w:rPr>
              <w:t>89</w:t>
            </w: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0" w:name="page91"/>
    <w:bookmarkEnd w:id="90"/>
    <w:p>
      <w:pPr>
        <w:ind w:left="600"/>
        <w:spacing w:after="0"/>
        <w:rPr>
          <w:sz w:val="20"/>
          <w:szCs w:val="20"/>
          <w:color w:val="auto"/>
        </w:rPr>
      </w:pPr>
      <w:r>
        <w:rPr>
          <w:rFonts w:ascii="Arial" w:cs="Arial" w:eastAsia="Arial" w:hAnsi="Arial"/>
          <w:sz w:val="18"/>
          <w:szCs w:val="18"/>
          <w:color w:val="auto"/>
        </w:rPr>
        <w:t>Property and equipment as of December 31, 2020 and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furniture, fixtures and other</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10,526</w:t>
            </w:r>
          </w:p>
        </w:tc>
        <w:tc>
          <w:tcPr>
            <w:tcW w:w="8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12,012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12,012</w:t>
            </w:r>
          </w:p>
        </w:tc>
        <w:tc>
          <w:tcPr>
            <w:tcW w:w="8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Network equipment</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139,884</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138,727</w:t>
            </w:r>
          </w:p>
        </w:tc>
        <w:tc>
          <w:tcPr>
            <w:tcW w:w="8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162,882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161,265</w:t>
            </w:r>
          </w:p>
        </w:tc>
        <w:tc>
          <w:tcPr>
            <w:tcW w:w="8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(99,389)</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(92,082)</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63,493</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69,183</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non-current assets as of December 31, 2020 and 2019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8"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6350</wp:posOffset>
            </wp:positionV>
            <wp:extent cx="15259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5" w:lineRule="exact"/>
        <w:rPr>
          <w:sz w:val="20"/>
          <w:szCs w:val="20"/>
          <w:color w:val="auto"/>
        </w:rPr>
      </w:pPr>
    </w:p>
    <w:p>
      <w:pPr>
        <w:ind w:left="7480"/>
        <w:spacing w:after="0"/>
        <w:tabs>
          <w:tab w:leader="none" w:pos="87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291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89195" cy="29146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p>
      <w:pPr>
        <w:spacing w:after="0" w:line="15" w:lineRule="exact"/>
        <w:rPr>
          <w:sz w:val="20"/>
          <w:szCs w:val="20"/>
          <w:color w:val="auto"/>
        </w:rPr>
      </w:pPr>
    </w:p>
    <w:p>
      <w:pPr>
        <w:ind w:left="1840" w:right="1040" w:hanging="134"/>
        <w:spacing w:after="0" w:line="257" w:lineRule="auto"/>
        <w:rPr>
          <w:sz w:val="20"/>
          <w:szCs w:val="20"/>
          <w:color w:val="auto"/>
        </w:rPr>
      </w:pPr>
      <w:r>
        <w:rPr>
          <w:rFonts w:ascii="Arial" w:cs="Arial" w:eastAsia="Arial" w:hAnsi="Arial"/>
          <w:sz w:val="18"/>
          <w:szCs w:val="18"/>
          <w:color w:val="auto"/>
        </w:rPr>
        <w:t>Contract assets, net of allowances of $375 and $0, respectively</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Other</w:t>
      </w:r>
    </w:p>
    <w:p>
      <w:pPr>
        <w:spacing w:after="0" w:line="3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Total other non-current assets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tabs>
          <w:tab w:leader="none" w:pos="680" w:val="left"/>
          <w:tab w:leader="none" w:pos="1280" w:val="left"/>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9,775</w:t>
        <w:tab/>
        <w:t>$</w:t>
      </w:r>
      <w:r>
        <w:rPr>
          <w:sz w:val="20"/>
          <w:szCs w:val="20"/>
          <w:color w:val="auto"/>
        </w:rPr>
        <w:tab/>
      </w:r>
      <w:r>
        <w:rPr>
          <w:rFonts w:ascii="Arial" w:cs="Arial" w:eastAsia="Arial" w:hAnsi="Arial"/>
          <w:sz w:val="15"/>
          <w:szCs w:val="15"/>
          <w:color w:val="auto"/>
        </w:rPr>
        <w:t>2,588</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7,099</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1,711</w:t>
      </w:r>
      <w:r>
        <w:rPr>
          <w:rFonts w:ascii="Arial" w:cs="Arial" w:eastAsia="Arial" w:hAnsi="Arial"/>
          <w:sz w:val="15"/>
          <w:szCs w:val="15"/>
          <w:color w:val="auto"/>
        </w:rPr>
        <w:t>2,434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259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 w:lineRule="exact"/>
        <w:rPr>
          <w:sz w:val="20"/>
          <w:szCs w:val="20"/>
          <w:color w:val="auto"/>
        </w:rPr>
      </w:pPr>
    </w:p>
    <w:p>
      <w:pPr>
        <w:spacing w:after="0"/>
        <w:tabs>
          <w:tab w:leader="none" w:pos="600" w:val="left"/>
          <w:tab w:leader="none" w:pos="1280" w:val="left"/>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11,486</w:t>
        <w:tab/>
        <w:t>$</w:t>
      </w:r>
      <w:r>
        <w:rPr>
          <w:sz w:val="20"/>
          <w:szCs w:val="20"/>
          <w:color w:val="auto"/>
        </w:rPr>
        <w:tab/>
      </w:r>
      <w:r>
        <w:rPr>
          <w:rFonts w:ascii="Arial" w:cs="Arial" w:eastAsia="Arial" w:hAnsi="Arial"/>
          <w:sz w:val="16"/>
          <w:szCs w:val="16"/>
          <w:color w:val="auto"/>
        </w:rPr>
        <w:t>12,121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2590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2590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720"/>
            <w:col w:w="4180"/>
          </w:cols>
          <w:pgMar w:left="320" w:top="382" w:right="339" w:bottom="1440" w:gutter="0" w:footer="0" w:header="0"/>
          <w:type w:val="continuous"/>
        </w:sectPr>
      </w:pPr>
    </w:p>
    <w:p>
      <w:pPr>
        <w:spacing w:after="0" w:line="1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liabilities as of December 31, 2020 and 2019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17,048</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 xml:space="preserve">Employee compensation and benefits </w:t>
            </w:r>
            <w:r>
              <w:rPr>
                <w:rFonts w:ascii="Arial" w:cs="Arial" w:eastAsia="Arial" w:hAnsi="Arial"/>
                <w:sz w:val="15"/>
                <w:szCs w:val="15"/>
                <w:i w:val="1"/>
                <w:iCs w:val="1"/>
                <w:color w:val="auto"/>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9,818</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 xml:space="preserve">Deferred gain on sale of CA business </w:t>
            </w:r>
            <w:r>
              <w:rPr>
                <w:rFonts w:ascii="Arial" w:cs="Arial" w:eastAsia="Arial" w:hAnsi="Arial"/>
                <w:sz w:val="15"/>
                <w:szCs w:val="15"/>
                <w:i w:val="1"/>
                <w:iCs w:val="1"/>
                <w:color w:val="auto"/>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Warranty reserve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5,037</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6,087</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48,070</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1160" w:hanging="572"/>
        <w:spacing w:after="0"/>
        <w:tabs>
          <w:tab w:leader="none" w:pos="1160" w:val="left"/>
        </w:tabs>
        <w:numPr>
          <w:ilvl w:val="0"/>
          <w:numId w:val="51"/>
        </w:numPr>
        <w:rPr>
          <w:rFonts w:ascii="Arial" w:cs="Arial" w:eastAsia="Arial" w:hAnsi="Arial"/>
          <w:sz w:val="18"/>
          <w:szCs w:val="18"/>
          <w:i w:val="1"/>
          <w:iCs w:val="1"/>
          <w:color w:val="auto"/>
        </w:rPr>
      </w:pPr>
      <w:r>
        <w:rPr>
          <w:rFonts w:ascii="Arial" w:cs="Arial" w:eastAsia="Arial" w:hAnsi="Arial"/>
          <w:sz w:val="18"/>
          <w:szCs w:val="18"/>
          <w:color w:val="auto"/>
        </w:rPr>
        <w:t>Includes $19.2 million expected to be paid in Gogo common stock for employees classified within discontinued operations.</w:t>
      </w:r>
    </w:p>
    <w:p>
      <w:pPr>
        <w:spacing w:after="0" w:line="117" w:lineRule="exact"/>
        <w:rPr>
          <w:rFonts w:ascii="Arial" w:cs="Arial" w:eastAsia="Arial" w:hAnsi="Arial"/>
          <w:sz w:val="18"/>
          <w:szCs w:val="18"/>
          <w:i w:val="1"/>
          <w:iCs w:val="1"/>
          <w:color w:val="auto"/>
        </w:rPr>
      </w:pPr>
    </w:p>
    <w:p>
      <w:pPr>
        <w:ind w:left="1160" w:hanging="572"/>
        <w:spacing w:after="0"/>
        <w:tabs>
          <w:tab w:leader="none" w:pos="1160" w:val="left"/>
        </w:tabs>
        <w:numPr>
          <w:ilvl w:val="0"/>
          <w:numId w:val="51"/>
        </w:numPr>
        <w:rPr>
          <w:rFonts w:ascii="Arial" w:cs="Arial" w:eastAsia="Arial" w:hAnsi="Arial"/>
          <w:sz w:val="18"/>
          <w:szCs w:val="18"/>
          <w:i w:val="1"/>
          <w:iCs w:val="1"/>
          <w:color w:val="auto"/>
        </w:rPr>
      </w:pPr>
      <w:r>
        <w:rPr>
          <w:rFonts w:ascii="Arial" w:cs="Arial" w:eastAsia="Arial" w:hAnsi="Arial"/>
          <w:sz w:val="18"/>
          <w:szCs w:val="18"/>
          <w:color w:val="auto"/>
        </w:rPr>
        <w:t>Relates to sale of CA business on December 1, 2020. See Note 2, “Discontinued Operations,” for additional information.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non-current liabilities as of December 31, 2020 and 2019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100" w:type="dxa"/>
            <w:vAlign w:val="bottom"/>
            <w:tcBorders>
              <w:bottom w:val="single" w:sz="8" w:color="CFF0FC"/>
            </w:tcBorders>
          </w:tcPr>
          <w:p>
            <w:pPr>
              <w:spacing w:after="0"/>
              <w:rPr>
                <w:sz w:val="13"/>
                <w:szCs w:val="13"/>
                <w:color w:val="auto"/>
              </w:rPr>
            </w:pPr>
          </w:p>
        </w:tc>
        <w:tc>
          <w:tcPr>
            <w:tcW w:w="2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obligations</w:t>
            </w:r>
          </w:p>
        </w:tc>
        <w:tc>
          <w:tcPr>
            <w:tcW w:w="2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1700"/>
              <w:spacing w:after="0"/>
              <w:rPr>
                <w:sz w:val="20"/>
                <w:szCs w:val="20"/>
                <w:color w:val="auto"/>
              </w:rPr>
            </w:pPr>
            <w:r>
              <w:rPr>
                <w:rFonts w:ascii="Arial" w:cs="Arial" w:eastAsia="Arial" w:hAnsi="Arial"/>
                <w:sz w:val="18"/>
                <w:szCs w:val="18"/>
                <w:color w:val="auto"/>
              </w:rPr>
              <w:t>Total other non-current liabilities</w:t>
            </w:r>
          </w:p>
        </w:tc>
        <w:tc>
          <w:tcPr>
            <w:tcW w:w="2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10,581</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60" w:type="dxa"/>
            <w:vAlign w:val="bottom"/>
            <w:vMerge w:val="restart"/>
          </w:tcPr>
          <w:p>
            <w:pPr>
              <w:jc w:val="right"/>
              <w:ind w:right="1250"/>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91" w:name="page92"/>
    <w:bookmarkEnd w:id="91"/>
    <w:p>
      <w:pPr>
        <w:ind w:left="600"/>
        <w:spacing w:after="0"/>
        <w:rPr>
          <w:sz w:val="20"/>
          <w:szCs w:val="20"/>
          <w:color w:val="auto"/>
        </w:rPr>
      </w:pPr>
      <w:r>
        <w:rPr>
          <w:rFonts w:ascii="Arial" w:cs="Arial" w:eastAsia="Arial" w:hAnsi="Arial"/>
          <w:sz w:val="16"/>
          <w:szCs w:val="16"/>
          <w:color w:val="auto"/>
        </w:rPr>
        <w:t>Changes in our non-current asset retirement obligations for the years ended December 31, 2020 and 2019 consist of the following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5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Asset</w:t>
            </w:r>
          </w:p>
        </w:tc>
      </w:tr>
      <w:tr>
        <w:trPr>
          <w:trHeight w:val="162"/>
        </w:trPr>
        <w:tc>
          <w:tcPr>
            <w:tcW w:w="4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Retirement</w:t>
            </w:r>
          </w:p>
        </w:tc>
      </w:tr>
      <w:tr>
        <w:trPr>
          <w:trHeight w:val="171"/>
        </w:trPr>
        <w:tc>
          <w:tcPr>
            <w:tcW w:w="47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Obligation</w:t>
            </w: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January 1, 2019</w:t>
            </w:r>
          </w:p>
        </w:tc>
        <w:tc>
          <w:tcPr>
            <w:tcW w:w="1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Liabilities incurred</w:t>
            </w: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Liabilities settled</w:t>
            </w:r>
          </w:p>
        </w:tc>
        <w:tc>
          <w:tcPr>
            <w:tcW w:w="1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w:t>
            </w: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Accretion expense</w:t>
            </w: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r>
      <w:tr>
        <w:trPr>
          <w:trHeight w:val="229"/>
        </w:trPr>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rate adjustments</w:t>
            </w:r>
          </w:p>
        </w:tc>
        <w:tc>
          <w:tcPr>
            <w:tcW w:w="19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Balance – December 31, 2019</w:t>
            </w: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4,093</w:t>
            </w:r>
          </w:p>
        </w:tc>
        <w:tc>
          <w:tcPr>
            <w:tcW w:w="80" w:type="dxa"/>
            <w:vAlign w:val="bottom"/>
          </w:tcPr>
          <w:p>
            <w:pPr>
              <w:spacing w:after="0"/>
              <w:rPr>
                <w:sz w:val="19"/>
                <w:szCs w:val="19"/>
                <w:color w:val="auto"/>
              </w:rPr>
            </w:pPr>
          </w:p>
        </w:tc>
      </w:tr>
      <w:tr>
        <w:trPr>
          <w:trHeight w:val="229"/>
        </w:trPr>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Liabilities incurred</w:t>
            </w:r>
          </w:p>
        </w:tc>
        <w:tc>
          <w:tcPr>
            <w:tcW w:w="1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Liabilities settled</w:t>
            </w: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r>
      <w:tr>
        <w:trPr>
          <w:trHeight w:val="229"/>
        </w:trPr>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expense</w:t>
            </w:r>
          </w:p>
        </w:tc>
        <w:tc>
          <w:tcPr>
            <w:tcW w:w="1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FF0FC"/>
          </w:tcPr>
          <w:p>
            <w:pPr>
              <w:spacing w:after="0"/>
              <w:rPr>
                <w:sz w:val="19"/>
                <w:szCs w:val="19"/>
                <w:color w:val="auto"/>
              </w:rPr>
            </w:pPr>
          </w:p>
        </w:tc>
      </w:tr>
      <w:tr>
        <w:trPr>
          <w:trHeight w:val="229"/>
        </w:trPr>
        <w:tc>
          <w:tcPr>
            <w:tcW w:w="4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 exchange rate adjustments</w:t>
            </w:r>
          </w:p>
        </w:tc>
        <w:tc>
          <w:tcPr>
            <w:tcW w:w="1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19"/>
                <w:szCs w:val="19"/>
                <w:color w:val="auto"/>
              </w:rPr>
            </w:pPr>
          </w:p>
        </w:tc>
      </w:tr>
      <w:tr>
        <w:trPr>
          <w:trHeight w:val="223"/>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2020</w:t>
            </w:r>
          </w:p>
        </w:tc>
        <w:tc>
          <w:tcPr>
            <w:tcW w:w="19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Reserves and Allowances</w:t>
      </w:r>
    </w:p>
    <w:p>
      <w:pPr>
        <w:spacing w:after="0" w:line="158" w:lineRule="exact"/>
        <w:rPr>
          <w:sz w:val="20"/>
          <w:szCs w:val="20"/>
          <w:color w:val="auto"/>
        </w:rPr>
      </w:pPr>
    </w:p>
    <w:p>
      <w:pPr>
        <w:ind w:right="80" w:firstLine="589"/>
        <w:spacing w:after="0" w:line="269" w:lineRule="auto"/>
        <w:rPr>
          <w:sz w:val="20"/>
          <w:szCs w:val="20"/>
          <w:color w:val="auto"/>
        </w:rPr>
      </w:pPr>
      <w:r>
        <w:rPr>
          <w:rFonts w:ascii="Arial" w:cs="Arial" w:eastAsia="Arial" w:hAnsi="Arial"/>
          <w:sz w:val="17"/>
          <w:szCs w:val="17"/>
          <w:b w:val="1"/>
          <w:bCs w:val="1"/>
          <w:color w:val="auto"/>
        </w:rPr>
        <w:t xml:space="preserve">Credit Losses </w:t>
      </w:r>
      <w:r>
        <w:rPr>
          <w:rFonts w:ascii="Arial" w:cs="Arial" w:eastAsia="Arial" w:hAnsi="Arial"/>
          <w:sz w:val="17"/>
          <w:szCs w:val="17"/>
          <w:color w:val="auto"/>
        </w:rPr>
        <w:t>— We regularly evaluate our accounts receivable and contract assets for expected credit losses. Our expected loss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methodology for accounts receivable is developed using historical collection experience, current and future economic and market conditions, and a review of the current status of each customer’s trade accounts receivables. Due to the short-term nature of such receivables, the estimated amount of accounts receivable that may not be collected is based on the aging of the accounts receivable balances and the financial condition of customers. Additionally, specific allowance amounts are established to record the appropriate provision for customers that have a higher probability of default. Our monitoring activities include timely account reconciliation, dispute resolution, payment confirmation, consideration of each customer’s financial condition and macroeconomic conditions. Balances are written off when determined to be uncollectible. We apply a similar methodology to our current and non-current contract asset balances. However, due to the inherent additional risk associated with a long-term receivable, an additional provision for credit loss is applied to contract asset balances that will diminish over time as the contract nears its expiration date. For the year ended December 31, 2020, we also considered the current and estimated future economic and market conditions resulting from the COVID-19 pandemic in the determination of our estimated credit losses.</w:t>
      </w:r>
    </w:p>
    <w:p>
      <w:pPr>
        <w:spacing w:after="0" w:line="186"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Estimates are used to determine the expected loss allowances. Such allowances are based on management’s assessment of anticipated payment, taking into account available historical and current information as well as management’s assessment of potential future developments. We are continuously monitoring our assumptions used to determine our expected credit losses, including the impact of COVID-19, which could cause us to record additional material credit losses in future periods.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our allowances for credit losses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5"/>
          </w:tcPr>
          <w:p>
            <w:pPr>
              <w:ind w:left="520"/>
              <w:spacing w:after="0"/>
              <w:rPr>
                <w:sz w:val="20"/>
                <w:szCs w:val="20"/>
                <w:color w:val="auto"/>
              </w:rPr>
            </w:pPr>
            <w:r>
              <w:rPr>
                <w:rFonts w:ascii="Arial" w:cs="Arial" w:eastAsia="Arial" w:hAnsi="Arial"/>
                <w:sz w:val="18"/>
                <w:szCs w:val="18"/>
                <w:b w:val="1"/>
                <w:bCs w:val="1"/>
                <w:color w:val="auto"/>
              </w:rPr>
              <w:t>For the year ended</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5"/>
          </w:tcPr>
          <w:p>
            <w:pPr>
              <w:ind w:left="520"/>
              <w:spacing w:after="0"/>
              <w:rPr>
                <w:sz w:val="20"/>
                <w:szCs w:val="20"/>
                <w:color w:val="auto"/>
              </w:rPr>
            </w:pPr>
            <w:r>
              <w:rPr>
                <w:rFonts w:ascii="Arial" w:cs="Arial" w:eastAsia="Arial" w:hAnsi="Arial"/>
                <w:sz w:val="18"/>
                <w:szCs w:val="18"/>
                <w:b w:val="1"/>
                <w:bCs w:val="1"/>
                <w:color w:val="auto"/>
              </w:rPr>
              <w:t>December 31, 2020</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Accounts</w:t>
            </w:r>
          </w:p>
        </w:tc>
        <w:tc>
          <w:tcPr>
            <w:tcW w:w="1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non-current</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Balance at January 1, 2020</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Receivable</w:t>
            </w:r>
          </w:p>
        </w:tc>
        <w:tc>
          <w:tcPr>
            <w:tcW w:w="160" w:type="dxa"/>
            <w:vAlign w:val="bottom"/>
          </w:tcPr>
          <w:p>
            <w:pPr>
              <w:spacing w:after="0"/>
              <w:rPr>
                <w:sz w:val="20"/>
                <w:szCs w:val="20"/>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78"/>
              </w:rPr>
              <w:t>assets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3920" w:type="dxa"/>
            <w:vAlign w:val="bottom"/>
            <w:vMerge w:val="continue"/>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660</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6"/>
              </w:rPr>
              <w:t>Cumulative-effect adjustment of ASC 326 adoption</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6"/>
              </w:rPr>
              <w:t>Current-period provision for expected credit losses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Write-offs charged against the allowances</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(727)</w:t>
            </w: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6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60" w:type="dxa"/>
            <w:vAlign w:val="bottom"/>
            <w:vMerge w:val="restart"/>
          </w:tcPr>
          <w:p>
            <w:pPr>
              <w:jc w:val="right"/>
              <w:ind w:right="1190"/>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2" w:name="page93"/>
    <w:bookmarkEnd w:id="92"/>
    <w:p>
      <w:pPr>
        <w:ind w:right="200" w:firstLine="589"/>
        <w:spacing w:after="0" w:line="261" w:lineRule="auto"/>
        <w:rPr>
          <w:sz w:val="20"/>
          <w:szCs w:val="20"/>
          <w:color w:val="auto"/>
        </w:rPr>
      </w:pPr>
      <w:r>
        <w:rPr>
          <w:rFonts w:ascii="Arial" w:cs="Arial" w:eastAsia="Arial" w:hAnsi="Arial"/>
          <w:sz w:val="18"/>
          <w:szCs w:val="18"/>
          <w:b w:val="1"/>
          <w:bCs w:val="1"/>
          <w:color w:val="auto"/>
        </w:rPr>
        <w:t xml:space="preserve">Warranties </w:t>
      </w:r>
      <w:r>
        <w:rPr>
          <w:rFonts w:ascii="Arial" w:cs="Arial" w:eastAsia="Arial" w:hAnsi="Arial"/>
          <w:sz w:val="18"/>
          <w:szCs w:val="18"/>
          <w:color w:val="auto"/>
        </w:rPr>
        <w:t>— We provide warranties on parts and labor related to our products. Our warranty terms range from two to five years. Warranty</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consolidated balance sheets.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tcPr>
          <w:p>
            <w:pPr>
              <w:ind w:left="440"/>
              <w:spacing w:after="0"/>
              <w:rPr>
                <w:sz w:val="20"/>
                <w:szCs w:val="20"/>
                <w:color w:val="auto"/>
              </w:rPr>
            </w:pPr>
            <w:r>
              <w:rPr>
                <w:rFonts w:ascii="Arial" w:cs="Arial" w:eastAsia="Arial" w:hAnsi="Arial"/>
                <w:sz w:val="18"/>
                <w:szCs w:val="18"/>
                <w:color w:val="auto"/>
                <w:w w:val="91"/>
              </w:rPr>
              <w:t>Changes in our warranty reserve for the years ended December 31, 2020 and 2019 consist of the following (</w:t>
            </w:r>
            <w:r>
              <w:rPr>
                <w:rFonts w:ascii="Arial" w:cs="Arial" w:eastAsia="Arial" w:hAnsi="Arial"/>
                <w:sz w:val="18"/>
                <w:szCs w:val="18"/>
                <w:i w:val="1"/>
                <w:iCs w:val="1"/>
                <w:color w:val="auto"/>
                <w:w w:val="91"/>
              </w:rPr>
              <w:t>in thousands</w:t>
            </w:r>
            <w:r>
              <w:rPr>
                <w:rFonts w:ascii="Arial" w:cs="Arial" w:eastAsia="Arial" w:hAnsi="Arial"/>
                <w:sz w:val="18"/>
                <w:szCs w:val="18"/>
                <w:color w:val="auto"/>
                <w:w w:val="91"/>
              </w:rPr>
              <w:t>):</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Warranty</w:t>
            </w:r>
          </w:p>
        </w:tc>
      </w:tr>
      <w:tr>
        <w:trPr>
          <w:trHeight w:val="234"/>
        </w:trPr>
        <w:tc>
          <w:tcPr>
            <w:tcW w:w="9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Reserve</w:t>
            </w:r>
          </w:p>
        </w:tc>
        <w:tc>
          <w:tcPr>
            <w:tcW w:w="100" w:type="dxa"/>
            <w:vAlign w:val="bottom"/>
          </w:tcPr>
          <w:p>
            <w:pPr>
              <w:spacing w:after="0"/>
              <w:rPr>
                <w:sz w:val="20"/>
                <w:szCs w:val="20"/>
                <w:color w:val="auto"/>
              </w:rPr>
            </w:pPr>
          </w:p>
        </w:tc>
      </w:tr>
      <w:tr>
        <w:trPr>
          <w:trHeight w:val="276"/>
        </w:trPr>
        <w:tc>
          <w:tcPr>
            <w:tcW w:w="9400" w:type="dxa"/>
            <w:vAlign w:val="bottom"/>
          </w:tcPr>
          <w:p>
            <w:pPr>
              <w:spacing w:after="0"/>
              <w:rPr>
                <w:sz w:val="20"/>
                <w:szCs w:val="20"/>
                <w:color w:val="auto"/>
              </w:rPr>
            </w:pPr>
            <w:r>
              <w:rPr>
                <w:rFonts w:ascii="Arial" w:cs="Arial" w:eastAsia="Arial" w:hAnsi="Arial"/>
                <w:sz w:val="18"/>
                <w:szCs w:val="18"/>
                <w:color w:val="auto"/>
              </w:rPr>
              <w:t>Balance – January 1, 2019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r>
      <w:tr>
        <w:trPr>
          <w:trHeight w:val="230"/>
        </w:trPr>
        <w:tc>
          <w:tcPr>
            <w:tcW w:w="9400" w:type="dxa"/>
            <w:vAlign w:val="bottom"/>
          </w:tcPr>
          <w:p>
            <w:pPr>
              <w:ind w:left="260"/>
              <w:spacing w:after="0"/>
              <w:rPr>
                <w:sz w:val="20"/>
                <w:szCs w:val="20"/>
                <w:color w:val="auto"/>
              </w:rPr>
            </w:pPr>
            <w:r>
              <w:rPr>
                <w:rFonts w:ascii="Arial" w:cs="Arial" w:eastAsia="Arial" w:hAnsi="Arial"/>
                <w:sz w:val="18"/>
                <w:szCs w:val="18"/>
                <w:color w:val="auto"/>
              </w:rPr>
              <w:t>Accruals for warranties issued</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r>
      <w:tr>
        <w:trPr>
          <w:trHeight w:val="216"/>
        </w:trPr>
        <w:tc>
          <w:tcPr>
            <w:tcW w:w="9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Settlements of warranties</w:t>
            </w:r>
          </w:p>
        </w:tc>
        <w:tc>
          <w:tcPr>
            <w:tcW w:w="3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w:t>
            </w:r>
          </w:p>
        </w:tc>
      </w:tr>
      <w:tr>
        <w:trPr>
          <w:trHeight w:val="195"/>
        </w:trPr>
        <w:tc>
          <w:tcPr>
            <w:tcW w:w="9400" w:type="dxa"/>
            <w:vAlign w:val="bottom"/>
          </w:tcPr>
          <w:p>
            <w:pPr>
              <w:spacing w:after="0" w:line="195" w:lineRule="exact"/>
              <w:rPr>
                <w:sz w:val="20"/>
                <w:szCs w:val="20"/>
                <w:color w:val="auto"/>
              </w:rPr>
            </w:pPr>
            <w:r>
              <w:rPr>
                <w:rFonts w:ascii="Arial" w:cs="Arial" w:eastAsia="Arial" w:hAnsi="Arial"/>
                <w:sz w:val="18"/>
                <w:szCs w:val="18"/>
                <w:color w:val="auto"/>
              </w:rPr>
              <w:t>Balance – December 31, 2019</w:t>
            </w:r>
          </w:p>
        </w:tc>
        <w:tc>
          <w:tcPr>
            <w:tcW w:w="3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2,500</w:t>
            </w:r>
          </w:p>
        </w:tc>
        <w:tc>
          <w:tcPr>
            <w:tcW w:w="100" w:type="dxa"/>
            <w:vAlign w:val="bottom"/>
          </w:tcPr>
          <w:p>
            <w:pPr>
              <w:spacing w:after="0"/>
              <w:rPr>
                <w:sz w:val="16"/>
                <w:szCs w:val="16"/>
                <w:color w:val="auto"/>
              </w:rPr>
            </w:pPr>
          </w:p>
        </w:tc>
      </w:tr>
      <w:tr>
        <w:trPr>
          <w:trHeight w:val="216"/>
        </w:trPr>
        <w:tc>
          <w:tcPr>
            <w:tcW w:w="9400" w:type="dxa"/>
            <w:vAlign w:val="bottom"/>
          </w:tcPr>
          <w:p>
            <w:pPr>
              <w:ind w:left="260"/>
              <w:spacing w:after="0"/>
              <w:rPr>
                <w:sz w:val="20"/>
                <w:szCs w:val="20"/>
                <w:color w:val="auto"/>
              </w:rPr>
            </w:pPr>
            <w:r>
              <w:rPr>
                <w:rFonts w:ascii="Arial" w:cs="Arial" w:eastAsia="Arial" w:hAnsi="Arial"/>
                <w:sz w:val="18"/>
                <w:szCs w:val="18"/>
                <w:color w:val="auto"/>
              </w:rPr>
              <w:t>Accruals for warranties issued</w:t>
            </w:r>
          </w:p>
        </w:tc>
        <w:tc>
          <w:tcPr>
            <w:tcW w:w="3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9400" w:type="dxa"/>
            <w:vAlign w:val="bottom"/>
          </w:tcPr>
          <w:p>
            <w:pPr>
              <w:ind w:left="260"/>
              <w:spacing w:after="0"/>
              <w:rPr>
                <w:sz w:val="20"/>
                <w:szCs w:val="20"/>
                <w:color w:val="auto"/>
              </w:rPr>
            </w:pPr>
            <w:r>
              <w:rPr>
                <w:rFonts w:ascii="Arial" w:cs="Arial" w:eastAsia="Arial" w:hAnsi="Arial"/>
                <w:sz w:val="18"/>
                <w:szCs w:val="18"/>
                <w:color w:val="auto"/>
              </w:rPr>
              <w:t>Settlements and adjustments to warranties</w:t>
            </w:r>
          </w:p>
        </w:tc>
        <w:tc>
          <w:tcPr>
            <w:tcW w:w="32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0"/>
        </w:trPr>
        <w:tc>
          <w:tcPr>
            <w:tcW w:w="9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2020</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440" w:hanging="432"/>
        <w:spacing w:after="0"/>
        <w:tabs>
          <w:tab w:leader="none" w:pos="4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35" w:lineRule="exact"/>
        <w:rPr>
          <w:sz w:val="20"/>
          <w:szCs w:val="20"/>
          <w:color w:val="auto"/>
        </w:rPr>
      </w:pPr>
    </w:p>
    <w:p>
      <w:pPr>
        <w:ind w:right="140" w:firstLine="589"/>
        <w:spacing w:after="0" w:line="269" w:lineRule="auto"/>
        <w:rPr>
          <w:sz w:val="20"/>
          <w:szCs w:val="20"/>
          <w:color w:val="auto"/>
        </w:rPr>
      </w:pPr>
      <w:r>
        <w:rPr>
          <w:rFonts w:ascii="Arial" w:cs="Arial" w:eastAsia="Arial" w:hAnsi="Arial"/>
          <w:sz w:val="17"/>
          <w:szCs w:val="17"/>
          <w:color w:val="auto"/>
        </w:rPr>
        <w:t>Our intangible assets are comprised of indefinite- and finite-lived intangible assets and goodwill. We own the rights to 3MHz of ATG spectrum in the nationwide 800 MHz Commercial Air-Ground Radiotelephone band (the “3 MHz FCC License”), which is used in the operation of our ATG network, and the license for 1 MHz of ATG spectrum in the nationwide 800MHz Commercial Air-Ground Radiotelephone band (the “1 MHz FCC License”) acquired as part of our acquisition of LiveTV Airfone, LLC. Together we refer to the 3 MHz FCC License and the 1 MHz FCC License as the “FCC Licenses.” The FCC Licenses were originally issued with 10-year terms and we have renewed both licenses for subsequent 10-year terms. Such licenses are subject to further renewal by the FCC, and renewals of licenses held by others have occurred routinely and at nominal cost. Moreover, we have determined that there are currently no legal, regulatory, contractual, competitive, economic, or other factors that limit the useful life of the FCC Licenses. As a result, the FCC Licenses are treated as indefinite-lived intangible assets which we do not amortize. We reevaluate the useful life of the FCC Licenses each year to determine whether events and circumstances continue to support an indefinite useful life. Our annual impairment assessment of the FCC Licenses for 2020, 2019 and 2018 indicated no impairment.</w:t>
      </w:r>
    </w:p>
    <w:p>
      <w:pPr>
        <w:spacing w:after="0" w:line="185"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Our software relates to the development of internal use software which is used to run our network and support our service offerings. Software also includes software embedded in the equipment that we sell to our customers.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goodwill balance was $0.6 million as of December 31, 2020 and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93" w:name="page94"/>
    <w:bookmarkEnd w:id="93"/>
    <w:p>
      <w:pPr>
        <w:ind w:right="760" w:firstLine="589"/>
        <w:spacing w:after="0" w:line="277" w:lineRule="auto"/>
        <w:rPr>
          <w:sz w:val="20"/>
          <w:szCs w:val="20"/>
          <w:color w:val="auto"/>
        </w:rPr>
      </w:pPr>
      <w:r>
        <w:rPr>
          <w:rFonts w:ascii="Arial" w:cs="Arial" w:eastAsia="Arial" w:hAnsi="Arial"/>
          <w:sz w:val="18"/>
          <w:szCs w:val="18"/>
          <w:color w:val="auto"/>
        </w:rPr>
        <w:t>Our intangible assets, other than goodwill, as of December 31, 2020 and 2019 were as follows (</w:t>
      </w:r>
      <w:r>
        <w:rPr>
          <w:rFonts w:ascii="Arial" w:cs="Arial" w:eastAsia="Arial" w:hAnsi="Arial"/>
          <w:sz w:val="18"/>
          <w:szCs w:val="18"/>
          <w:i w:val="1"/>
          <w:iCs w:val="1"/>
          <w:color w:val="auto"/>
        </w:rPr>
        <w:t>in thousands, except for weighted average</w:t>
      </w:r>
      <w:r>
        <w:rPr>
          <w:rFonts w:ascii="Arial" w:cs="Arial" w:eastAsia="Arial" w:hAnsi="Arial"/>
          <w:sz w:val="18"/>
          <w:szCs w:val="18"/>
          <w:color w:val="auto"/>
        </w:rPr>
        <w:t xml:space="preserve"> </w:t>
      </w:r>
      <w:r>
        <w:rPr>
          <w:rFonts w:ascii="Arial" w:cs="Arial" w:eastAsia="Arial" w:hAnsi="Arial"/>
          <w:sz w:val="18"/>
          <w:szCs w:val="18"/>
          <w:i w:val="1"/>
          <w:iCs w:val="1"/>
          <w:color w:val="auto"/>
        </w:rPr>
        <w:t>remaining useful life</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4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As of December 31, 2019</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342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5"/>
              <w:spacing w:after="0" w:line="147" w:lineRule="exact"/>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5"/>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5"/>
              <w:spacing w:after="0" w:line="147" w:lineRule="exact"/>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2"/>
                <w:szCs w:val="12"/>
                <w:color w:val="auto"/>
              </w:rPr>
            </w:pPr>
          </w:p>
        </w:tc>
      </w:tr>
      <w:tr>
        <w:trPr>
          <w:trHeight w:val="162"/>
        </w:trPr>
        <w:tc>
          <w:tcPr>
            <w:tcW w:w="34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2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Carrying</w:t>
            </w:r>
          </w:p>
        </w:tc>
      </w:tr>
      <w:tr>
        <w:trPr>
          <w:trHeight w:val="171"/>
        </w:trPr>
        <w:tc>
          <w:tcPr>
            <w:tcW w:w="34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72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Amount</w:t>
            </w: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Amortized intangible assets:</w:t>
            </w: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3420" w:type="dxa"/>
            <w:vAlign w:val="bottom"/>
          </w:tcPr>
          <w:p>
            <w:pPr>
              <w:spacing w:after="0"/>
              <w:rPr>
                <w:sz w:val="20"/>
                <w:szCs w:val="20"/>
                <w:color w:val="auto"/>
              </w:rPr>
            </w:pPr>
            <w:r>
              <w:rPr>
                <w:rFonts w:ascii="Arial" w:cs="Arial" w:eastAsia="Arial" w:hAnsi="Arial"/>
                <w:sz w:val="18"/>
                <w:szCs w:val="18"/>
                <w:color w:val="auto"/>
              </w:rPr>
              <w:t>Software</w:t>
            </w:r>
          </w:p>
        </w:tc>
        <w:tc>
          <w:tcPr>
            <w:tcW w:w="1160" w:type="dxa"/>
            <w:vAlign w:val="bottom"/>
          </w:tcPr>
          <w:p>
            <w:pPr>
              <w:jc w:val="right"/>
              <w:ind w:right="343"/>
              <w:spacing w:after="0"/>
              <w:rPr>
                <w:sz w:val="20"/>
                <w:szCs w:val="20"/>
                <w:color w:val="auto"/>
              </w:rPr>
            </w:pPr>
            <w:r>
              <w:rPr>
                <w:rFonts w:ascii="Arial" w:cs="Arial" w:eastAsia="Arial" w:hAnsi="Arial"/>
                <w:sz w:val="18"/>
                <w:szCs w:val="18"/>
                <w:color w:val="auto"/>
              </w:rPr>
              <w:t>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50,029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(31,739)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42,591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(25,191)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17,400</w:t>
            </w:r>
          </w:p>
        </w:tc>
        <w:tc>
          <w:tcPr>
            <w:tcW w:w="60" w:type="dxa"/>
            <w:vAlign w:val="bottom"/>
          </w:tcPr>
          <w:p>
            <w:pPr>
              <w:spacing w:after="0"/>
              <w:rPr>
                <w:sz w:val="19"/>
                <w:szCs w:val="19"/>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1160" w:type="dxa"/>
            <w:vAlign w:val="bottom"/>
            <w:shd w:val="clear" w:color="auto" w:fill="CFF0FC"/>
          </w:tcPr>
          <w:p>
            <w:pPr>
              <w:jc w:val="right"/>
              <w:ind w:right="343"/>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Service customer relationships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(8,081)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(8,081)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OEM and dealer relationships</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(6,724)</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(6,724)</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Total amortized intangible assets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66,334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(46,544)</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58,896</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(39,996)</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18,900</w:t>
            </w:r>
          </w:p>
        </w:tc>
        <w:tc>
          <w:tcPr>
            <w:tcW w:w="60" w:type="dxa"/>
            <w:vAlign w:val="bottom"/>
          </w:tcPr>
          <w:p>
            <w:pPr>
              <w:spacing w:after="0"/>
              <w:rPr>
                <w:sz w:val="19"/>
                <w:szCs w:val="19"/>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Unamortized intangible assets:</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3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FCC Licenses</w:t>
            </w:r>
          </w:p>
        </w:tc>
        <w:tc>
          <w:tcPr>
            <w:tcW w:w="1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32,283</w:t>
            </w:r>
          </w:p>
        </w:tc>
        <w:tc>
          <w:tcPr>
            <w:tcW w:w="60" w:type="dxa"/>
            <w:vAlign w:val="bottom"/>
            <w:tcBorders>
              <w:bottom w:val="single" w:sz="8" w:color="CFF0FC"/>
            </w:tcBorders>
          </w:tcPr>
          <w:p>
            <w:pPr>
              <w:spacing w:after="0"/>
              <w:rPr>
                <w:sz w:val="19"/>
                <w:szCs w:val="19"/>
                <w:color w:val="auto"/>
              </w:rPr>
            </w:pPr>
          </w:p>
        </w:tc>
      </w:tr>
      <w:tr>
        <w:trPr>
          <w:trHeight w:val="223"/>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intangible assets</w:t>
            </w:r>
          </w:p>
        </w:tc>
        <w:tc>
          <w:tcPr>
            <w:tcW w:w="1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98,617</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(46,544)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52,073</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91,179</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(39,996)</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51,183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Amortization expense for the years ended December 31, 2020, 2019 and 2018 was $6.3 million, $6.1 million and $4.5 million, respectively.</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Amortization expense for each of the next five years and thereafter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10"/>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9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7,553</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2022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2024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Thereafter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Actual future amortization expense could differ from the estimated amount as the result of future investments and other factors.</w:t>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Other Liabilities</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Long-term debt as of December 31, 2020 and 2019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700" w:type="dxa"/>
            <w:vAlign w:val="bottom"/>
            <w:vMerge w:val="restart"/>
          </w:tcPr>
          <w:p>
            <w:pPr>
              <w:spacing w:after="0"/>
              <w:rPr>
                <w:sz w:val="7"/>
                <w:szCs w:val="7"/>
                <w:color w:val="auto"/>
              </w:rPr>
            </w:pPr>
          </w:p>
        </w:tc>
        <w:tc>
          <w:tcPr>
            <w:tcW w:w="380" w:type="dxa"/>
            <w:vAlign w:val="bottom"/>
          </w:tcPr>
          <w:p>
            <w:pPr>
              <w:spacing w:after="0"/>
              <w:rPr>
                <w:sz w:val="7"/>
                <w:szCs w:val="7"/>
                <w:color w:val="auto"/>
              </w:rPr>
            </w:pPr>
          </w:p>
        </w:tc>
        <w:tc>
          <w:tcPr>
            <w:tcW w:w="30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2024</w:t>
            </w:r>
          </w:p>
        </w:tc>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Notes</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973,539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921,137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0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215,122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201,868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2020</w:t>
            </w:r>
          </w:p>
        </w:tc>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9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gridSpan w:val="3"/>
          </w:tcPr>
          <w:p>
            <w:pPr>
              <w:ind w:left="1700"/>
              <w:spacing w:after="0"/>
              <w:rPr>
                <w:sz w:val="20"/>
                <w:szCs w:val="20"/>
                <w:color w:val="auto"/>
              </w:rPr>
            </w:pPr>
            <w:r>
              <w:rPr>
                <w:rFonts w:ascii="Arial" w:cs="Arial" w:eastAsia="Arial" w:hAnsi="Arial"/>
                <w:sz w:val="18"/>
                <w:szCs w:val="18"/>
                <w:color w:val="auto"/>
              </w:rPr>
              <w:t>Total debt</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1,188,661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1,125,503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deferred financing costs</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20" w:type="dxa"/>
            <w:vAlign w:val="bottom"/>
            <w:gridSpan w:val="2"/>
          </w:tcPr>
          <w:p>
            <w:pPr>
              <w:ind w:left="240"/>
              <w:spacing w:after="0"/>
              <w:rPr>
                <w:sz w:val="20"/>
                <w:szCs w:val="20"/>
                <w:color w:val="auto"/>
              </w:rPr>
            </w:pPr>
            <w:r>
              <w:rPr>
                <w:rFonts w:ascii="Arial" w:cs="Arial" w:eastAsia="Arial" w:hAnsi="Arial"/>
                <w:sz w:val="18"/>
                <w:szCs w:val="18"/>
                <w:color w:val="auto"/>
              </w:rPr>
              <w:t>Less current portion of long-term debt</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(341,000)</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827,968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1,101,248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40" w:type="dxa"/>
            <w:vAlign w:val="bottom"/>
            <w:vMerge w:val="restart"/>
          </w:tcPr>
          <w:p>
            <w:pPr>
              <w:jc w:val="right"/>
              <w:ind w:right="125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94" w:name="page95"/>
    <w:bookmarkEnd w:id="94"/>
    <w:p>
      <w:pPr>
        <w:ind w:left="600"/>
        <w:spacing w:after="0"/>
        <w:rPr>
          <w:sz w:val="20"/>
          <w:szCs w:val="20"/>
          <w:color w:val="auto"/>
        </w:rPr>
      </w:pPr>
      <w:r>
        <w:rPr>
          <w:rFonts w:ascii="Arial" w:cs="Arial" w:eastAsia="Arial" w:hAnsi="Arial"/>
          <w:sz w:val="18"/>
          <w:szCs w:val="18"/>
          <w:i w:val="1"/>
          <w:iCs w:val="1"/>
          <w:color w:val="auto"/>
        </w:rPr>
        <w:t>2024 Senior Secured Notes</w:t>
      </w:r>
    </w:p>
    <w:p>
      <w:pPr>
        <w:spacing w:after="0" w:line="117"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On April 25, 2019 (the “Issue Date”), Gogo Intermediate Holdings LLC (“GIH”) (a wholly owned subsidiary of Gogo Inc.) and Gogo Finance Co. Inc. (a wholly owned subsidiary of GIH) (“Gogo Finance” and, together with GIH, the “Issuers”) issued $905 million aggregate principal amount of</w:t>
      </w:r>
    </w:p>
    <w:p>
      <w:pPr>
        <w:spacing w:after="0" w:line="267" w:lineRule="auto"/>
        <w:rPr>
          <w:sz w:val="20"/>
          <w:szCs w:val="20"/>
          <w:color w:val="auto"/>
        </w:rPr>
      </w:pPr>
      <w:r>
        <w:rPr>
          <w:rFonts w:ascii="Arial" w:cs="Arial" w:eastAsia="Arial" w:hAnsi="Arial"/>
          <w:sz w:val="17"/>
          <w:szCs w:val="17"/>
          <w:color w:val="auto"/>
        </w:rPr>
        <w:t>9.875% senior secured notes due 2024 (the “Initial Notes”) under an indenture (the “Base Indenture”), dated as of April 25, 2019, among the Issuers, us, as guarantor, certain subsidiaries of GIH, as guarantors (the “Initial 2024 Subsidiary Guarantors” and, together with us, the “Initial 2024 Guarantors”), and U.S. Bank National Association, as trustee (the “Trustee”) and collateral agent (the “Collateral Agent”). On May 3, 2019, the Issuers, the Initial 2024 Guarantors and the Trustee entered into the first supplemental indenture (the “First Supplemental Indenture”) to increase the amount of indebtedness that may be incurred under Credit Facilities (as defined in the 2024 Indenture) by GIH or its subsidiaries that are 2024 Guarantors (as defined below) by $20 million in aggregate principal amount. On March 6, 2020, the Issuers, the Initial 2024 Guarantors, Gogo Air International GmbH (an indirect subsidiary of GIH) (“Gogo International”) and the Trustee entered into a second supplemental indenture (the “Second Supplemental Indenture”) to add Gogo International as a guarantor under the 2024 Indenture. On July 31, 2020, the Issuers, the Initial 2024 Guarantors, Gogo International and Gogo Inflight Internet Canada Ltd., Gogo ATG LLC and Gogo CA Licenses LLC (collectively, the “Additional Guarantors” and, together with the Initial 2024 Guarantors and Gogo International, the “2024 Guarantors”) and the Trustee entered into a third supplemental indenture (the “Third Supplemental Indenture”) to add the Additional Guarantors as guarantors under the 2024 Indenture. On November 9, 2020, the Company, the Issuers, the 2024 Guarantors and the Trustee entered into a fourth supplemental indenture (together with the Base Indenture, the First Supplemental Indenture, the Second Supplemental Indenture and the Third Supplemental Indenture, the “2024 Indenture”) to increase the amount of indebtedness under the Credit Facilities (as defined in the Base Indenture) that may be incurred by the Issuers or the Subsidiary Guarantors (as defined in the Base Indenture) by $50 million in aggregate principal amount.</w:t>
      </w:r>
    </w:p>
    <w:p>
      <w:pPr>
        <w:spacing w:after="0" w:line="180"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On May 7, 2019, the Issuers issued an additional $20 million aggregate principal amount of 9.875% senior secured notes due 2024 (the “2019 Additional Notes”). On November 13, 2020, the Issuers issued an additional $50 million aggregate principal amount of 2024 Senior Secured Notes (the “2020 Additional Notes” and, together with the Initial Notes and the 2019 Additional Notes, the “2024 Senior Secured Notes”). The 2024 Senior Secured Notes were offered and sole in transactions exempt from registration under the Securities Act. The Initial Notes were issued at a price equal to 99.512% of their face value, the 2019 Additional Notes were issued at a price equal to 100.5% of their face value, resulting in aggregate gross proceeds of $920.7 million and the 2020 Additional Notes were issued at a price equal to 103.5% of their face value, resulting in aggregate gross proceeds of $51.8 million. Additionally, we received approximately $0.1 million for interest that accrued from April 25, 2019 through May 7, 2019 with respect to the 2019 Additional Notes that was included in our interest payment on November 1, 2019.</w:t>
      </w:r>
    </w:p>
    <w:p>
      <w:pPr>
        <w:spacing w:after="0" w:line="178"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The 2024 Senior Secured Notes are guaranteed on a senior secured basis by Gogo Inc. and all of GIH’s existing and future restricted subsidiaries (other than Gogo Finance), subject to certain exceptions. The 2024 Senior Secured Notes and the related guarantees are secured by second-priority liens on the ABL Priority Collateral (as defined below) and by first-priority liens on the Cash Flow Priority Collateral (as defined below), including pledged equity interests of the Issuers and all of GIH’s existing and future restricted subsidiaries guaranteeing the 2024 Senior Secured Notes, except for certain excluded assets and subject to permitted liens. Upon the closing of the Transaction, certain subsidiaries were released from their guarantees under the 2024 Indenture, and certain of the ABL Priority Collateral and Cash Flow Priority Collateral were released.</w:t>
      </w:r>
    </w:p>
    <w:p>
      <w:pPr>
        <w:spacing w:after="0" w:line="178" w:lineRule="exact"/>
        <w:rPr>
          <w:sz w:val="20"/>
          <w:szCs w:val="20"/>
          <w:color w:val="auto"/>
        </w:rPr>
      </w:pPr>
    </w:p>
    <w:p>
      <w:pPr>
        <w:ind w:right="380" w:firstLine="589"/>
        <w:spacing w:after="0" w:line="263" w:lineRule="auto"/>
        <w:rPr>
          <w:sz w:val="20"/>
          <w:szCs w:val="20"/>
          <w:color w:val="auto"/>
        </w:rPr>
      </w:pPr>
      <w:r>
        <w:rPr>
          <w:rFonts w:ascii="Arial" w:cs="Arial" w:eastAsia="Arial" w:hAnsi="Arial"/>
          <w:sz w:val="18"/>
          <w:szCs w:val="18"/>
          <w:color w:val="auto"/>
        </w:rPr>
        <w:t>As of December 31, 2020 and 2019, the outstanding principal amount of the 2024 Senior Secured Notes was $975 million and $925 million, respectively, the unaccreted debt discount was $1.5 million and $3.9 million, respectively, and the net carrying amount was $973.5 million and $921.1 million, respectively.</w:t>
      </w:r>
    </w:p>
    <w:p>
      <w:pPr>
        <w:spacing w:after="0" w:line="184"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We used a portion of the net proceeds from the issuance of the Initial Notes and the 2019 Additional Notes to fund the redemption of all the outstanding 2022 Senior Secured Notes (as defined below) and to repurchase $159 million aggregate principal amount of the 2020 Convertible Notes (as defined below).</w:t>
      </w:r>
    </w:p>
    <w:p>
      <w:pPr>
        <w:spacing w:after="0" w:line="184"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The 2024 Senior Secured Notes will mature on May 1, 2024. The 2024 Senior Secured Notes bear interest at a rate of 9.875% per year, payable semiannually in arrears on May 1 and November 1 of each year, beginning on November 1, 2019.</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95" w:name="page96"/>
    <w:bookmarkEnd w:id="95"/>
    <w:p>
      <w:pPr>
        <w:ind w:right="100" w:firstLine="589"/>
        <w:spacing w:after="0" w:line="254" w:lineRule="auto"/>
        <w:rPr>
          <w:sz w:val="20"/>
          <w:szCs w:val="20"/>
          <w:color w:val="auto"/>
        </w:rPr>
      </w:pPr>
      <w:r>
        <w:rPr>
          <w:rFonts w:ascii="Arial" w:cs="Arial" w:eastAsia="Arial" w:hAnsi="Arial"/>
          <w:sz w:val="18"/>
          <w:szCs w:val="18"/>
          <w:color w:val="auto"/>
        </w:rPr>
        <w:t>We paid approximately $22.6 million of origination fees and financing costs related to the issuance of the 2024 Senior Secured Notes, which have been accounted for as deferred financing costs. The deferred financing costs on our consolidated balance sheet are being amortized over the contractual term of the 2024 Senior Secured Notes using the effective interest method. Total amortization expense was $3.7 million and $2.3 million, respectively, for the years ended December 31, 2020 and 2019. Amortization expense is included in interest expense in the consolidated statements of operations. As of December 31, 2020 and 2019, the balance of unamortized deferred financing costs related to the 2024 Senior Secured Notes was $16.6 million and $19.7 million, respectively, and is included as a reduction to long-term debt in our consolidated balance sheet. See Note 10, “Interest Costs,” for additional information.</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2024 Senior Secured Notes are the senior secured indebtedness of the Issuers and are:</w:t>
      </w:r>
    </w:p>
    <w:p>
      <w:pPr>
        <w:spacing w:after="0" w:line="117" w:lineRule="exact"/>
        <w:rPr>
          <w:sz w:val="20"/>
          <w:szCs w:val="20"/>
          <w:color w:val="auto"/>
        </w:rPr>
      </w:pPr>
    </w:p>
    <w:p>
      <w:pPr>
        <w:ind w:left="1160" w:right="60" w:hanging="572"/>
        <w:spacing w:after="0" w:line="259"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effectively senior to (i) all of the Issuers’ existing and future senior unsecured indebtedness to the extent of the value of the collateral securing the 2024 Senior Secured Notes and (ii) the Issuers’ indebtedness secured on a junior priority basis by the same collateral securing the 2024 Senior Secured Notes to the extent of the value of such collateral, including the obligations under the ABL Credit Facility (as defined below) to the extent of the value of the Cash Flow Priority Collateral;</w:t>
      </w:r>
    </w:p>
    <w:p>
      <w:pPr>
        <w:spacing w:after="0" w:line="78" w:lineRule="exact"/>
        <w:rPr>
          <w:rFonts w:ascii="Arial" w:cs="Arial" w:eastAsia="Arial" w:hAnsi="Arial"/>
          <w:sz w:val="18"/>
          <w:szCs w:val="18"/>
          <w:color w:val="auto"/>
        </w:rPr>
      </w:pPr>
    </w:p>
    <w:p>
      <w:pPr>
        <w:ind w:left="1160" w:right="60" w:hanging="572"/>
        <w:spacing w:after="0" w:line="311" w:lineRule="auto"/>
        <w:tabs>
          <w:tab w:leader="none" w:pos="1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effectively equal in right of payment with the Issuers’ existing and future (i) unsecured indebtedness that is not subordinated in right of payment to the 2024 Senior Secured Notes and (ii) indebtedness secured on a junior priority basis by the same collateral securing the 2024 Senior Secured Notes, if any, in each case to the extent of any insufficiency in the collateral securing the 2024 Senior Secured Notes;</w:t>
      </w:r>
    </w:p>
    <w:p>
      <w:pPr>
        <w:spacing w:after="0" w:line="40" w:lineRule="exact"/>
        <w:rPr>
          <w:rFonts w:ascii="Arial" w:cs="Arial" w:eastAsia="Arial" w:hAnsi="Arial"/>
          <w:sz w:val="16"/>
          <w:szCs w:val="16"/>
          <w:color w:val="auto"/>
        </w:rPr>
      </w:pPr>
    </w:p>
    <w:p>
      <w:pPr>
        <w:ind w:left="1160" w:right="140" w:hanging="57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structurally senior to all of our existing and future indebtedness, including our 2022 Convertible Notes and 2020 Convertible Notes (each as defined below);</w:t>
      </w:r>
    </w:p>
    <w:p>
      <w:pPr>
        <w:spacing w:after="0" w:line="62" w:lineRule="exact"/>
        <w:rPr>
          <w:rFonts w:ascii="Arial" w:cs="Arial" w:eastAsia="Arial" w:hAnsi="Arial"/>
          <w:sz w:val="18"/>
          <w:szCs w:val="18"/>
          <w:color w:val="auto"/>
        </w:rPr>
      </w:pPr>
    </w:p>
    <w:p>
      <w:pPr>
        <w:ind w:left="1160" w:right="380" w:hanging="57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senior in right of payment to any and all of the Issuers’ future indebtedness that is subordinated in right of payment to the 2024 Senior Secured Notes;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structurally subordinated to all of the indebtedness and other liabilities of any non-2024 Guarantors (other than the Issuers); and</w:t>
      </w:r>
    </w:p>
    <w:p>
      <w:pPr>
        <w:spacing w:after="0" w:line="128" w:lineRule="exact"/>
        <w:rPr>
          <w:rFonts w:ascii="Arial" w:cs="Arial" w:eastAsia="Arial" w:hAnsi="Arial"/>
          <w:sz w:val="17"/>
          <w:szCs w:val="17"/>
          <w:color w:val="auto"/>
        </w:rPr>
      </w:pPr>
    </w:p>
    <w:p>
      <w:pPr>
        <w:ind w:left="1160" w:right="80" w:hanging="572"/>
        <w:spacing w:after="0" w:line="263"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effectively subordinated to all of our existing and future indebtedness secured on a senior priority basis by the same collateral securing the 2024 Senior Secured Notes to the extent of the value of such collateral, including the obligations under the ABL Credit Facility to the extent of the value of ABL Priority Collateral.</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Each guarantee is a senior secured obligation of such 2024 Guarantor and is:</w:t>
      </w:r>
    </w:p>
    <w:p>
      <w:pPr>
        <w:spacing w:after="0" w:line="117" w:lineRule="exact"/>
        <w:rPr>
          <w:sz w:val="20"/>
          <w:szCs w:val="20"/>
          <w:color w:val="auto"/>
        </w:rPr>
      </w:pPr>
    </w:p>
    <w:p>
      <w:pPr>
        <w:ind w:left="1160" w:right="100" w:hanging="572"/>
        <w:spacing w:after="0" w:line="279" w:lineRule="auto"/>
        <w:tabs>
          <w:tab w:leader="none" w:pos="11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effectively senior in right of payment to all existing and future (i) senior unsecured indebtedness to the extent of the value of the collateral securing such guarantee owned by such 2024 Guarantor and (ii) indebtedness secured on a junior priority basis by the same collateral securing the guarantee owned by such 2024 Guarantor to the extent of the value of the collateral securing the guarantee, including the obligations under the ABL Credit Facility to the extent of the value of the Cash Flow Priority Collateral;</w:t>
      </w:r>
    </w:p>
    <w:p>
      <w:pPr>
        <w:spacing w:after="0" w:line="63"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effectively equal in right of payment with all existing and future unsubordinated indebtedness and indebtedness secured on a junior priority basis by the same collateral securing the guarantee owned by such 2024 Guarantor, if any, in each case to the extent of any insufficiency in the collateral securing such guarantee;</w:t>
      </w:r>
    </w:p>
    <w:p>
      <w:pPr>
        <w:spacing w:after="0" w:line="75"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effectively subordinated to the obligations under the ABL Credit Facility of each 2024 Guarantor to the extent of the value of the ABL Priority Collateral owned by such 2024 Guarantor;</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effectively senior in right of payment to all existing and future subordinated indebtedness, if any, of such 2024 Guarantor; and structurally subordinated to all indebtedness and other liabilities of any non-2024 Guarantor subsidiary.</w:t>
      </w:r>
    </w:p>
    <w:p>
      <w:pPr>
        <w:spacing w:after="0" w:line="170" w:lineRule="exact"/>
        <w:rPr>
          <w:sz w:val="20"/>
          <w:szCs w:val="20"/>
          <w:color w:val="auto"/>
        </w:rPr>
      </w:pPr>
    </w:p>
    <w:p>
      <w:pPr>
        <w:ind w:right="120" w:firstLine="630"/>
        <w:spacing w:after="0" w:line="263" w:lineRule="auto"/>
        <w:rPr>
          <w:sz w:val="20"/>
          <w:szCs w:val="20"/>
          <w:color w:val="auto"/>
        </w:rPr>
      </w:pPr>
      <w:r>
        <w:rPr>
          <w:rFonts w:ascii="Arial" w:cs="Arial" w:eastAsia="Arial" w:hAnsi="Arial"/>
          <w:sz w:val="18"/>
          <w:szCs w:val="18"/>
          <w:color w:val="auto"/>
        </w:rPr>
        <w:t>The security interests in certain collateral may be released without the consent of holders of the 2024 Senior Secured Notes if such collateral is disposed of in a transaction that complies with the 2024 Indenture and related security agreements, and if any grantor of such security interests is released from its obligations with respect to the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6" w:name="page97"/>
    <w:bookmarkEnd w:id="96"/>
    <w:p>
      <w:pPr>
        <w:ind w:right="40"/>
        <w:spacing w:after="0" w:line="257" w:lineRule="auto"/>
        <w:rPr>
          <w:sz w:val="20"/>
          <w:szCs w:val="20"/>
          <w:color w:val="auto"/>
        </w:rPr>
      </w:pPr>
      <w:r>
        <w:rPr>
          <w:rFonts w:ascii="Arial" w:cs="Arial" w:eastAsia="Arial" w:hAnsi="Arial"/>
          <w:sz w:val="18"/>
          <w:szCs w:val="18"/>
          <w:color w:val="auto"/>
        </w:rPr>
        <w:t>2024 Senior Secured Notes in accordance with the applicable provisions of the 2024 Indenture and related security agreements. Under certain circumstances, GIH and the 2024 Guarantors have the right to transfer certain intellectual property assets that on the Issue Date constitute collateral securing the 2024 Senior Secured Notes or the guarantees to a restricted subsidiary organized under the laws of Switzerland, resulting in the release of such collateral. In addition, the 2024 Indenture permits indebtedness incurred under the ABL Credit Facility to be secured on a first-priority basis by certain of the same collateral that secures the 2024 Senior Secured Notes.</w:t>
      </w:r>
    </w:p>
    <w:p>
      <w:pPr>
        <w:spacing w:after="0" w:line="188"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 Issuers may redeem the 2024 Senior Secured Notes, in whole or in part, at any time prior to May 1, 2021, at a redemption price equal to 100% of the principal amount of the 2024 Senior Secured Notes redeemed plus the make-whole premium set forth in the 2024 Indenture as of, and accrued and unpaid interest, if any, to (but not including) the applicable redemption date.</w:t>
      </w:r>
    </w:p>
    <w:p>
      <w:pPr>
        <w:spacing w:after="0" w:line="184"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On or after May 1, 2021, the 2024 Senior Secured Notes will be redeemable at the following redemption prices (expressed in percentages of principal amount), plus accrued and unpaid interest, if any, to (but not including) the redemption date (subject to the right of holders of record on the relevant regular record date on or prior to the redemption date to receive interest due on an interest payment date), if redeemed during the twelve-month period commencing on May 1 of the following years:</w:t>
      </w:r>
    </w:p>
    <w:p>
      <w:pPr>
        <w:spacing w:after="0" w:line="259"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71"/>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20" w:type="dxa"/>
            <w:vAlign w:val="bottom"/>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104.938%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2022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102.469%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2023 and thereafter</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In addition, at any time prior to May 1, 2021, the Issuers may redeem up to 40% of the aggregate principal amount of the 2024 Senior Secured Notes with the proceeds of certain equity offerings at a redemption price of 109.875% of the principal amount redeemed, plus accrued and unpaid interest, if any, to (but not including) the date of redemption;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2024 Senior Secured Notes representing at least 50% of the principal amount of the 2024 Senior Secured Notes remain outstanding immediately after each such redemption.</w:t>
      </w:r>
    </w:p>
    <w:p>
      <w:pPr>
        <w:spacing w:after="0" w:line="171"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2024 Indenture contains covenants that, among other things, limit the ability of the Issuers and the 2024 Subsidiary Guarantors and, in certain circumstances, our ability, to: incur additional indebtedness; pay dividends, redeem stock or make other distributions; make investments; create restrictions on the ability of GIH’s restricted subsidiaries to pay dividends to the Issuers or make other intercompany transfers; create liens; transfer or sell assets; merge or consolidate; and enter into certain transactions with the Issuers’ affiliates.</w:t>
      </w:r>
    </w:p>
    <w:p>
      <w:pPr>
        <w:spacing w:after="0" w:line="18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2024 Indenture also provides that if we complete certain sales or transfers of assets, we are required to apply the Net Cash Proceeds (as defined in the Base Indenture) generated therefrom within 365 days to either permanently repay indebtedness, in accordance with the terms of the 2024 Indenture, or invest in property or non-current assets of a nature or type used in our, or a similar or related, business. If we do not so apply the Net Cash Proceeds from the Transaction by December 1, 2021, GIH will be required to make an offer to repurchase for cash an aggregate principal amount of the 2024 Senior Secured Notes equal to any Net Cash Proceeds not so applied as of such date, at a repurchase price equal to 100% of the principal amount thereof, plus accrued and unpaid interest, if any, to (but not including) the payment date. As a result, we have classified $341 million of the 2024 Senior Secured Notes as short-term debt on the Consolidated Balance Sheet as of December 31, 2020, representing the amount of the 2024 Senior Secured Notes potentially to be repurchased with the Net Cash Proceeds.</w:t>
      </w:r>
    </w:p>
    <w:p>
      <w:pPr>
        <w:spacing w:after="0" w:line="178"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Most of these covenants, including the covenant related to the application of Net Cash Proceeds from certain sales or transfers of assets, will cease to apply if, and for as long as, the 2024 Senior Secured Notes have investment grade ratings from both Moody’s Investment Services, Inc. and Standard &amp; Poor’s. If we or the Issuers undergo specific types of change of control accompanied by a downgrade in the rating of the 2024 Senior Secured Notes prior to May 1, 2024, GIH is required to make an offer to repurchase for cash all of the 2024 Senior Secured Notes at a repurchase price equal to 101% of the principal amount thereof, plus accrued and unpaid interest, if any, to (but not including) the payment date. The 2024 Indenture provides for events of default, which, if any of them occur, would permit or require the principal, premium, if any, and interest on all of the then outstanding 2024 Senior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color w:val="auto"/>
        </w:rPr>
        <w:t>Secured Notes issued under the 2024 Indenture to be due and payable immediately. As of December 31, 2020, no event of default had occurred.</w:t>
      </w:r>
    </w:p>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ABL Credit Facility</w:t>
      </w:r>
    </w:p>
    <w:p>
      <w:pPr>
        <w:spacing w:after="0" w:line="117"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On August 26, 2019, Gogo Inc., GIH and Gogo Finance (together GIH and Gogo Finance are referred to as the “Borrowers”) entered into a credit agreement (the “ABL Credit Agreement”) among the Borrowers, the other loan parties party thereto, the lenders party thereto, JPMorgan Chase Bank, N.A., as administrative agent (the “Administrative Agent”), and Morgan Stanley Senior Funding, Inc., as syndication agent, which provides for an asset-based revolving credit facility (the “ABL Credit Facility”) of up to $30 million, subject to borrowing base availability, and includes letter of credit and swingline sub-facilities.</w:t>
      </w:r>
    </w:p>
    <w:p>
      <w:pPr>
        <w:spacing w:after="0" w:line="188"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Borrowing availability under the ABL Credit Facility is determined by a monthly borrowing base collateral calculation that is based on specified percentages of the value of eligible accounts receivable (including eligible unbilled accounts receivable) and eligible credit card receivables, less certain reserves and subject to certain other adjustments as set forth in the ABL Credit Agreement. Availability is reduced by issuance of letters of credit as well as any borrowings. As of December 31, 2020, the facility was undrawn and $21.9 million remained available for borrowing under the terms of the agreement that would allow for the company to meet the “payment conditions” criteria as described in our ABL Credit Agreement. As of December 31, 2019, the facility was undrawn.</w:t>
      </w:r>
    </w:p>
    <w:p>
      <w:pPr>
        <w:spacing w:after="0" w:line="19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final maturity of the ABL Credit Facility is August 26, 2022, unless the aggregate outstanding principal amount of our 2022 Convertible Notes (as defined below) has not, on or prior to December 15, 2021, been repaid in full or refinanced with a new maturity date no earlier than February 26, 2023, in which case the final maturity date shall instead be December 16, 2021.</w:t>
      </w:r>
    </w:p>
    <w:p>
      <w:pPr>
        <w:spacing w:after="0" w:line="184"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Loans outstanding under the ABL Credit Facility bear interest at a floating rate measured by reference to, at the Borrowers’ option, either (i) an adjusted London inter-bank offered rate plus an applicable margin ranging from 1.50% to 2.00% per annum depending on a fixed charge coverage ratio, or</w:t>
      </w:r>
    </w:p>
    <w:p>
      <w:pPr>
        <w:ind w:right="40" w:firstLine="8"/>
        <w:spacing w:after="0" w:line="255" w:lineRule="auto"/>
        <w:tabs>
          <w:tab w:leader="none" w:pos="26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alternate base rate plus an applicable margin ranging from 0.50% to 1.00% per annum depending on a fixed charge coverage ratio. Unused commitments under the ABL Credit Facility are subject to a per annum fee ranging from 0.25% to 0.375% depending on the average quarterly usage of the revolving commitments.</w:t>
      </w:r>
    </w:p>
    <w:p>
      <w:pPr>
        <w:spacing w:after="0" w:line="190"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The obligations under the ABL Credit Agreement are guaranteed by Gogo Inc. and all of its existing and future subsidiaries, subject to certain exceptions (collectively, the “ABL Guarantors”), and such obligations and the obligations of the ABL Guarantors are secured on a (i) senior basis by a perfected security interest in all present and after-acquired inventory, accounts receivable, deposit accounts, securities accounts, and any cash or other assets in such accounts and other related assets owned by each ABL Guarantor and the proceeds of the foregoing, subject to certain exceptions (the “ABL Priority Collateral”) and (ii) junior basis by a perfected security interest in substantially all other tangible and intangible assets owned by each ABL Guarantor (the “Cash Flow Priority Collateral”).</w:t>
      </w:r>
    </w:p>
    <w:p>
      <w:pPr>
        <w:spacing w:after="0" w:line="192"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ABL Credit Agreement contains customary representations and warranties and customary affirmative and negative covenants. The negative covenants include restrictions on, among other things: the incurrence of additional indebtedness; the incurrence of additional liens; dividends or other distributions on equity; the purchase, redemption or retirement of capital stock; the payment or redemption of certain indebtedness; loans, guarantees and other investments; entering into other agreements that create restrictions on the ability to pay dividends or make other distributions on equity, make or repay certain loans, create or incur certain liens or guarantee certain indebtedness; asset sales; sale-leaseback transactions; swap agreements; consolidations or mergers; amendment of certain material documents; certain regulatory matters; Canadian pension plans; and affiliate transactions. The negative covenants are subject to customary exceptions and also permit dividends and other distributions on equity, investments, permitted acquisitions and payments or redemptions of indebtedness upon satisfaction of the “payment conditions.” The payment conditions are deemed satisfied upon Specified Availability (as defined in the ABL Credit Agreement) on the date of the designated action and Specified Availability for the prior 30-day period exceeding agreed-upon thresholds, the absence of the occurrence and continuance of any default and, in certain cases, pro forma compliance with a fixed charge coverage ratio of no less than 1.10 to 1.00.</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8" w:name="page99"/>
    <w:bookmarkEnd w:id="98"/>
    <w:p>
      <w:pPr>
        <w:ind w:right="60" w:firstLine="589"/>
        <w:spacing w:after="0" w:line="293" w:lineRule="auto"/>
        <w:rPr>
          <w:sz w:val="20"/>
          <w:szCs w:val="20"/>
          <w:color w:val="auto"/>
        </w:rPr>
      </w:pPr>
      <w:r>
        <w:rPr>
          <w:rFonts w:ascii="Arial" w:cs="Arial" w:eastAsia="Arial" w:hAnsi="Arial"/>
          <w:sz w:val="16"/>
          <w:szCs w:val="16"/>
          <w:color w:val="auto"/>
        </w:rPr>
        <w:t>The ABL Credit Agreement includes a minimum fixed charge coverage ratio test of no less than 1.00 to 1.00, which is tested only when Specified Availability is less than the greater of (A) $4.5 million and (B) 15.0% of the then effective commitments under the ABL Credit Facility, and continuing until the first day immediately succeeding the last day of the calendar month which includes the thirtieth (30th) consecutive day on which Specified Availability is in excess of such threshold so long as no default has occurred and is continuing and certain other conditions are met. As of December 31, 2020, Specified Availability had not fallen below the amount specified and therefore the minimum fixed charge coverage ratio test was not applicable. Full availability under the ABL Credit Facility may be limited by our ability to comply with the fixed charge coverage ratio in future periods.</w:t>
      </w:r>
    </w:p>
    <w:p>
      <w:pPr>
        <w:spacing w:after="0" w:line="164" w:lineRule="exact"/>
        <w:rPr>
          <w:sz w:val="20"/>
          <w:szCs w:val="20"/>
          <w:color w:val="auto"/>
        </w:rPr>
      </w:pPr>
    </w:p>
    <w:p>
      <w:pPr>
        <w:jc w:val="both"/>
        <w:ind w:right="260" w:firstLine="589"/>
        <w:spacing w:after="0" w:line="263" w:lineRule="auto"/>
        <w:rPr>
          <w:sz w:val="20"/>
          <w:szCs w:val="20"/>
          <w:color w:val="auto"/>
        </w:rPr>
      </w:pPr>
      <w:r>
        <w:rPr>
          <w:rFonts w:ascii="Arial" w:cs="Arial" w:eastAsia="Arial" w:hAnsi="Arial"/>
          <w:sz w:val="18"/>
          <w:szCs w:val="18"/>
          <w:color w:val="auto"/>
        </w:rPr>
        <w:t>The ABL Credit Agreement provides for events of default, which, if any of them occurs, would permit or require the principal, premium, if any, and interest on all of the then outstanding obligations under the ABL Credit Facility to be due and payable immediately and the commitments under the ABL Credit Facility to be terminated.</w:t>
      </w:r>
    </w:p>
    <w:p>
      <w:pPr>
        <w:spacing w:after="0" w:line="184"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On August 26, 2019, the Borrowers and the ABL Guarantors entered into an ABL collateral agreement (the “ABL Collateral Agreement”), in favor of the Administrative Agent, whereby the Borrowers and the ABL Guarantors granted a security interest in substantially all tangible and intangible assets of each Borrower and each ABL Guarantor, to secure all obligations of the Borrowers and the ABL Guarantors under the ABL Credit Agreement, and U.S. Bank National Association, as cash flow collateral representative, and JPMorgan Chase Bank, N.A., as ABL agent, entered into a crossing lien intercreditor agreement (the “Intercreditor Agreement”) to govern the relative priority of liens on the collateral that secures the ABL Credit Agreement and the 2024 Senior Secured Notes and certain other rights, priorities and interests.</w:t>
      </w:r>
    </w:p>
    <w:p>
      <w:pPr>
        <w:spacing w:after="0" w:line="178"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On November 30, 2020, the Issuers entered into a limited consent to the ABL Credit Agreement with the financial institutions listed on the signature pages thereof and JPMorgan Chase Bank, N.A., as administrative agent, pursuant to which the Lenders (as defined in the ABL Credit Agreement) provided consent to the consummation of the Transaction.</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2022 Senior Secured Notes</w:t>
      </w:r>
    </w:p>
    <w:p>
      <w:pPr>
        <w:spacing w:after="0" w:line="225"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On June 14, 2016, the Issuers issued $525 million aggregate principal amount of 12.500% senior secured notes due 2022 (the “Original 2022 Senior Secured Notes”) under an Indenture, dated as of June 14, 2016 (the “Original Indenture”), among the Issuers, us, as guarantor, certain subsidiaries of GIH, as guarantors (the “2022 Subsidiary Guarantors” and, together with us, the “2022 Guarantors”), and U.S. Bank National Association, as Trustee and as Collateral Agent. On January 3, 2017, the Issuers issued $65 million aggregate principal amount of additional 12.500% senior secured notes due 2022 (the “January 2017 Additional Notes”). The January 2017 Additional Notes were issued at a price equal to 108% of their face value resulting in gross proceeds of $70.2 million. On September 20, 2017, the Issuers, the 2022 Guarantors and the Trustee entered into the first supplemental indenture (the “Supplemental Indenture” and, together with the Original Indenture, the “Indenture”) to modify certain covenants, as discussed below. On September 25, 2017, the Issuers issued $100 million aggregate principal amount of additional 12.500% senior secured notes due 2022 (the “September 2017 Additional Notes”). The September 2017 Additional Notes were issued at a price equal to 113% of their face value resulting in gross proceeds of $113.0 million. Additionally, we received approximately $2.9 million for interest that accrued from July 1, 2017 through September 24, 2017, which was paid in our January 2018 interest payment. We refer to the Original 2022 Senior Secured Notes, the January 2017 Additional Notes and the September 2017 Additional Notes collectively as the “2022 Senior Secured Notes.”</w:t>
      </w:r>
    </w:p>
    <w:p>
      <w:pPr>
        <w:spacing w:after="0" w:line="179"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On April 15, 2019, the Issuers elected to call for redemption in full all $690 million aggregate principal amount outstanding of the 2022 Senior Secured Notes in accordance with the terms of the Indenture. The redemption was conditioned, among other things, upon the incurrence of indebtedness in connection with the issuance of the 2024 Senior Secured Notes or from one or more other sources, in an amount satisfactory to the Issuers which condition was satisfied by the issuance of the 2024 Senior Secured Notes. On April 25, 2019, the Issuers irrevocably deposited, or caused to be irrevocably deposited, with the Trustee funds solely for the benefit of the holders of the 2022 Senior Secured Notes, cash in an amount sufficient to pay principal, premium, if any, and accrued interest on the 2022 Senior Secured Notes to, but not including, the date of redemption and all other sums payable under the Indenture. The Trustee executed and delivered an acknowledgement of satisfaction, discharge and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9" w:name="page100"/>
    <w:bookmarkEnd w:id="99"/>
    <w:p>
      <w:pPr>
        <w:ind w:right="160"/>
        <w:spacing w:after="0" w:line="273" w:lineRule="auto"/>
        <w:rPr>
          <w:sz w:val="20"/>
          <w:szCs w:val="20"/>
          <w:color w:val="auto"/>
        </w:rPr>
      </w:pPr>
      <w:r>
        <w:rPr>
          <w:rFonts w:ascii="Arial" w:cs="Arial" w:eastAsia="Arial" w:hAnsi="Arial"/>
          <w:sz w:val="17"/>
          <w:szCs w:val="17"/>
          <w:color w:val="auto"/>
        </w:rPr>
        <w:t>release, dated as of April 25, 2019, among other documents, with respect to the satisfaction and discharge of the 2022 Senior Secured Notes. On May 15, 2019, the 2022 Senior Secured Notes were fully redeemed in accordance with the terms of the Indenture, and the amount deposited with the Trustee on April 25, 2019 was paid to the holders of the 2022 Senior Secured Notes. The make-whole premium paid in connection with the redemption was $51.4 million and we wrote off the remaining unamortized deferred financing costs of $9.1 million and the remaining debt premium of $11.7 million relating to the 2022 Senior Secured Notes in connection with the redemption thereof, which together are included in the loss on extinguishment of debt in our consolidated statements of operations for the year ended December 31, 2019.</w:t>
      </w:r>
    </w:p>
    <w:p>
      <w:pPr>
        <w:spacing w:after="0" w:line="178" w:lineRule="exact"/>
        <w:rPr>
          <w:sz w:val="20"/>
          <w:szCs w:val="20"/>
          <w:color w:val="auto"/>
        </w:rPr>
      </w:pPr>
    </w:p>
    <w:p>
      <w:pPr>
        <w:ind w:right="180" w:firstLine="589"/>
        <w:spacing w:after="0" w:line="296" w:lineRule="auto"/>
        <w:rPr>
          <w:sz w:val="20"/>
          <w:szCs w:val="20"/>
          <w:color w:val="auto"/>
        </w:rPr>
      </w:pPr>
      <w:r>
        <w:rPr>
          <w:rFonts w:ascii="Arial" w:cs="Arial" w:eastAsia="Arial" w:hAnsi="Arial"/>
          <w:sz w:val="16"/>
          <w:szCs w:val="16"/>
          <w:color w:val="auto"/>
        </w:rPr>
        <w:t>We paid approximately $15.9 million of aggregate origination fees and financing costs related to the issuance of the 2022 Senior Secured Notes which were accounted for as deferred financing costs. Additionally, we paid approximately $1.4 million of consent fees in connection with the Supplemental Indenture, which partially offset the net carrying value of the 2022 Senior Secured Notes. Total amortization expense was $0.9 million and $2.6 million, respectively, for the years ended December 31, 2019 and 2018. Amortization expense is included in interest expense in the consolidated statements of operations. As noted above, the remaining unamortized deferred financing costs were written off as of May 15, 2019.</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2022 Convertible Notes</w:t>
      </w:r>
    </w:p>
    <w:p>
      <w:pPr>
        <w:spacing w:after="0" w:line="225"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 The 2022 Convertible Notes mature on May 15, 2022, unless earlier repurchased or converted into shares of our common stock under certain circumstances described below. Upon maturity, we have the option to settle our obligation through cash, shares of common stock, or a combination of cash and shares of common stock. We pay interest on the 2022 Convertible Notes semi-annually in arrears on May 15 and November 15 of each year, beginning on May 15, 2019.</w:t>
      </w:r>
    </w:p>
    <w:p>
      <w:pPr>
        <w:spacing w:after="0" w:line="178"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The $237.8 million of proceeds received from the issuance of the 2022 Convertible Notes was initially allocated between long-term debt (the liability component) at $188.7 million and additional paid-in capital (the equity component) at $49.1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If we or the note holders elect not to settle the debt through conversion, we must settle the 2022 Convertible Notes at face value. Therefore, the liability component will be accreted up to the face value of the 2022 Convertible Notes, which will result in additional non-cash interest expense being recognized in the consolidated statements of operations through the 2022 Convertible Notes maturity date (see Note 8, “Interest Costs,” for additional information). The effective interest rate on the 2022 Convertible Notes, including accretion of the notes to par and debt issuance cost amortization, was approximately 13.6%. The equity component will not be remeasured as long as it continues to meet the conditions for equity classification.</w:t>
      </w:r>
    </w:p>
    <w:p>
      <w:pPr>
        <w:spacing w:after="0" w:line="194"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As of December 31, 2020 and 2019, the outstanding principal on the 2022 Convertible Notes was $237.8 million, the unaccreted debt discount was $22.7 million and $35.9 million, respectively, and the net carrying amount of the liability component was $215.1 million and $201.9 million, respectively.</w:t>
      </w:r>
    </w:p>
    <w:p>
      <w:pPr>
        <w:spacing w:after="0" w:line="124"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We incurred approximately $8.1 million of issuance costs related to the issuance of the 2022 Convertible Notes, of which $6.4 million and $1.7 million were recorded to deferred financing costs and additional paid-in capital, respectively, in proportion to the allocation of the proceeds of the 2022 Convertible Notes. The $6.4 million recorded as deferred financing costs on our consolidated balance sheet is being amortized over the term of the 2022 Convertible Notes using the effective interest method. Total amortization expense was $1.8 million and $1.7 million, respectively, for the years ended December 31, 2020 and 2019. Amortization expense is included in interest expense in the consolidated statements of operations. As of December 31, 2020 and 2019, the balance of unamortized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0" w:name="page101"/>
    <w:bookmarkEnd w:id="100"/>
    <w:p>
      <w:pPr>
        <w:ind w:right="140"/>
        <w:spacing w:after="0" w:line="277" w:lineRule="auto"/>
        <w:rPr>
          <w:sz w:val="20"/>
          <w:szCs w:val="20"/>
          <w:color w:val="auto"/>
        </w:rPr>
      </w:pPr>
      <w:r>
        <w:rPr>
          <w:rFonts w:ascii="Arial" w:cs="Arial" w:eastAsia="Arial" w:hAnsi="Arial"/>
          <w:sz w:val="18"/>
          <w:szCs w:val="18"/>
          <w:color w:val="auto"/>
        </w:rPr>
        <w:t>deferred financing costs related to the 2022 Convertible Notes was $2.7 million and $4.5 million, respectively, and is included as a reduction to long-term debt in our consolidated balance sheets. See Note 8, “Interest Costs,” for additional information.</w:t>
      </w:r>
    </w:p>
    <w:p>
      <w:pPr>
        <w:spacing w:after="0" w:line="170"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The 2022 Convertible Notes had an initial conversion rate of 166.6667 common shares per $1,000 principal amount of 2022 Convertible Notes, which is equivalent to an initial conversion price of approximately $6.00 per share of our common stock. Upon conversion, we currently expect to settle in shares for the amount of the 2022 Convertible Notes then outstanding. We may elect to deliver cash in lieu of all or a portion of such shares. The shares of common stock subject to conversion are excluded from diluted earnings per share calculations under the if-converted method as their impact is anti-dilutive.</w:t>
      </w:r>
    </w:p>
    <w:p>
      <w:pPr>
        <w:spacing w:after="0" w:line="188"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Holders may convert the 2022 Convertible Notes, at their option, in multiples of $1,000 principal amount at any time prior to January 15, 2022, but only in the following circumstances:</w:t>
      </w:r>
    </w:p>
    <w:p>
      <w:pPr>
        <w:spacing w:after="0" w:line="62" w:lineRule="exact"/>
        <w:rPr>
          <w:sz w:val="20"/>
          <w:szCs w:val="20"/>
          <w:color w:val="auto"/>
        </w:rPr>
      </w:pPr>
    </w:p>
    <w:p>
      <w:pPr>
        <w:ind w:left="1160" w:hanging="572"/>
        <w:spacing w:after="0" w:line="259"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any fiscal quarter beginning after the fiscal quarter ended December 31, 2018, if the last reported sale price of our common stock for at least 20 trading days (whether or not consecutive) during the last 30 consecutive trading days of the immediately preceding fiscal quarter is greater than or equal to 130% of the conversion price of the 2022 Convertible Notes on each applicable trading day (the “Stock Price Condition”);</w:t>
      </w:r>
    </w:p>
    <w:p>
      <w:pPr>
        <w:spacing w:after="0" w:line="78" w:lineRule="exact"/>
        <w:rPr>
          <w:rFonts w:ascii="Arial" w:cs="Arial" w:eastAsia="Arial" w:hAnsi="Arial"/>
          <w:sz w:val="18"/>
          <w:szCs w:val="18"/>
          <w:color w:val="auto"/>
        </w:rPr>
      </w:pPr>
    </w:p>
    <w:p>
      <w:pPr>
        <w:jc w:val="both"/>
        <w:ind w:left="1160" w:right="120" w:hanging="572"/>
        <w:spacing w:after="0" w:line="263"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the five-business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(the “Notes Price Condition”); or</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The Stock Price Condition was triggered for the period from October 1, 2020 through December 31, 2020. Regardless of whether any of the foregoing circumstances occurs, a holder may convert its 2022 Convertible Notes, in multiples of $1,000 principal amount, at any time on or after January 15, 2022 until the second scheduled trading day immediately preceding May 15, 2022.</w:t>
      </w:r>
    </w:p>
    <w:p>
      <w:pPr>
        <w:spacing w:after="0" w:line="184"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In addition, if we undergo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we will increase the conversion rate in certain circumstances for a holder who elects to convert its 2022 Convertible Notes in connection with such make-whole fundamental change.</w:t>
      </w:r>
    </w:p>
    <w:p>
      <w:pPr>
        <w:spacing w:after="0" w:line="26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2020 Convertible Notes</w:t>
      </w:r>
    </w:p>
    <w:p>
      <w:pPr>
        <w:spacing w:after="0" w:line="225"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On March 3, 2015, we issued $340.0 million aggregate principal amount of 3.75% Convertible Senior Notes due 2020 (the “2020 Convertible Notes”) in a private offering to qualified institutional buyers, pursuant to Rule 144A under the Securities Act. We granted an option to the initial purchasers to purchase up to an additional $60.0 million aggregate principal amount of 2020 Convertible Notes to cover over-allotments, of which $21.9 million was subsequently exercised during March 2015, resulting in a total issuance of $361.9 million aggregate principal amount of 2020 Convertible Notes. We paid interest on the 2020 Convertible Notes semi-annually in arrears on March 1 and September 1 of each year. Interest payments began on September 1, 2015. In November 2018, in connection with the issuance of the 2022 Convertible Notes, we repurchased $199.9 million outstanding principal amount of the 2020 Convertible Notes at par value. As a result of the repurchase, the carrying value of the 2020 Convertible Notes was adjusted by $17.9 million to face value and included in the loss on extinguishment of debt in our consolidated statements of operations for the year ended December 31, 2018.</w:t>
      </w:r>
    </w:p>
    <w:p>
      <w:pPr>
        <w:spacing w:after="0" w:line="196"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On April 18, 2019, we commenced a cash tender offer (the “Tender Offer”) to purchase any and all of the outstanding 2020 Convertible Notes for an amount equal to $1,000 per $1,000 principal amount of 2020 Convertible Notes purchased, plus accrued and unpaid interest from the last interest payment date on the 2020 Convertible Notes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1" w:name="page102"/>
    <w:bookmarkEnd w:id="101"/>
    <w:p>
      <w:pPr>
        <w:ind w:right="20"/>
        <w:spacing w:after="0" w:line="296" w:lineRule="auto"/>
        <w:rPr>
          <w:sz w:val="20"/>
          <w:szCs w:val="20"/>
          <w:color w:val="auto"/>
        </w:rPr>
      </w:pPr>
      <w:r>
        <w:rPr>
          <w:rFonts w:ascii="Arial" w:cs="Arial" w:eastAsia="Arial" w:hAnsi="Arial"/>
          <w:sz w:val="16"/>
          <w:szCs w:val="16"/>
          <w:color w:val="auto"/>
        </w:rPr>
        <w:t>to, but not including, the date of payment for the 2020 Convertible Notes accepted in the Tender Offer. The Tender Offer expired on May 15, 2019, resulting in the purchase of $159.0 million of outstanding 2020 Convertible Notes. As a result of the Tender Offer, the carrying value of the 2020 Convertible Notes was adjusted by $8.5 million to face value and unamortized deferred financing costs of $0.6 million were expensed. These two items are included in the loss on extinguishment of debt in our consolidated statements of operations for the year ended December 31, 2019. During September 2019, we purchased an additional $0.5 million of outstanding 2020 Convertible Notes. The 2020 Convertible Notes matured on March 1, 2020.</w:t>
      </w:r>
    </w:p>
    <w:p>
      <w:pPr>
        <w:spacing w:after="0" w:line="161"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The $361.9 million of proceeds received from the issuance of the 2020 Convertible Notes was initially allocated between long-term debt (the liability component) at $261.9 million and additional paid-in capital (the equity component) at $100.0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2020 Convertible Notes. If we or the holders of 2020 Convertible Notes elected not to settle the debt through conversion, we were required to settle the 2020 Convertible Notes at face value. Therefore, the liability component was accreted up to the face value of the 2020 Convertible Notes, which resulted in additional non-cash interest expense being recognized in the consolidated statements of operations (see Note 8, “Interest Costs,” for additional information). The effective interest rate on the 2020 Convertible Notes, including accretion of the notes to par and debt issuance cost amortization, was approximately 11.5%.</w:t>
      </w:r>
    </w:p>
    <w:p>
      <w:pPr>
        <w:spacing w:after="0" w:line="196"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As of December 31, 2019, the outstanding principal on the 2020 Convertible Notes was $2.5 million, the unamortized debt discount was zero, and the net carrying amount of the liability component was $2.5 million.</w:t>
      </w:r>
    </w:p>
    <w:p>
      <w:pPr>
        <w:spacing w:after="0" w:line="170"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incurred approximately $10.4 million of issuance costs related to the issuance of the 2020 Convertible Notes, of which $7.5 million and $2.9 million were recorded to deferred financing costs and additional paid-in capital, respectively, in proportion to the allocation of the proceeds of the 2020 Convertible Notes. The $7.5 million recorded as deferred financing costs on our consolidated balance sheet is being amortized over the term of the 2020 Convertible Notes using the effective interest method. Total amortization expense of the deferred financing costs was zero, $0.2 million and $1.4 million, respectively, for the years ended December 31, 2020, 2019 and 2018. Amortization expense is included in interest expense in the consolidated statements of operations. As of December 31, 2019, the balance of unamortized deferred financing costs related to the 2020 Convertible Notes was zero. See Note 10, “Interest Costs,” for additional information.</w:t>
      </w:r>
    </w:p>
    <w:p>
      <w:pPr>
        <w:spacing w:after="0" w:line="195"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The 2020 Convertible Notes had an initial conversion rate of 41.9274 common shares per $1,000 principal amount of 2020 Convertible Notes, which was equivalent to an initial conversion price of approximately $23.85 per share of our common stock. We had the option to elect to deliver cash in lieu of all or a portion of such shares. The shares of common stock subject to conversion were excluded from diluted earnings per share calculations under the if-converted method as their impact is anti-dilutive.</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Forward Transactions</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connection with the issuance of the 2020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187"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In the future, we may request that the 2022 Forward Counterparty modify the settlement terms of the Amended and Restated Forward Transaction to provide that, in lieu of the delivery of the applicable number of shares of our common stock to us to settle a portion of the Amended and Restated Forward Transaction in accordance with its terms, the 2022 Forward Counterparty would pay to us the net proceeds from the sale by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spacing w:after="0" w:line="289" w:lineRule="auto"/>
        <w:rPr>
          <w:sz w:val="20"/>
          <w:szCs w:val="20"/>
          <w:color w:val="auto"/>
        </w:rPr>
      </w:pPr>
      <w:r>
        <w:rPr>
          <w:rFonts w:ascii="Arial" w:cs="Arial" w:eastAsia="Arial" w:hAnsi="Arial"/>
          <w:sz w:val="16"/>
          <w:szCs w:val="16"/>
          <w:color w:val="auto"/>
        </w:rPr>
        <w:t>2022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2022 Forward Counterparty is not required to effect any such settlement in cash in lieu of delivery of shares of our common stock and, if we request that the 2022 Forward Counterparty effect any such settlement, it will be entered into in the discretion of the 2022 Forward Counterparty on such terms as may be mutually agreed upon at the time. As a result of the Forward Transactions, total shareholders’ equity within our consolidated balance sheet was reduced by approximately $140 million. Between March 5-6, 2020, approximately 5.1 million shares of common stock were delivered to us in connection with the Forward Transactions. The approximately 2.1 million shares of common stock remaining under the Amended and Restated Forward Transactions are treated as retired shares for basic and diluted EPS purposes although they remain legally outstanding.</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jc w:val="both"/>
        <w:ind w:right="80" w:firstLine="589"/>
        <w:spacing w:after="0" w:line="259" w:lineRule="auto"/>
        <w:rPr>
          <w:sz w:val="20"/>
          <w:szCs w:val="20"/>
          <w:color w:val="auto"/>
        </w:rPr>
      </w:pPr>
      <w:r>
        <w:rPr>
          <w:rFonts w:ascii="Arial" w:cs="Arial" w:eastAsia="Arial" w:hAnsi="Arial"/>
          <w:sz w:val="18"/>
          <w:szCs w:val="18"/>
          <w:color w:val="auto"/>
        </w:rPr>
        <w:t>Our restricted cash balances were $0.5 million and $7.7 million, respectively, as of December 31, 2020 and 2019. The balance as of December 31, 2020 consisted of a letter of credit issued for the benefit of the landlord of our current office location in Broomfield, CO. The balance as of December 31, 2019 primarily consisted of letters of credit for office locations in Broomfield, CO, Chicago, IL and Bensenville, IL as well as cash restricted to repay the remaining balance of the 2020 Convertible Notes which matured in March 2020.</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Costs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The following is a summary of our interest costs for the years ended December 31, 2020, 2019 and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400" w:type="dxa"/>
            <w:vAlign w:val="bottom"/>
            <w:vMerge w:val="restart"/>
          </w:tcPr>
          <w:p>
            <w:pPr>
              <w:spacing w:after="0"/>
              <w:rPr>
                <w:sz w:val="20"/>
                <w:szCs w:val="20"/>
                <w:color w:val="auto"/>
              </w:rPr>
            </w:pPr>
            <w:r>
              <w:rPr>
                <w:rFonts w:ascii="Arial" w:cs="Arial" w:eastAsia="Arial" w:hAnsi="Arial"/>
                <w:sz w:val="18"/>
                <w:szCs w:val="18"/>
                <w:color w:val="auto"/>
              </w:rPr>
              <w:t>Interest costs charged to expense</w:t>
            </w:r>
          </w:p>
        </w:tc>
        <w:tc>
          <w:tcPr>
            <w:tcW w:w="3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shd w:val="clear" w:color="auto" w:fill="CFF0FC"/>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105,988</w:t>
            </w:r>
          </w:p>
        </w:tc>
        <w:tc>
          <w:tcPr>
            <w:tcW w:w="100" w:type="dxa"/>
            <w:vAlign w:val="bottom"/>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shd w:val="clear" w:color="auto" w:fill="CFF0FC"/>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110,502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shd w:val="clear" w:color="auto" w:fill="CFF0FC"/>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100,085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Amortization of deferred financing costs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5,892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5,260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4,280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60"/>
              <w:spacing w:after="0"/>
              <w:rPr>
                <w:sz w:val="20"/>
                <w:szCs w:val="20"/>
                <w:color w:val="auto"/>
              </w:rPr>
            </w:pPr>
            <w:r>
              <w:rPr>
                <w:rFonts w:ascii="Arial" w:cs="Arial" w:eastAsia="Arial" w:hAnsi="Arial"/>
                <w:sz w:val="18"/>
                <w:szCs w:val="18"/>
                <w:color w:val="auto"/>
              </w:rPr>
              <w:t>Accretion of debt discount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60"/>
              <w:spacing w:after="0"/>
              <w:rPr>
                <w:sz w:val="20"/>
                <w:szCs w:val="20"/>
                <w:color w:val="auto"/>
              </w:rPr>
            </w:pPr>
            <w:r>
              <w:rPr>
                <w:rFonts w:ascii="Arial" w:cs="Arial" w:eastAsia="Arial" w:hAnsi="Arial"/>
                <w:sz w:val="18"/>
                <w:szCs w:val="18"/>
                <w:color w:val="auto"/>
              </w:rPr>
              <w:t>Amortization of debt premium</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125,787</w:t>
            </w:r>
          </w:p>
        </w:tc>
        <w:tc>
          <w:tcPr>
            <w:tcW w:w="100" w:type="dxa"/>
            <w:vAlign w:val="bottom"/>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130,473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w w:val="99"/>
              </w:rPr>
              <w:t>Interest costs capitalized to property and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60"/>
              <w:spacing w:after="0"/>
              <w:rPr>
                <w:sz w:val="20"/>
                <w:szCs w:val="20"/>
                <w:color w:val="auto"/>
              </w:rPr>
            </w:pPr>
            <w:r>
              <w:rPr>
                <w:rFonts w:ascii="Arial" w:cs="Arial" w:eastAsia="Arial" w:hAnsi="Arial"/>
                <w:sz w:val="18"/>
                <w:szCs w:val="18"/>
                <w:color w:val="auto"/>
              </w:rPr>
              <w:t>equipment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Interest costs capitalized to software</w:t>
            </w:r>
          </w:p>
        </w:tc>
        <w:tc>
          <w:tcPr>
            <w:tcW w:w="3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Total interest costs</w:t>
            </w:r>
          </w:p>
        </w:tc>
        <w:tc>
          <w:tcPr>
            <w:tcW w:w="3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131,092</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 and Preferred Stock</w:t>
      </w:r>
    </w:p>
    <w:p>
      <w:pPr>
        <w:spacing w:after="0" w:line="378"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b w:val="1"/>
          <w:bCs w:val="1"/>
          <w:i w:val="1"/>
          <w:iCs w:val="1"/>
          <w:color w:val="221E1F"/>
        </w:rPr>
        <w:t xml:space="preserve">Common Stock – </w:t>
      </w:r>
      <w:r>
        <w:rPr>
          <w:rFonts w:ascii="Arial" w:cs="Arial" w:eastAsia="Arial" w:hAnsi="Arial"/>
          <w:sz w:val="18"/>
          <w:szCs w:val="18"/>
          <w:color w:val="221E1F"/>
        </w:rPr>
        <w:t>We have one class of common stock outstanding as of December 31, 2020 and 2019. Our common stock is junior to our</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E1F"/>
        </w:rPr>
        <w:t xml:space="preserve">preferred stock, if and when issued. </w:t>
      </w:r>
      <w:r>
        <w:rPr>
          <w:rFonts w:ascii="Arial" w:cs="Arial" w:eastAsia="Arial" w:hAnsi="Arial"/>
          <w:sz w:val="18"/>
          <w:szCs w:val="18"/>
          <w:color w:val="000000"/>
        </w:rPr>
        <w:t>Our Third Amended and Restated Certificate of Incorporation authorizes a total of 500,000,000 shares of common</w:t>
      </w:r>
      <w:r>
        <w:rPr>
          <w:rFonts w:ascii="Arial" w:cs="Arial" w:eastAsia="Arial" w:hAnsi="Arial"/>
          <w:sz w:val="18"/>
          <w:szCs w:val="18"/>
          <w:color w:val="221E1F"/>
        </w:rPr>
        <w:t xml:space="preserve"> </w:t>
      </w:r>
      <w:r>
        <w:rPr>
          <w:rFonts w:ascii="Arial" w:cs="Arial" w:eastAsia="Arial" w:hAnsi="Arial"/>
          <w:sz w:val="18"/>
          <w:szCs w:val="18"/>
          <w:color w:val="000000"/>
        </w:rPr>
        <w:t>stock with a par value of $0.0001 per share.</w:t>
      </w:r>
    </w:p>
    <w:p>
      <w:pPr>
        <w:spacing w:after="0" w:line="184"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b w:val="1"/>
          <w:bCs w:val="1"/>
          <w:i w:val="1"/>
          <w:iCs w:val="1"/>
          <w:color w:val="221E1F"/>
        </w:rPr>
        <w:t xml:space="preserve">Preferred Stock </w:t>
      </w:r>
      <w:r>
        <w:rPr>
          <w:rFonts w:ascii="Arial" w:cs="Arial" w:eastAsia="Arial" w:hAnsi="Arial"/>
          <w:sz w:val="17"/>
          <w:szCs w:val="17"/>
          <w:color w:val="000000"/>
        </w:rPr>
        <w:t>– Our Third Amended and Restated Certificate of Incorporation authorizes 100,000,000 shares of new preferred stock with a par</w:t>
      </w:r>
      <w:r>
        <w:rPr>
          <w:rFonts w:ascii="Arial" w:cs="Arial" w:eastAsia="Arial" w:hAnsi="Arial"/>
          <w:sz w:val="17"/>
          <w:szCs w:val="17"/>
          <w:b w:val="1"/>
          <w:bCs w:val="1"/>
          <w:i w:val="1"/>
          <w:iCs w:val="1"/>
          <w:color w:val="221E1F"/>
        </w:rPr>
        <w:t xml:space="preserve"> </w:t>
      </w:r>
      <w:r>
        <w:rPr>
          <w:rFonts w:ascii="Arial" w:cs="Arial" w:eastAsia="Arial" w:hAnsi="Arial"/>
          <w:sz w:val="17"/>
          <w:szCs w:val="17"/>
          <w:color w:val="000000"/>
        </w:rPr>
        <w:t>value of $0.01 per share. No shares of this new preferred stock have been issued. The preferred stock may be issued, from time to time, in one or more series as authorized by the Board of Directors, which has the authority to designate the terms of any series of preferred stock issued, including, without limitation, the number of shares to be included in such series of preferred stock, any dividend, redemption,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conversion rights or voting powers and the designations, preferences and relative participating, optional or other special rights.</w:t>
      </w:r>
    </w:p>
    <w:p>
      <w:pPr>
        <w:spacing w:after="0" w:line="225"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b w:val="1"/>
          <w:bCs w:val="1"/>
          <w:i w:val="1"/>
          <w:iCs w:val="1"/>
          <w:color w:val="221E1F"/>
        </w:rPr>
        <w:t xml:space="preserve">Shareholder Rights Plan </w:t>
      </w:r>
      <w:r>
        <w:rPr>
          <w:rFonts w:ascii="Arial" w:cs="Arial" w:eastAsia="Arial" w:hAnsi="Arial"/>
          <w:sz w:val="18"/>
          <w:szCs w:val="18"/>
          <w:color w:val="221E1F"/>
        </w:rPr>
        <w:t>– On September 23, 2020, our Board of Directors adopted a Section 382 Rights Agreement (the “Rights Agreement”),</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E1F"/>
        </w:rPr>
        <w:t>between the Company and Computershare Trust Company, N.A., as rights agent, and declared a dividend of one preferred share purchase right (a “Right”) for each outstanding share of common stock of the Company, outstanding on the record date of October 2, 2020, to the stockholders of record on that date. Each Right entitles the registered holder to purchase from the Company one one-thousandth of a share of Series A Preferred Stock, par value $0.01 per share, of the Company (the “Preferred Shares”) at a price of $38.40 per one one-thousandth of a Preferred Share represented by a Right, subject to adjustment.</w:t>
      </w:r>
    </w:p>
    <w:p>
      <w:pPr>
        <w:spacing w:after="0" w:line="19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221E1F"/>
        </w:rPr>
        <w:t>The purpose of the Rights Agreement is to facilitate the Company’s ability to preserve its net operating losses (“NOLs”) and certain other tax attributes in order to be able to offset potential future income taxes for federal income tax purposes. The Company’s ability to use its NOLs and other tax attributes would be substantially limited if it experiences an “ownership change,” as such term is defined in Section 382 of the Internal Revenue Code of 1986, as amended (the “Code”). A company generally experiences an ownership change if the percentage of the value of its stock owned by certain “5-percent shareholders,” as such term is defined in Section 382 of the Code, increases by more than 50 percentage points over a rolling three-year period. The Rights Agreement is intended to reduce the likelihood of an ownership change under Section 382 of the Code by deterring any person or group from acquiring beneficial ownership of 4.9% or more of the shares of the Company’s common stock then-outstanding.</w:t>
      </w:r>
    </w:p>
    <w:p>
      <w:pPr>
        <w:spacing w:after="0" w:line="177" w:lineRule="exact"/>
        <w:rPr>
          <w:sz w:val="20"/>
          <w:szCs w:val="20"/>
          <w:color w:val="auto"/>
        </w:rPr>
      </w:pPr>
    </w:p>
    <w:p>
      <w:pPr>
        <w:ind w:right="80" w:firstLine="589"/>
        <w:spacing w:after="0" w:line="288" w:lineRule="auto"/>
        <w:rPr>
          <w:sz w:val="20"/>
          <w:szCs w:val="20"/>
          <w:color w:val="auto"/>
        </w:rPr>
      </w:pPr>
      <w:r>
        <w:rPr>
          <w:rFonts w:ascii="Arial" w:cs="Arial" w:eastAsia="Arial" w:hAnsi="Arial"/>
          <w:sz w:val="16"/>
          <w:szCs w:val="16"/>
          <w:color w:val="221E1F"/>
        </w:rPr>
        <w:t>Initially, the Rights will be attached to all shares of the Company’s common stock. Until the Distribution Date (as defined below), the Rights will be transferred with and only with the common stock. As long as the Rights are attached to the common stock, the Company will issue one Right with each new share of common stock so that all such shares of common stock will have Rights attached (subject to certain limited exceptions). The Rights will separate and begin trading separately from the common stock, and Right certificates will be caused to evidence the Rights, on the earlier to occur of (i) the close of business on the tenth day following public disclosure of facts indicating that a person or group has acquired beneficial ownership of 4.9% or more of the outstanding common stock (an “Acquiring Person”) (or, in the event the Board of Directors determines to effect an exchange in accordance with Section 24 of the Rights Agreement and the Board of Directors determines that a later date is advisable, then such later date) and (ii) the close of business on the tenth business day (or such later date as may be determined by action of the Board of Directors prior to such time as any person becomes an Acquiring Person) following the commencement of a tender offer or exchange offer the consummation of which would result in the beneficial ownership by a person or group of 4.9% or more of the outstanding common stock (the earlier of such dates, the “Distribution Date”).</w:t>
      </w:r>
    </w:p>
    <w:p>
      <w:pPr>
        <w:spacing w:after="0" w:line="168"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221E1F"/>
        </w:rPr>
        <w:t>The Rights are not exercisable until the Distribution Date. The Rights will expire on the earliest to occur of (i) the close of business on the day following the certification of the voting results of the Company’s 2021 annual meeting of stockholders, if at such stockholder meeting or any other meeting of stockholders of the Company duly held prior to such meeting, a proposal to ratify the Rights Agreement has not been passed by the requisite vote of the Company’s stockholders, (ii) the date on which the Board of Directors determines in its sole discretion that (x) the Rights Agreement is no longer necessary for the preservation of material valuable NOLs or tax attributes or (y) the NOLs and tax attributes have been fully utilized and may no longer be carried forward and (iii) the close of business on September 23, 2023.</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4" w:name="page105"/>
    <w:bookmarkEnd w:id="104"/>
    <w:p>
      <w:pPr>
        <w:ind w:left="580" w:hanging="572"/>
        <w:spacing w:after="0"/>
        <w:tabs>
          <w:tab w:leader="none" w:pos="5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A three-tier fair value hierarchy has been established which prioritizes the inputs used in measuring fair value. These tiers include:</w:t>
      </w:r>
    </w:p>
    <w:p>
      <w:pPr>
        <w:spacing w:after="0" w:line="117" w:lineRule="exact"/>
        <w:rPr>
          <w:rFonts w:ascii="Arial" w:cs="Arial" w:eastAsia="Arial" w:hAnsi="Arial"/>
          <w:sz w:val="18"/>
          <w:szCs w:val="18"/>
          <w:b w:val="1"/>
          <w:bCs w:val="1"/>
          <w:color w:val="auto"/>
        </w:rPr>
      </w:pPr>
    </w:p>
    <w:p>
      <w:pPr>
        <w:ind w:left="1160" w:hanging="572"/>
        <w:spacing w:after="0"/>
        <w:tabs>
          <w:tab w:leader="none" w:pos="1160" w:val="left"/>
        </w:tabs>
        <w:numPr>
          <w:ilvl w:val="1"/>
          <w:numId w:val="59"/>
        </w:numPr>
        <w:rPr>
          <w:rFonts w:ascii="Arial" w:cs="Arial" w:eastAsia="Arial" w:hAnsi="Arial"/>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defined as observable inputs such as quoted prices in active markets;</w:t>
      </w:r>
    </w:p>
    <w:p>
      <w:pPr>
        <w:spacing w:after="0" w:line="107" w:lineRule="exact"/>
        <w:rPr>
          <w:rFonts w:ascii="Arial" w:cs="Arial" w:eastAsia="Arial" w:hAnsi="Arial"/>
          <w:sz w:val="20"/>
          <w:szCs w:val="20"/>
          <w:color w:val="auto"/>
        </w:rPr>
      </w:pPr>
    </w:p>
    <w:p>
      <w:pPr>
        <w:ind w:left="1160" w:right="100" w:hanging="572"/>
        <w:spacing w:after="0" w:line="250" w:lineRule="auto"/>
        <w:tabs>
          <w:tab w:leader="none" w:pos="1160" w:val="left"/>
        </w:tabs>
        <w:numPr>
          <w:ilvl w:val="1"/>
          <w:numId w:val="59"/>
        </w:numPr>
        <w:rPr>
          <w:rFonts w:ascii="Arial" w:cs="Arial" w:eastAsia="Arial" w:hAnsi="Arial"/>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defined as observable inputs other than Level 1 prices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inputs that are observable or can be corroborated by observable market data for substantially the full term of the assets or liabilities; and</w:t>
      </w:r>
    </w:p>
    <w:p>
      <w:pPr>
        <w:spacing w:after="0" w:line="85" w:lineRule="exact"/>
        <w:rPr>
          <w:rFonts w:ascii="Arial" w:cs="Arial" w:eastAsia="Arial" w:hAnsi="Arial"/>
          <w:sz w:val="20"/>
          <w:szCs w:val="20"/>
          <w:color w:val="auto"/>
        </w:rPr>
      </w:pPr>
    </w:p>
    <w:p>
      <w:pPr>
        <w:ind w:left="1160" w:right="880" w:hanging="572"/>
        <w:spacing w:after="0" w:line="250" w:lineRule="auto"/>
        <w:tabs>
          <w:tab w:leader="none" w:pos="1160" w:val="left"/>
        </w:tabs>
        <w:numPr>
          <w:ilvl w:val="1"/>
          <w:numId w:val="59"/>
        </w:numPr>
        <w:rPr>
          <w:rFonts w:ascii="Arial" w:cs="Arial" w:eastAsia="Arial" w:hAnsi="Arial"/>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defined as unobservable inputs in which little or no market data exists, therefore requiring an entity to develop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Our financial assets and liabilities that are disclosed but not measured at fair value include the 2024 Senior Secured Notes and the 2022 Convertible Notes, and, while outstanding, the 2020 Convertible Notes, which are reflected on the consolidated balance sheet at cost. The fair value measurements are classified as Level 2 within the fair value hierarchy since they are based on quoted market prices of our instruments in markets that are not active. We estimated the fair value of the 2024 Senior Secured Notes, the 2022 Convertible Notes, and, while outstanding, the 2020 Convertible Notes by calculating the upfront cash payment a market participant would require to assume these obligations. The upfront cash payments used in the calculations of fair value on our December 31, 2020 consolidated balance sheet, excluding any issuance costs, are the amount that a market participant would be willing to lend at December 31, 2020 to an entity with a credit rating similar to ours and that would allow such an entity to achieve sufficient cash inflows to cover the scheduled cash outflows under the 2024 Senior Secured Notes, the 2022 Convertible Notes, and, while outstanding, the 2020 Convertible Notes. The calculated fair value of the 2022 Convertible Notes, and, while outstanding, the 2020 Convertible Notes is correlated to our stock price and as a result, significant changes to our stock price could have a significant impact on their calculated fair values.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The fair value and carrying value of long-term debt as of December 31, 2020 and 2019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5"/>
              </w:rPr>
              <w:t xml:space="preserve">Fair Value </w:t>
            </w:r>
            <w:r>
              <w:rPr>
                <w:rFonts w:ascii="Arial" w:cs="Arial" w:eastAsia="Arial" w:hAnsi="Arial"/>
                <w:sz w:val="12"/>
                <w:szCs w:val="12"/>
                <w:i w:val="1"/>
                <w:iCs w:val="1"/>
                <w:color w:val="auto"/>
                <w:w w:val="95"/>
              </w:rPr>
              <w:t>(1)</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rPr>
              <w:t>Carrying</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8"/>
              </w:rPr>
              <w:t xml:space="preserve">Fair Value </w:t>
            </w:r>
            <w:r>
              <w:rPr>
                <w:rFonts w:ascii="Arial" w:cs="Arial" w:eastAsia="Arial" w:hAnsi="Arial"/>
                <w:sz w:val="12"/>
                <w:szCs w:val="12"/>
                <w:i w:val="1"/>
                <w:iCs w:val="1"/>
                <w:color w:val="auto"/>
                <w:w w:val="98"/>
              </w:rPr>
              <w:t>(1)</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2024</w:t>
            </w:r>
          </w:p>
        </w:tc>
        <w:tc>
          <w:tcPr>
            <w:tcW w:w="2080" w:type="dxa"/>
            <w:vAlign w:val="bottom"/>
          </w:tcPr>
          <w:p>
            <w:pPr>
              <w:ind w:left="20"/>
              <w:spacing w:after="0"/>
              <w:rPr>
                <w:sz w:val="20"/>
                <w:szCs w:val="20"/>
                <w:color w:val="auto"/>
              </w:rPr>
            </w:pPr>
            <w:r>
              <w:rPr>
                <w:rFonts w:ascii="Arial" w:cs="Arial" w:eastAsia="Arial" w:hAnsi="Arial"/>
                <w:sz w:val="18"/>
                <w:szCs w:val="18"/>
                <w:color w:val="auto"/>
              </w:rPr>
              <w:t>Senior Secured Notes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1,045,000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973,539</w:t>
            </w:r>
            <w:r>
              <w:rPr>
                <w:rFonts w:ascii="Arial" w:cs="Arial" w:eastAsia="Arial" w:hAnsi="Arial"/>
                <w:sz w:val="15"/>
                <w:szCs w:val="15"/>
                <w:i w:val="1"/>
                <w:iCs w:val="1"/>
                <w:color w:val="auto"/>
              </w:rPr>
              <w:t>(2)</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982,000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921,137</w:t>
            </w:r>
            <w:r>
              <w:rPr>
                <w:rFonts w:ascii="Arial" w:cs="Arial" w:eastAsia="Arial" w:hAnsi="Arial"/>
                <w:sz w:val="15"/>
                <w:szCs w:val="15"/>
                <w:i w:val="1"/>
                <w:iCs w:val="1"/>
                <w:color w:val="auto"/>
              </w:rPr>
              <w:t>(2)</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2022</w:t>
            </w:r>
          </w:p>
        </w:tc>
        <w:tc>
          <w:tcPr>
            <w:tcW w:w="20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404,000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215,122</w:t>
            </w:r>
            <w:r>
              <w:rPr>
                <w:rFonts w:ascii="Arial" w:cs="Arial" w:eastAsia="Arial" w:hAnsi="Arial"/>
                <w:sz w:val="15"/>
                <w:szCs w:val="15"/>
                <w:i w:val="1"/>
                <w:iCs w:val="1"/>
                <w:color w:val="auto"/>
              </w:rPr>
              <w:t>(3)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297,000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201,868</w:t>
            </w:r>
            <w:r>
              <w:rPr>
                <w:rFonts w:ascii="Arial" w:cs="Arial" w:eastAsia="Arial" w:hAnsi="Arial"/>
                <w:sz w:val="15"/>
                <w:szCs w:val="15"/>
                <w:i w:val="1"/>
                <w:iCs w:val="1"/>
                <w:color w:val="auto"/>
              </w:rPr>
              <w:t>(3)</w:t>
            </w:r>
          </w:p>
        </w:tc>
        <w:tc>
          <w:tcPr>
            <w:tcW w:w="0" w:type="dxa"/>
            <w:vAlign w:val="bottom"/>
          </w:tcPr>
          <w:p>
            <w:pPr>
              <w:spacing w:after="0"/>
              <w:rPr>
                <w:sz w:val="1"/>
                <w:szCs w:val="1"/>
                <w:color w:val="auto"/>
              </w:rPr>
            </w:pPr>
          </w:p>
        </w:tc>
      </w:t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4"/>
              </w:rPr>
              <w:t>2020</w:t>
            </w:r>
          </w:p>
        </w:tc>
        <w:tc>
          <w:tcPr>
            <w:tcW w:w="20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2,498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2,498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880" w:hanging="440"/>
        <w:spacing w:after="0"/>
        <w:tabs>
          <w:tab w:leader="none" w:pos="880" w:val="left"/>
        </w:tabs>
        <w:numPr>
          <w:ilvl w:val="1"/>
          <w:numId w:val="60"/>
        </w:numPr>
        <w:rPr>
          <w:rFonts w:ascii="Arial" w:cs="Arial" w:eastAsia="Arial" w:hAnsi="Arial"/>
          <w:sz w:val="18"/>
          <w:szCs w:val="18"/>
          <w:i w:val="1"/>
          <w:iCs w:val="1"/>
          <w:color w:val="auto"/>
        </w:rPr>
      </w:pPr>
      <w:r>
        <w:rPr>
          <w:rFonts w:ascii="Arial" w:cs="Arial" w:eastAsia="Arial" w:hAnsi="Arial"/>
          <w:sz w:val="18"/>
          <w:szCs w:val="18"/>
          <w:color w:val="auto"/>
        </w:rPr>
        <w:t>Fair value amounts are rounded to the nearest million, except for the 2020 Convertible Notes as of December 31, 2019.</w:t>
      </w:r>
    </w:p>
    <w:p>
      <w:pPr>
        <w:spacing w:after="0" w:line="23" w:lineRule="exact"/>
        <w:rPr>
          <w:rFonts w:ascii="Arial" w:cs="Arial" w:eastAsia="Arial" w:hAnsi="Arial"/>
          <w:sz w:val="18"/>
          <w:szCs w:val="18"/>
          <w:i w:val="1"/>
          <w:iCs w:val="1"/>
          <w:color w:val="auto"/>
        </w:rPr>
      </w:pPr>
    </w:p>
    <w:p>
      <w:pPr>
        <w:ind w:left="880" w:right="420" w:hanging="440"/>
        <w:spacing w:after="0" w:line="250" w:lineRule="auto"/>
        <w:tabs>
          <w:tab w:leader="none" w:pos="880" w:val="left"/>
        </w:tabs>
        <w:numPr>
          <w:ilvl w:val="1"/>
          <w:numId w:val="60"/>
        </w:numPr>
        <w:rPr>
          <w:rFonts w:ascii="Arial" w:cs="Arial" w:eastAsia="Arial" w:hAnsi="Arial"/>
          <w:sz w:val="18"/>
          <w:szCs w:val="18"/>
          <w:i w:val="1"/>
          <w:iCs w:val="1"/>
          <w:color w:val="auto"/>
        </w:rPr>
      </w:pPr>
      <w:r>
        <w:rPr>
          <w:rFonts w:ascii="Arial" w:cs="Arial" w:eastAsia="Arial" w:hAnsi="Arial"/>
          <w:sz w:val="18"/>
          <w:szCs w:val="18"/>
          <w:color w:val="auto"/>
        </w:rPr>
        <w:t>Carrying value of the 2024 Senior Secured Notes reflects the unaccreted debt discount of $1.5 million and $3.9 million, respectively, as of December 31, 2020 and 2019. See Note 9, “Long-Term Debt and Other Liabilities,” for further information.</w:t>
      </w:r>
    </w:p>
    <w:p>
      <w:pPr>
        <w:ind w:left="880" w:right="480" w:hanging="440"/>
        <w:spacing w:after="0" w:line="290" w:lineRule="auto"/>
        <w:tabs>
          <w:tab w:leader="none" w:pos="880" w:val="left"/>
        </w:tabs>
        <w:numPr>
          <w:ilvl w:val="1"/>
          <w:numId w:val="60"/>
        </w:numPr>
        <w:rPr>
          <w:rFonts w:ascii="Arial" w:cs="Arial" w:eastAsia="Arial" w:hAnsi="Arial"/>
          <w:sz w:val="17"/>
          <w:szCs w:val="17"/>
          <w:i w:val="1"/>
          <w:iCs w:val="1"/>
          <w:color w:val="auto"/>
        </w:rPr>
      </w:pPr>
      <w:r>
        <w:rPr>
          <w:rFonts w:ascii="Arial" w:cs="Arial" w:eastAsia="Arial" w:hAnsi="Arial"/>
          <w:sz w:val="17"/>
          <w:szCs w:val="17"/>
          <w:color w:val="auto"/>
        </w:rPr>
        <w:t>Carrying value of the 2022 Convertible Notes reflects the unaccreted debt discount of $22.6 million and $35.9 million, respectively, as of December 31, 2020 and 2019. See Note 9, “Long-Term Debt and Other Liabilities,” for further information.</w:t>
      </w:r>
    </w:p>
    <w:p>
      <w:pPr>
        <w:spacing w:after="0" w:line="265" w:lineRule="exact"/>
        <w:rPr>
          <w:rFonts w:ascii="Arial" w:cs="Arial" w:eastAsia="Arial" w:hAnsi="Arial"/>
          <w:sz w:val="17"/>
          <w:szCs w:val="17"/>
          <w:i w:val="1"/>
          <w:iCs w:val="1"/>
          <w:color w:val="auto"/>
        </w:rPr>
      </w:pPr>
    </w:p>
    <w:p>
      <w:pPr>
        <w:ind w:left="580" w:hanging="572"/>
        <w:spacing w:after="0"/>
        <w:tabs>
          <w:tab w:leader="none" w:pos="5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and Major Customers</w:t>
      </w:r>
    </w:p>
    <w:p>
      <w:pPr>
        <w:spacing w:after="0" w:line="117"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Business Segments – </w:t>
      </w:r>
      <w:r>
        <w:rPr>
          <w:rFonts w:ascii="Arial" w:cs="Arial" w:eastAsia="Arial" w:hAnsi="Arial"/>
          <w:sz w:val="16"/>
          <w:szCs w:val="16"/>
          <w:color w:val="auto"/>
        </w:rPr>
        <w:t>Prior to the closing of the Transaction, we historically reported our results of operations in three segments: Commercial</w:t>
      </w:r>
    </w:p>
    <w:p>
      <w:pPr>
        <w:spacing w:after="0" w:line="50" w:lineRule="exact"/>
        <w:rPr>
          <w:sz w:val="20"/>
          <w:szCs w:val="20"/>
          <w:color w:val="auto"/>
        </w:rPr>
      </w:pPr>
    </w:p>
    <w:p>
      <w:pPr>
        <w:ind w:right="640"/>
        <w:spacing w:after="0" w:line="255" w:lineRule="auto"/>
        <w:rPr>
          <w:sz w:val="20"/>
          <w:szCs w:val="20"/>
          <w:color w:val="auto"/>
        </w:rPr>
      </w:pPr>
      <w:r>
        <w:rPr>
          <w:rFonts w:ascii="Arial" w:cs="Arial" w:eastAsia="Arial" w:hAnsi="Arial"/>
          <w:sz w:val="18"/>
          <w:szCs w:val="18"/>
          <w:color w:val="auto"/>
        </w:rPr>
        <w:t>Aviation-North America (“CA-NA”), Commercial Aviation-Rest of World (“CA-ROW”) and Business Aviation. We managed and reported these businesses separately, as they generally did not share the same customer base, had different products, pricing and expense structures, and measured operating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5" w:name="page106"/>
    <w:bookmarkEnd w:id="105"/>
    <w:p>
      <w:pPr>
        <w:ind w:right="80"/>
        <w:spacing w:after="0" w:line="275" w:lineRule="auto"/>
        <w:rPr>
          <w:sz w:val="20"/>
          <w:szCs w:val="20"/>
          <w:color w:val="auto"/>
        </w:rPr>
      </w:pPr>
      <w:r>
        <w:rPr>
          <w:rFonts w:ascii="Arial" w:cs="Arial" w:eastAsia="Arial" w:hAnsi="Arial"/>
          <w:sz w:val="17"/>
          <w:szCs w:val="17"/>
          <w:color w:val="auto"/>
        </w:rPr>
        <w:t>performance and allocated resources on different bases. As a result of the Transaction, we operate in a single distinct business segment, Business Aviation, for which operating performance is measured and resources are allocated on a consolidated basis, consistent with the financial information regularly reviewed by the chief operating decision maker, our CEO. Therefore, we now report one business segment, comprised of our continuing operations. Our revenue from customers domiciled outside of the United States accounted for less than 10% of our consolidated revenue for the years ended December 31, 2020, 2019 and 2018. Our assets outside of the United States as of December 31, 2020 and 2019 were immaterial.</w:t>
      </w:r>
    </w:p>
    <w:p>
      <w:pPr>
        <w:spacing w:after="0" w:line="172" w:lineRule="exact"/>
        <w:rPr>
          <w:sz w:val="20"/>
          <w:szCs w:val="20"/>
          <w:color w:val="auto"/>
        </w:rPr>
      </w:pPr>
    </w:p>
    <w:p>
      <w:pPr>
        <w:ind w:right="240" w:firstLine="589"/>
        <w:spacing w:after="0" w:line="282" w:lineRule="auto"/>
        <w:rPr>
          <w:sz w:val="20"/>
          <w:szCs w:val="20"/>
          <w:color w:val="auto"/>
        </w:rPr>
      </w:pPr>
      <w:r>
        <w:rPr>
          <w:rFonts w:ascii="Arial" w:cs="Arial" w:eastAsia="Arial" w:hAnsi="Arial"/>
          <w:sz w:val="18"/>
          <w:szCs w:val="18"/>
          <w:b w:val="1"/>
          <w:bCs w:val="1"/>
          <w:color w:val="auto"/>
        </w:rPr>
        <w:t xml:space="preserve">Major Customers </w:t>
      </w:r>
      <w:r>
        <w:rPr>
          <w:rFonts w:ascii="Arial" w:cs="Arial" w:eastAsia="Arial" w:hAnsi="Arial"/>
          <w:sz w:val="18"/>
          <w:szCs w:val="18"/>
          <w:color w:val="auto"/>
        </w:rPr>
        <w:t>– With respect to continuing operations, no customer accounted for more than 10% of revenue for the years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2020, 2019 and 2018 or more than 5% of accounts receivable as of December 31, 2020 or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62"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As of December 31, 2020, we maintained three stock-based incentive compensation plans: the Gogo Inc. 2016 Omnibus Incentive Plan (the “2016 Omnibus Plan”), the Gogo Inc. 2013 Omnibus Incentive Plan (the “2013 Omnibus Plan”), and The Aircell Holdings Inc. Stock Option Plan, collectively referred to as the “Stock Plans,” as well as an ESPP, as defined and discussed below. Our Stock Plans provide for the grant of both equity and cash awards, including non-qualified stock options, incentive stock options, stock appreciation rights, performance awards (shares and units), restricted stock, restricted stock units (“RSUs”), deferred share units (“DSUs”) and other stock-based awards and dividend equivalents to eligible employees, directors and consultants, as determined by the Compensation Committee.</w:t>
      </w:r>
    </w:p>
    <w:p>
      <w:pPr>
        <w:spacing w:after="0" w:line="192"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color w:val="auto"/>
        </w:rPr>
        <w:t>Under the Stock Plans, 27,709,128 shares of common stock were reserved for issuance. As of December 31, 2020, 6,923,988 shares remained available for grant under our Stock Plans. The contractual life of granted options is 10 years. Except as otherwise approved by the Compensation Committee, all options that are unvested as of the date on which a recipient’s employment terminates, as well as vested options that are not exercised within a prescribed period following termination, are forfeited and become available for future grants. Options granted beginning in 2010 but prior to the Option Exchange (as defined below) include options that (a) vest in specified increments over a four-year period, (b) vest on the date of grant for certain options granted to non-employee members of our board of directors or (c) vest on the first anniversary of the date of grant for certain options granted to non-employee members of our board of directors. In June 2020, we consummated an option exchange program that was approved by our stockholders at the annual meeting held on April 29, 2020 in which previously outstanding eligible options (which excluded options granted for service by non-executive members of our board of directors) to purchase 6,664,773 shares of common stock were surrendered and cancelled and we granted replacement</w:t>
      </w:r>
    </w:p>
    <w:p>
      <w:pPr>
        <w:spacing w:after="0" w:line="6"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options (the “Replacement Options”) in exchange for the tendered options. Of the 4,168,455 options we granted in 2020, 2,896,383 were Replacement Options. The Replacement Options vest in a single installment on December 31, 2022.</w:t>
      </w:r>
    </w:p>
    <w:p>
      <w:pPr>
        <w:spacing w:after="0" w:line="185"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Beginning in 2013, we granted RSUs, some of which vest in equal annual increments over a four-year period and others in one installment on December 31, 2022. Vested RSUs will be settled, at the discretion of the Compensation Committee, in shares of our common stock or in cash equal to the value of the applicable number of shares of our common stock on the vesting date. We also granted DSUs to directors, some of which vest on the grant date and others on the first anniversary of the grant date. DSUs will be settled in shares of our common stock 90 days after the director ceases to serve as a director. Beginning in 2014, we granted restricted stock, which vests in equal annual increments over a four-year period. These shares are deemed issued as of the date of grant, but not outstanding until they vest. We intend to settle RSU, DSU and restricted stock awards in stock and we have the shares available to do so.</w:t>
      </w:r>
    </w:p>
    <w:p>
      <w:pPr>
        <w:spacing w:after="0" w:line="195"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In 2016, 2017, 2018 and 2019, the Compensation Committee approved grants of both non-market-based awards that time vested as described above, and market-based awards. The market-based awards vested based on achieving one or more predetermined market conditions and completion of the same time-based vesting requirements applicable to the non-market-based awards. In 2020, the market-based awards granted in 2016 expired without the market-based condition having been achieved and the Compensation Committee approved removing the market-based vesting conditions in the awards granted in 2017, 2018 and 2019. As of December 31, 2020, there are no awards that contain market-based conditions.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6" w:name="page107"/>
    <w:bookmarkEnd w:id="106"/>
    <w:p>
      <w:pPr>
        <w:ind w:firstLine="589"/>
        <w:spacing w:after="0" w:line="270" w:lineRule="auto"/>
        <w:rPr>
          <w:sz w:val="20"/>
          <w:szCs w:val="20"/>
          <w:color w:val="auto"/>
        </w:rPr>
      </w:pPr>
      <w:r>
        <w:rPr>
          <w:rFonts w:ascii="Arial" w:cs="Arial" w:eastAsia="Arial" w:hAnsi="Arial"/>
          <w:sz w:val="17"/>
          <w:szCs w:val="17"/>
          <w:color w:val="auto"/>
        </w:rPr>
        <w:t xml:space="preserve">In August 2020, we communicated to employees that the 2020 annual bonus, which historically has been paid in cash, was expected to be paid in shares of Gogo common stock, with the bonus payment amount to be determined based upon our performance against established goals. As a result, stock-based compensation expense corresponding to the value of the shares of Gogo common stock expected to be distributed was to be recorded through the expected grant date in March 2021, and a pro rata amount was recognized through September 30, 2020. The Compensation Committee reserved the discretion to change the method of payment of this bonus from stock to cash, which it did in the fourth quarter of 2020 following the closing of the Transaction. As a result, the stock-based compensation expense related to this bonus plan was reversed and the amount of the expected cash bonus payout was recorded as a charge to expense in the fourth quarter of 2020.The following is a summary of our stock-based compensation expense included in the consolidated statements of operations, excluding the stock-based compensation expense for discontinued operations, for the years December 31, 2020, 2019 and 2018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Engineering, design and development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1,754</w:t>
            </w:r>
          </w:p>
        </w:tc>
        <w:tc>
          <w:tcPr>
            <w:tcW w:w="8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5,851</w:t>
            </w:r>
          </w:p>
        </w:tc>
        <w:tc>
          <w:tcPr>
            <w:tcW w:w="80" w:type="dxa"/>
            <w:vAlign w:val="bottom"/>
            <w:shd w:val="clear" w:color="auto" w:fill="CFF0FC"/>
          </w:tcPr>
          <w:p>
            <w:pPr>
              <w:spacing w:after="0"/>
              <w:rPr>
                <w:sz w:val="19"/>
                <w:szCs w:val="19"/>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w:t>
            </w: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A summary of stock option activity (which includes amounts for both continuing and discontinued operations) for the year ended December 31, 2020 is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278"/>
              <w:spacing w:after="0"/>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06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93"/>
              </w:rPr>
              <w:t>Price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04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97"/>
              </w:rPr>
              <w:t>Per</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4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060" w:type="dxa"/>
            <w:vAlign w:val="bottom"/>
          </w:tcPr>
          <w:p>
            <w:pPr>
              <w:jc w:val="center"/>
              <w:ind w:right="298"/>
              <w:spacing w:after="0"/>
              <w:rPr>
                <w:sz w:val="20"/>
                <w:szCs w:val="20"/>
                <w:color w:val="auto"/>
              </w:rPr>
            </w:pPr>
            <w:r>
              <w:rPr>
                <w:rFonts w:ascii="Arial" w:cs="Arial" w:eastAsia="Arial" w:hAnsi="Arial"/>
                <w:sz w:val="14"/>
                <w:szCs w:val="14"/>
                <w:b w:val="1"/>
                <w:bCs w:val="1"/>
                <w:color w:val="auto"/>
                <w:w w:val="92"/>
              </w:rPr>
              <w:t>Share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i w:val="1"/>
                <w:iCs w:val="1"/>
                <w:color w:val="auto"/>
                <w:w w:val="92"/>
              </w:rPr>
              <w:t>(in thousands)</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 January 1, 2020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11,074,504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11.70</w:t>
            </w:r>
          </w:p>
        </w:tc>
        <w:tc>
          <w:tcPr>
            <w:tcW w:w="122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1,272,072</w:t>
            </w:r>
          </w:p>
        </w:tc>
        <w:tc>
          <w:tcPr>
            <w:tcW w:w="1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8"/>
              <w:spacing w:after="0"/>
              <w:rPr>
                <w:sz w:val="20"/>
                <w:szCs w:val="20"/>
                <w:color w:val="auto"/>
              </w:rPr>
            </w:pPr>
            <w:r>
              <w:rPr>
                <w:rFonts w:ascii="Arial" w:cs="Arial" w:eastAsia="Arial" w:hAnsi="Arial"/>
                <w:sz w:val="18"/>
                <w:szCs w:val="18"/>
                <w:color w:val="auto"/>
              </w:rPr>
              <w:t>2.54</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Issued in option exchange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2,896,383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2.61</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(87,104)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8"/>
              <w:spacing w:after="0"/>
              <w:rPr>
                <w:sz w:val="20"/>
                <w:szCs w:val="20"/>
                <w:color w:val="auto"/>
              </w:rPr>
            </w:pPr>
            <w:r>
              <w:rPr>
                <w:rFonts w:ascii="Arial" w:cs="Arial" w:eastAsia="Arial" w:hAnsi="Arial"/>
                <w:sz w:val="18"/>
                <w:szCs w:val="18"/>
                <w:color w:val="auto"/>
              </w:rPr>
              <w:t>3.00</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(6,779,837)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12.12</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Expired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(2,929,350)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8"/>
              <w:spacing w:after="0"/>
              <w:rPr>
                <w:sz w:val="20"/>
                <w:szCs w:val="20"/>
                <w:color w:val="auto"/>
              </w:rPr>
            </w:pPr>
            <w:r>
              <w:rPr>
                <w:rFonts w:ascii="Arial" w:cs="Arial" w:eastAsia="Arial" w:hAnsi="Arial"/>
                <w:sz w:val="18"/>
                <w:szCs w:val="18"/>
                <w:color w:val="auto"/>
              </w:rPr>
              <w:t>12.00</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 December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5,446,668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ind w:right="118"/>
              <w:spacing w:after="0"/>
              <w:rPr>
                <w:sz w:val="20"/>
                <w:szCs w:val="20"/>
                <w:color w:val="auto"/>
              </w:rPr>
            </w:pPr>
            <w:r>
              <w:rPr>
                <w:rFonts w:ascii="Arial" w:cs="Arial" w:eastAsia="Arial" w:hAnsi="Arial"/>
                <w:sz w:val="18"/>
                <w:szCs w:val="18"/>
                <w:color w:val="auto"/>
              </w:rPr>
              <w:t>4.19</w:t>
            </w:r>
          </w:p>
        </w:tc>
        <w:tc>
          <w:tcPr>
            <w:tcW w:w="122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8"/>
                <w:szCs w:val="18"/>
                <w:color w:val="auto"/>
              </w:rPr>
              <w:t>7.33</w:t>
            </w: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18"/>
                <w:szCs w:val="18"/>
                <w:color w:val="auto"/>
              </w:rPr>
              <w:t>32,458</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Options exercisable – December 31, 2020</w:t>
            </w: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18"/>
              <w:spacing w:after="0"/>
              <w:rPr>
                <w:sz w:val="20"/>
                <w:szCs w:val="20"/>
                <w:color w:val="auto"/>
              </w:rPr>
            </w:pPr>
            <w:r>
              <w:rPr>
                <w:rFonts w:ascii="Arial" w:cs="Arial" w:eastAsia="Arial" w:hAnsi="Arial"/>
                <w:sz w:val="18"/>
                <w:szCs w:val="18"/>
                <w:color w:val="auto"/>
              </w:rPr>
              <w:t>7.01</w:t>
            </w:r>
          </w:p>
        </w:tc>
        <w:tc>
          <w:tcPr>
            <w:tcW w:w="1220" w:type="dxa"/>
            <w:vAlign w:val="bottom"/>
            <w:vMerge w:val="restart"/>
          </w:tcPr>
          <w:p>
            <w:pPr>
              <w:jc w:val="right"/>
              <w:ind w:right="1"/>
              <w:spacing w:after="0"/>
              <w:rPr>
                <w:sz w:val="20"/>
                <w:szCs w:val="20"/>
                <w:color w:val="auto"/>
              </w:rPr>
            </w:pPr>
            <w:r>
              <w:rPr>
                <w:rFonts w:ascii="Arial" w:cs="Arial" w:eastAsia="Arial" w:hAnsi="Arial"/>
                <w:sz w:val="18"/>
                <w:szCs w:val="18"/>
                <w:color w:val="auto"/>
              </w:rPr>
              <w:t>5.59</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40"/>
              <w:spacing w:after="0"/>
              <w:rPr>
                <w:sz w:val="20"/>
                <w:szCs w:val="20"/>
                <w:color w:val="auto"/>
              </w:rPr>
            </w:pPr>
            <w:r>
              <w:rPr>
                <w:rFonts w:ascii="Arial" w:cs="Arial" w:eastAsia="Arial" w:hAnsi="Arial"/>
                <w:sz w:val="18"/>
                <w:szCs w:val="18"/>
                <w:color w:val="auto"/>
              </w:rPr>
              <w:t>7,739</w:t>
            </w: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1,876,337</w:t>
            </w:r>
          </w:p>
        </w:tc>
        <w:tc>
          <w:tcPr>
            <w:tcW w:w="1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As of December 31, 2020, total unrecognized compensation costs related to unvested stock options were approximately $5 million which is expected to be recognized over a weighted average period of approximately 1.8 years. The total grant date fair value of stock options vested in 2020, 2019 and 2018 was approximately $16 million, $8 million and $9 million, respectively.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07" w:name="page108"/>
    <w:bookmarkEnd w:id="107"/>
    <w:p>
      <w:pPr>
        <w:ind w:right="520" w:firstLine="589"/>
        <w:spacing w:after="0" w:line="308" w:lineRule="auto"/>
        <w:rPr>
          <w:sz w:val="20"/>
          <w:szCs w:val="20"/>
          <w:color w:val="auto"/>
        </w:rPr>
      </w:pPr>
      <w:r>
        <w:rPr>
          <w:rFonts w:ascii="Arial" w:cs="Arial" w:eastAsia="Arial" w:hAnsi="Arial"/>
          <w:sz w:val="17"/>
          <w:szCs w:val="17"/>
          <w:color w:val="auto"/>
        </w:rPr>
        <w:t>We estimate the fair value of stock options using the Black-Scholes option-pricing model. Weighted average assumptions used and weighted average grant date fair value of stock options granted for the years ended December 31, 2020, 2019, and 2018 were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6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Approximate risk-free interest rate</w:t>
            </w:r>
          </w:p>
        </w:tc>
        <w:tc>
          <w:tcPr>
            <w:tcW w:w="7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Average expected life (years)</w:t>
            </w: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6.02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7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N/A</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Volatility</w:t>
            </w: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66.8%</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49.2%</w:t>
            </w:r>
          </w:p>
        </w:tc>
      </w:tr>
      <w:tr>
        <w:trPr>
          <w:trHeight w:val="215"/>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of common</w:t>
            </w:r>
          </w:p>
        </w:tc>
        <w:tc>
          <w:tcPr>
            <w:tcW w:w="7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underlying options granted</w:t>
            </w:r>
          </w:p>
        </w:tc>
        <w:tc>
          <w:tcPr>
            <w:tcW w:w="140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2.59</w:t>
            </w: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4.71</w:t>
            </w:r>
          </w:p>
        </w:tc>
        <w:tc>
          <w:tcPr>
            <w:tcW w:w="2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80" w:type="dxa"/>
            <w:vAlign w:val="bottom"/>
            <w:shd w:val="clear" w:color="auto" w:fill="CFF0FC"/>
          </w:tcPr>
          <w:p>
            <w:pPr>
              <w:spacing w:after="0"/>
              <w:rPr>
                <w:sz w:val="20"/>
                <w:szCs w:val="20"/>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rPr>
              <w:t>Weighted average grant date fair value of stock</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1.56</w:t>
            </w:r>
          </w:p>
        </w:tc>
        <w:tc>
          <w:tcPr>
            <w:tcW w:w="200" w:type="dxa"/>
            <w:vAlign w:val="bottom"/>
          </w:tcPr>
          <w:p>
            <w:pPr>
              <w:spacing w:after="0"/>
              <w:rPr>
                <w:sz w:val="20"/>
                <w:szCs w:val="20"/>
                <w:color w:val="auto"/>
              </w:rPr>
            </w:pPr>
          </w:p>
        </w:tc>
        <w:tc>
          <w:tcPr>
            <w:tcW w:w="76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2.69</w:t>
            </w:r>
          </w:p>
        </w:tc>
        <w:tc>
          <w:tcPr>
            <w:tcW w:w="2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20"/>
                <w:szCs w:val="20"/>
                <w:color w:val="auto"/>
              </w:rPr>
            </w:pPr>
          </w:p>
        </w:tc>
      </w:tr>
    </w:tbl>
    <w:p>
      <w:pPr>
        <w:spacing w:after="0" w:line="24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risk-free interest rate assumptions were based on the U.S. Treasury yield curve for the term that mirrored the expected term in effect at the time of grant. The expected life of our stock options was determined based upon a simplified assumption that the stock options will be exercised evenly from vesting to expiration, as we do not have sufficient historical exercise data to provide a reasonable basis upon which to estimate the expected life. The dividend yield was based on expected dividends at the time of grant. Beginning in 2020, we calculated volatility based exclusively on our own common stock.</w:t>
      </w:r>
    </w:p>
    <w:p>
      <w:pPr>
        <w:spacing w:after="0" w:line="188"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following table summarizes the activities for our unvested RSUs and DSUs (which includes amounts for both continuing and discontinued operations) for the year ended December 31, 2020:</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 January 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4,183,232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3,050,865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(3,160,611)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Forfeited/canceled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(625,317)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 December 31,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3,448,169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As of December 31, 2020, there was approximately $5 million of unrecognized compensation cost related to unvested employee RSUs. This amount is expected to be recognized over a weighted-average period of approximately 1.6 years. The total grant date fair value of RSUs and DSUs vested in 2020 was approximately $14 million.</w:t>
      </w:r>
    </w:p>
    <w:p>
      <w:pPr>
        <w:spacing w:after="0" w:line="184"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following table summarizes the activity for our restricted stock (which includes amounts for both continuing and discontinued operations) for the year ended December 31, 2020:</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 January 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44,204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(25,977)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Forfeited/canceled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 December 31,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As of December 31, 2020, there was less than $0.1 million of unrecognized compensation cost related to unvested employee restricted stock. This amount is expected to be recognized over a weighted-average period of approximately 0.3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8" w:name="page109"/>
    <w:bookmarkEnd w:id="108"/>
    <w:p>
      <w:pPr>
        <w:ind w:right="40" w:firstLine="589"/>
        <w:spacing w:after="0" w:line="274" w:lineRule="auto"/>
        <w:rPr>
          <w:sz w:val="20"/>
          <w:szCs w:val="20"/>
          <w:color w:val="auto"/>
        </w:rPr>
      </w:pPr>
      <w:r>
        <w:rPr>
          <w:rFonts w:ascii="Arial" w:cs="Arial" w:eastAsia="Arial" w:hAnsi="Arial"/>
          <w:sz w:val="17"/>
          <w:szCs w:val="17"/>
          <w:b w:val="1"/>
          <w:bCs w:val="1"/>
          <w:color w:val="auto"/>
        </w:rPr>
        <w:t xml:space="preserve">ESPP </w:t>
      </w:r>
      <w:r>
        <w:rPr>
          <w:rFonts w:ascii="Arial" w:cs="Arial" w:eastAsia="Arial" w:hAnsi="Arial"/>
          <w:sz w:val="17"/>
          <w:szCs w:val="17"/>
          <w:color w:val="auto"/>
        </w:rPr>
        <w:t>- In June 2013, the Board of Directors and stockholders approved the Employee Stock Purchase Plan (“ESPP”), which became effective on</w:t>
      </w:r>
      <w:r>
        <w:rPr>
          <w:rFonts w:ascii="Arial" w:cs="Arial" w:eastAsia="Arial" w:hAnsi="Arial"/>
          <w:sz w:val="17"/>
          <w:szCs w:val="17"/>
          <w:b w:val="1"/>
          <w:bCs w:val="1"/>
          <w:color w:val="auto"/>
        </w:rPr>
        <w:t xml:space="preserve"> </w:t>
      </w:r>
      <w:r>
        <w:rPr>
          <w:rFonts w:ascii="Arial" w:cs="Arial" w:eastAsia="Arial" w:hAnsi="Arial"/>
          <w:sz w:val="17"/>
          <w:szCs w:val="17"/>
          <w:color w:val="auto"/>
        </w:rPr>
        <w:t>June 26, 2013, and in 2017 and 2020, the ESPP was amended to increase the number of shares reserved thereunder. The ESPP allows eligible employees to purchase a limited number of shares of common stock during pre-specified offering periods at a discount established by the Compensation Committee which may not exceed 15% of the fair market value of the common stock at the beginning or end of the offering period (whichever is lower). Under the ESPP, 2,200,000 shares were reserved for issuance and 363,209 shares of common stock were issued during the year ended December 31, 2020. As of December 31, 2020, 815,140 shares remained available for purchase under the ESPP.</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Retirement and Postretirement Benefits</w:t>
      </w:r>
    </w:p>
    <w:p>
      <w:pPr>
        <w:spacing w:after="0" w:line="158" w:lineRule="exact"/>
        <w:rPr>
          <w:sz w:val="20"/>
          <w:szCs w:val="20"/>
          <w:color w:val="auto"/>
        </w:rPr>
      </w:pPr>
    </w:p>
    <w:p>
      <w:pPr>
        <w:jc w:val="both"/>
        <w:ind w:right="100" w:firstLine="432"/>
        <w:spacing w:after="0" w:line="289" w:lineRule="auto"/>
        <w:rPr>
          <w:sz w:val="20"/>
          <w:szCs w:val="20"/>
          <w:color w:val="auto"/>
        </w:rPr>
      </w:pPr>
      <w:r>
        <w:rPr>
          <w:rFonts w:ascii="Arial" w:cs="Arial" w:eastAsia="Arial" w:hAnsi="Arial"/>
          <w:sz w:val="17"/>
          <w:szCs w:val="17"/>
          <w:b w:val="1"/>
          <w:bCs w:val="1"/>
          <w:color w:val="auto"/>
        </w:rPr>
        <w:t xml:space="preserve">401(k) Plan </w:t>
      </w:r>
      <w:r>
        <w:rPr>
          <w:rFonts w:ascii="Arial" w:cs="Arial" w:eastAsia="Arial" w:hAnsi="Arial"/>
          <w:sz w:val="17"/>
          <w:szCs w:val="17"/>
          <w:color w:val="auto"/>
        </w:rPr>
        <w:t>- Under our 401(k) plan, all employees who are eligible to participate are entitled to make tax-deferred contributions, subject to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Service limitations. We match 100% of the employee’s first 4% of contributions made, subject to annual limitations. Our matching contributions were $1.5 million, $1.3 million, and $1.1 million for the years ended December 31, 2020, 2019 and 2018, respectively.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w:t>
      </w:r>
    </w:p>
    <w:p>
      <w:pPr>
        <w:spacing w:after="0" w:line="3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financial reporting purposes, the loss from continuing operations before income taxes included the following components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(45,840</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(85,806</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(54,655)</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(2,865)</w:t>
            </w:r>
          </w:p>
        </w:tc>
        <w:tc>
          <w:tcPr>
            <w:tcW w:w="24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(2,128)</w:t>
            </w: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(1,159)</w:t>
            </w: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Significant components of the (benefit) provision for income taxes for continuing operations for the years ended December 31, 2020, 2019, and 2018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580" w:type="dxa"/>
            <w:vAlign w:val="bottom"/>
            <w:tcBorders>
              <w:bottom w:val="single" w:sz="8" w:color="CFF0FC"/>
            </w:tcBorders>
          </w:tcPr>
          <w:p>
            <w:pPr>
              <w:spacing w:after="0"/>
              <w:rPr>
                <w:sz w:val="13"/>
                <w:szCs w:val="13"/>
                <w:color w:val="auto"/>
              </w:rPr>
            </w:pPr>
          </w:p>
        </w:tc>
        <w:tc>
          <w:tcPr>
            <w:tcW w:w="27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580" w:type="dxa"/>
            <w:vAlign w:val="bottom"/>
          </w:tcPr>
          <w:p>
            <w:pPr>
              <w:ind w:left="240"/>
              <w:spacing w:after="0"/>
              <w:rPr>
                <w:sz w:val="20"/>
                <w:szCs w:val="20"/>
                <w:color w:val="auto"/>
              </w:rPr>
            </w:pPr>
            <w:r>
              <w:rPr>
                <w:rFonts w:ascii="Arial" w:cs="Arial" w:eastAsia="Arial" w:hAnsi="Arial"/>
                <w:sz w:val="18"/>
                <w:szCs w:val="18"/>
                <w:color w:val="auto"/>
              </w:rPr>
              <w:t>Federal</w:t>
            </w:r>
          </w:p>
        </w:tc>
        <w:tc>
          <w:tcPr>
            <w:tcW w:w="29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2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ind w:left="1140"/>
              <w:spacing w:after="0"/>
              <w:rPr>
                <w:sz w:val="20"/>
                <w:szCs w:val="20"/>
                <w:color w:val="auto"/>
              </w:rPr>
            </w:pPr>
            <w:r>
              <w:rPr>
                <w:rFonts w:ascii="Arial" w:cs="Arial" w:eastAsia="Arial" w:hAnsi="Arial"/>
                <w:sz w:val="18"/>
                <w:szCs w:val="18"/>
                <w:color w:val="auto"/>
              </w:rPr>
              <w:t>Deferred:</w:t>
            </w:r>
          </w:p>
        </w:tc>
        <w:tc>
          <w:tcPr>
            <w:tcW w:w="2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(3,908)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State</w:t>
            </w:r>
          </w:p>
        </w:tc>
        <w:tc>
          <w:tcPr>
            <w:tcW w:w="2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27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20" w:type="dxa"/>
            <w:vAlign w:val="bottom"/>
            <w:vMerge w:val="restart"/>
          </w:tcPr>
          <w:p>
            <w:pPr>
              <w:jc w:val="right"/>
              <w:ind w:right="590"/>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9" w:name="page110"/>
    <w:bookmarkEnd w:id="109"/>
    <w:p>
      <w:pPr>
        <w:ind w:firstLine="589"/>
        <w:spacing w:after="0" w:line="277" w:lineRule="auto"/>
        <w:rPr>
          <w:sz w:val="20"/>
          <w:szCs w:val="20"/>
          <w:color w:val="auto"/>
        </w:rPr>
      </w:pPr>
      <w:r>
        <w:rPr>
          <w:rFonts w:ascii="Arial" w:cs="Arial" w:eastAsia="Arial" w:hAnsi="Arial"/>
          <w:sz w:val="18"/>
          <w:szCs w:val="18"/>
          <w:color w:val="auto"/>
        </w:rPr>
        <w:t>The (benefit) provision for income taxes for continuing operations differs from income taxes computed at the federal statutory tax rates for the years ended December 31, 2020, 2019, and 2018 as a result of the following items: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960" w:type="dxa"/>
            <w:vAlign w:val="bottom"/>
            <w:gridSpan w:val="5"/>
          </w:tcPr>
          <w:p>
            <w:pPr>
              <w:ind w:left="760"/>
              <w:spacing w:after="0"/>
              <w:rPr>
                <w:sz w:val="20"/>
                <w:szCs w:val="20"/>
                <w:color w:val="auto"/>
              </w:rPr>
            </w:pPr>
            <w:r>
              <w:rPr>
                <w:rFonts w:ascii="Arial" w:cs="Arial" w:eastAsia="Arial" w:hAnsi="Arial"/>
                <w:sz w:val="14"/>
                <w:szCs w:val="14"/>
                <w:b w:val="1"/>
                <w:bCs w:val="1"/>
                <w:color w:val="auto"/>
                <w:w w:val="94"/>
              </w:rPr>
              <w:t>For the Years Ended December 31,</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1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4"/>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Effect of:</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Impact of change in tax rate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Change in valuation allowance</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(48.9)</w:t>
            </w:r>
          </w:p>
        </w:tc>
        <w:tc>
          <w:tcPr>
            <w:tcW w:w="1380" w:type="dxa"/>
            <w:vAlign w:val="bottom"/>
            <w:gridSpan w:val="2"/>
          </w:tcPr>
          <w:p>
            <w:pPr>
              <w:jc w:val="right"/>
              <w:ind w:right="210"/>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State income taxes-net of federal tax benefit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360"/>
              <w:spacing w:after="0"/>
              <w:rPr>
                <w:sz w:val="20"/>
                <w:szCs w:val="20"/>
                <w:color w:val="auto"/>
              </w:rPr>
            </w:pPr>
            <w:r>
              <w:rPr>
                <w:rFonts w:ascii="Arial" w:cs="Arial" w:eastAsia="Arial" w:hAnsi="Arial"/>
                <w:sz w:val="18"/>
                <w:szCs w:val="18"/>
                <w:color w:val="auto"/>
              </w:rPr>
              <w:t>Other</w:t>
            </w: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9"/>
                <w:szCs w:val="19"/>
                <w:color w:val="auto"/>
              </w:rPr>
            </w:pPr>
          </w:p>
        </w:tc>
        <w:tc>
          <w:tcPr>
            <w:tcW w:w="1380" w:type="dxa"/>
            <w:vAlign w:val="bottom"/>
            <w:gridSpan w:val="2"/>
          </w:tcPr>
          <w:p>
            <w:pPr>
              <w:jc w:val="right"/>
              <w:ind w:right="21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Effective tax rate</w:t>
            </w: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vMerge w:val="continue"/>
            <w:shd w:val="clear" w:color="auto" w:fill="CFF0FC"/>
          </w:tcPr>
          <w:p>
            <w:pPr>
              <w:spacing w:after="0"/>
              <w:rPr>
                <w:sz w:val="19"/>
                <w:szCs w:val="19"/>
                <w:color w:val="auto"/>
              </w:rPr>
            </w:pP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0.3%</w:t>
            </w:r>
          </w:p>
        </w:tc>
        <w:tc>
          <w:tcPr>
            <w:tcW w:w="1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Components of the net deferred income tax asset as of December 31, 2020 and 2019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88"/>
        </w:trPr>
        <w:tc>
          <w:tcPr>
            <w:tcW w:w="53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6"/>
                <w:szCs w:val="16"/>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Compensation accruals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7,618</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5,847</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18,192</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1,266</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Warranty reserves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Capital loss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43,256</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net operating loss (NOL)</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130,878</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State NOL</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24,744</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carryforward</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66,379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48,980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UNICAP adjustment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2,539</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Finite-lived intangible assets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6,394</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Lease liability</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11,539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22,355</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9,243</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income tax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323,437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314,607</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liabilities: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(8,673)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(59,584)</w:t>
            </w: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Indefinite-lived intangible assets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(7,619)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(7,074)</w:t>
            </w: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Convertible Notes discount</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(5,512)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(8,706)</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Right-of-use asset</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(8,435)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(13,553)</w:t>
            </w: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(3,768)</w:t>
            </w:r>
          </w:p>
        </w:tc>
      </w:tr>
      <w:tr>
        <w:trPr>
          <w:trHeight w:val="223"/>
        </w:trPr>
        <w:tc>
          <w:tcPr>
            <w:tcW w:w="53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 income tax liabilities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(32,163)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(92,685)</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Total deferred income tax</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291,274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221,922</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(293,382)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(224,262)</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deferred income tax liability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20" w:firstLine="589"/>
        <w:spacing w:after="0" w:line="301" w:lineRule="auto"/>
        <w:rPr>
          <w:sz w:val="20"/>
          <w:szCs w:val="20"/>
          <w:color w:val="auto"/>
        </w:rPr>
      </w:pPr>
      <w:r>
        <w:rPr>
          <w:rFonts w:ascii="Arial" w:cs="Arial" w:eastAsia="Arial" w:hAnsi="Arial"/>
          <w:sz w:val="16"/>
          <w:szCs w:val="16"/>
          <w:color w:val="auto"/>
        </w:rPr>
        <w:t>We assess the realizability of the deferred tax assets by considering whether it is more likely than not that some portion or all of the deferred tax assets would not be realized through the generation of future taxable income. We generated net losses in fiscal years 2020, 2019, and 2018, which means we are in a domestic three-year cumulative loss position. As a result of this and other assessments in fiscal year 2020, we concluded that a full valuation allowance is required for all deferred tax assets and liabilities except for deferred tax liabilities associated with indefinite-lived intangible assets.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10" w:name="page111"/>
    <w:bookmarkEnd w:id="110"/>
    <w:p>
      <w:pPr>
        <w:ind w:right="80" w:firstLine="589"/>
        <w:spacing w:after="0" w:line="263" w:lineRule="auto"/>
        <w:rPr>
          <w:sz w:val="20"/>
          <w:szCs w:val="20"/>
          <w:color w:val="auto"/>
        </w:rPr>
      </w:pPr>
      <w:r>
        <w:rPr>
          <w:rFonts w:ascii="Arial" w:cs="Arial" w:eastAsia="Arial" w:hAnsi="Arial"/>
          <w:sz w:val="18"/>
          <w:szCs w:val="18"/>
          <w:color w:val="auto"/>
        </w:rPr>
        <w:t>As of December 31, 2020, the federal net operating loss (“NOL”) carryforward amount was approximately $647 million and the state NOL carryforward amount was approximately $452 million. The federal NOLs begin to expire in 2031. The state NOLs expire in various tax years and began to expire in 2016.</w:t>
      </w:r>
    </w:p>
    <w:p>
      <w:pPr>
        <w:spacing w:after="0" w:line="184"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Utilization of our NOL, interest carryforward and tax credit carryforwards may be subject to substantial annual limitations due to the ownership change limitations provided by the Internal Revenue Code and similar state provisions. Such annual limitations could result in the expiration of the NOL and tax credit carryforwards before their utilization. The interest carryforward arises from U.S. Tax Reform and generally limits the interest expense deduction to 30% of EBITDA for tax years 2018 to 2021 and 30% of EBIT for 2022 and subsequent years. The interest carryforward will not expire as it may be carried forward indefinitely. The events that may cause ownership changes include, but are not limited to, a cumulative stock ownership change of greater than 50% over a three-year period.</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are subject to taxation in the United States and Canada. With few exceptions, as of December 31, 2020, we are no longer subject to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state, local or foreign examinations by tax authorities for years before 2017.</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2020, 2019 and 2018, we did not have any unrecognized tax benefits.</w:t>
      </w:r>
    </w:p>
    <w:p>
      <w:pPr>
        <w:spacing w:after="0" w:line="225"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We record penalties and interest relating to uncertain tax positions in the income tax provision line item in the consolidated statement of operations. No penalties or interest related to uncertain tax positions were recorded for the years ended December 31, 2020, 2019 or 2018. As of December 31, 2020 and 2019, we did not have a liability recorded for interest or potential penalties.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do not expect a change in the unrecognized tax benefits within the next 12 months.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3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The following is a summary of our lease expense included in the consolidated statement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For the Year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For the Year</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080" w:type="dxa"/>
            <w:vAlign w:val="bottom"/>
            <w:tcBorders>
              <w:bottom w:val="single" w:sz="8" w:color="CFF0FC"/>
            </w:tcBorders>
          </w:tcPr>
          <w:p>
            <w:pPr>
              <w:spacing w:after="0"/>
              <w:rPr>
                <w:sz w:val="14"/>
                <w:szCs w:val="14"/>
                <w:color w:val="auto"/>
              </w:rPr>
            </w:pPr>
          </w:p>
        </w:tc>
        <w:tc>
          <w:tcPr>
            <w:tcW w:w="17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Finance lease cost:</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leased assets</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on lease liabilities</w:t>
            </w:r>
          </w:p>
        </w:tc>
        <w:tc>
          <w:tcPr>
            <w:tcW w:w="1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12,031</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12,397</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00" w:type="dxa"/>
            <w:vAlign w:val="bottom"/>
            <w:vMerge w:val="restart"/>
          </w:tcPr>
          <w:p>
            <w:pPr>
              <w:jc w:val="right"/>
              <w:ind w:right="630"/>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1" w:name="page112"/>
    <w:bookmarkEnd w:id="111"/>
    <w:p>
      <w:pPr>
        <w:ind w:left="600"/>
        <w:spacing w:after="0"/>
        <w:rPr>
          <w:sz w:val="20"/>
          <w:szCs w:val="20"/>
          <w:color w:val="auto"/>
        </w:rPr>
      </w:pPr>
      <w:r>
        <w:rPr>
          <w:rFonts w:ascii="Arial" w:cs="Arial" w:eastAsia="Arial" w:hAnsi="Arial"/>
          <w:sz w:val="18"/>
          <w:szCs w:val="18"/>
          <w:color w:val="auto"/>
        </w:rPr>
        <w:t xml:space="preserve">Other information regarding our leases is as follows </w:t>
      </w:r>
      <w:r>
        <w:rPr>
          <w:rFonts w:ascii="Arial" w:cs="Arial" w:eastAsia="Arial" w:hAnsi="Arial"/>
          <w:sz w:val="18"/>
          <w:szCs w:val="18"/>
          <w:i w:val="1"/>
          <w:iCs w:val="1"/>
          <w:color w:val="auto"/>
        </w:rPr>
        <w:t>(in thousands, except lease terms and discount rates)</w:t>
      </w:r>
      <w:r>
        <w:rPr>
          <w:rFonts w:ascii="Arial" w:cs="Arial" w:eastAsia="Arial" w:hAnsi="Arial"/>
          <w:sz w:val="18"/>
          <w:szCs w:val="18"/>
          <w:color w:val="auto"/>
        </w:rPr>
        <w:t>:</w:t>
      </w:r>
    </w:p>
    <w:p>
      <w:pPr>
        <w:spacing w:after="0" w:line="218" w:lineRule="exact"/>
        <w:rPr>
          <w:sz w:val="20"/>
          <w:szCs w:val="20"/>
          <w:color w:val="auto"/>
        </w:rPr>
      </w:pPr>
    </w:p>
    <w:tbl>
      <w:tblPr>
        <w:tblLayout w:type="fixed"/>
        <w:tblInd w:w="6320" w:type="dxa"/>
        <w:tblCellMar>
          <w:top w:w="0" w:type="dxa"/>
          <w:left w:w="0" w:type="dxa"/>
          <w:bottom w:w="0" w:type="dxa"/>
          <w:right w:w="0" w:type="dxa"/>
        </w:tblCellMar>
      </w:tblPr>
      <w:tr>
        <w:trPr>
          <w:trHeight w:val="161"/>
        </w:trPr>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 Year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For the Year</w:t>
            </w:r>
          </w:p>
        </w:tc>
      </w:tr>
      <w:tr>
        <w:trPr>
          <w:trHeight w:val="162"/>
        </w:trPr>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r>
      <w:tr>
        <w:trPr>
          <w:trHeight w:val="149"/>
        </w:trPr>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-7620</wp:posOffset>
            </wp:positionV>
            <wp:extent cx="4989195"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tbl>
      <w:tblPr>
        <w:tblLayout w:type="fixed"/>
        <w:tblInd w:w="1700" w:type="dxa"/>
        <w:tblCellMar>
          <w:top w:w="0" w:type="dxa"/>
          <w:left w:w="0" w:type="dxa"/>
          <w:bottom w:w="0" w:type="dxa"/>
          <w:right w:w="0" w:type="dxa"/>
        </w:tblCellMar>
      </w:tblPr>
      <w:tr>
        <w:trPr>
          <w:trHeight w:val="229"/>
        </w:trPr>
        <w:tc>
          <w:tcPr>
            <w:tcW w:w="40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Cash paid for amounts included in</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measurement of lease liabilities: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40"/>
              <w:spacing w:after="0"/>
              <w:rPr>
                <w:sz w:val="20"/>
                <w:szCs w:val="20"/>
                <w:color w:val="auto"/>
              </w:rPr>
            </w:pPr>
            <w:r>
              <w:rPr>
                <w:rFonts w:ascii="Arial" w:cs="Arial" w:eastAsia="Arial" w:hAnsi="Arial"/>
                <w:sz w:val="18"/>
                <w:szCs w:val="18"/>
                <w:color w:val="auto"/>
              </w:rPr>
              <w:t>Operating cash flows used in operating</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000" w:type="dxa"/>
            <w:vAlign w:val="bottom"/>
            <w:vMerge w:val="restart"/>
          </w:tcPr>
          <w:p>
            <w:pPr>
              <w:ind w:left="380"/>
              <w:spacing w:after="0"/>
              <w:rPr>
                <w:sz w:val="20"/>
                <w:szCs w:val="20"/>
                <w:color w:val="auto"/>
              </w:rPr>
            </w:pPr>
            <w:r>
              <w:rPr>
                <w:rFonts w:ascii="Arial" w:cs="Arial" w:eastAsia="Arial" w:hAnsi="Arial"/>
                <w:sz w:val="18"/>
                <w:szCs w:val="18"/>
                <w:color w:val="auto"/>
              </w:rPr>
              <w:t>leases</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Operating cash flows used in finance leases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Financing cash flows used in finance leases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Non-cash items: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Operating leases obtained</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00" w:type="dxa"/>
            <w:vAlign w:val="bottom"/>
          </w:tcPr>
          <w:p>
            <w:pPr>
              <w:ind w:left="240"/>
              <w:spacing w:after="0"/>
              <w:rPr>
                <w:sz w:val="20"/>
                <w:szCs w:val="20"/>
                <w:color w:val="auto"/>
              </w:rPr>
            </w:pPr>
            <w:r>
              <w:rPr>
                <w:rFonts w:ascii="Arial" w:cs="Arial" w:eastAsia="Arial" w:hAnsi="Arial"/>
                <w:sz w:val="18"/>
                <w:szCs w:val="18"/>
                <w:color w:val="auto"/>
              </w:rPr>
              <w:t>Finance leases obtained</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400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Operating leases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tcPr>
          <w:p>
            <w:pPr>
              <w:spacing w:after="0"/>
              <w:rPr>
                <w:sz w:val="20"/>
                <w:szCs w:val="20"/>
                <w:color w:val="auto"/>
              </w:rPr>
            </w:pPr>
            <w:r>
              <w:rPr>
                <w:rFonts w:ascii="Arial" w:cs="Arial" w:eastAsia="Arial" w:hAnsi="Arial"/>
                <w:sz w:val="18"/>
                <w:szCs w:val="18"/>
                <w:color w:val="auto"/>
              </w:rPr>
              <w:t>Finance leases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0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Operating leases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Finance leases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-1885315</wp:posOffset>
            </wp:positionV>
            <wp:extent cx="4989195" cy="2832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89195" cy="28321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-1456690</wp:posOffset>
            </wp:positionV>
            <wp:extent cx="4989195"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-1165225</wp:posOffset>
            </wp:positionV>
            <wp:extent cx="4989195"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-873760</wp:posOffset>
            </wp:positionV>
            <wp:extent cx="498919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-582295</wp:posOffset>
            </wp:positionV>
            <wp:extent cx="4989195"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-290830</wp:posOffset>
            </wp:positionV>
            <wp:extent cx="4989195"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Annual future minimum lease payments as of December 31, 2020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130"/>
              <w:spacing w:after="0"/>
              <w:rPr>
                <w:sz w:val="20"/>
                <w:szCs w:val="20"/>
                <w:color w:val="auto"/>
              </w:rPr>
            </w:pPr>
            <w:r>
              <w:rPr>
                <w:rFonts w:ascii="Arial" w:cs="Arial" w:eastAsia="Arial" w:hAnsi="Arial"/>
                <w:sz w:val="18"/>
                <w:szCs w:val="18"/>
                <w:color w:val="auto"/>
                <w:w w:val="90"/>
              </w:rPr>
              <w:t>12,733</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13,059</w:t>
            </w:r>
          </w:p>
        </w:tc>
      </w:tr>
      <w:tr>
        <w:trPr>
          <w:trHeight w:val="323"/>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113</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56</w:t>
            </w:r>
          </w:p>
        </w:tc>
      </w:tr>
      <w:tr>
        <w:trPr>
          <w:trHeight w:val="244"/>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546</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445"/>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5,342</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4,197</w:t>
            </w:r>
          </w:p>
        </w:tc>
      </w:tr>
      <w:tr>
        <w:trPr>
          <w:trHeight w:val="244"/>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428</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1,268</w:t>
            </w:r>
          </w:p>
        </w:tc>
      </w:tr>
      <w:tr>
        <w:trPr>
          <w:trHeight w:val="458"/>
        </w:trPr>
        <w:tc>
          <w:tcPr>
            <w:tcW w:w="740" w:type="dxa"/>
            <w:vAlign w:val="bottom"/>
          </w:tcPr>
          <w:p>
            <w:pPr>
              <w:jc w:val="right"/>
              <w:ind w:right="130"/>
              <w:spacing w:after="0"/>
              <w:rPr>
                <w:sz w:val="20"/>
                <w:szCs w:val="20"/>
                <w:color w:val="auto"/>
              </w:rPr>
            </w:pPr>
            <w:r>
              <w:rPr>
                <w:rFonts w:ascii="Arial" w:cs="Arial" w:eastAsia="Arial" w:hAnsi="Arial"/>
                <w:sz w:val="18"/>
                <w:szCs w:val="18"/>
                <w:color w:val="auto"/>
                <w:w w:val="84"/>
              </w:rPr>
              <w:t>7 years</w:t>
            </w:r>
          </w:p>
        </w:tc>
        <w:tc>
          <w:tcPr>
            <w:tcW w:w="56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 years</w:t>
            </w:r>
          </w:p>
        </w:tc>
      </w:tr>
      <w:tr>
        <w:trPr>
          <w:trHeight w:val="230"/>
        </w:trPr>
        <w:tc>
          <w:tcPr>
            <w:tcW w:w="740" w:type="dxa"/>
            <w:vAlign w:val="bottom"/>
          </w:tcPr>
          <w:p>
            <w:pPr>
              <w:jc w:val="right"/>
              <w:ind w:right="130"/>
              <w:spacing w:after="0"/>
              <w:rPr>
                <w:sz w:val="20"/>
                <w:szCs w:val="20"/>
                <w:color w:val="auto"/>
              </w:rPr>
            </w:pPr>
            <w:r>
              <w:rPr>
                <w:rFonts w:ascii="Arial" w:cs="Arial" w:eastAsia="Arial" w:hAnsi="Arial"/>
                <w:sz w:val="18"/>
                <w:szCs w:val="18"/>
                <w:color w:val="auto"/>
                <w:w w:val="84"/>
              </w:rPr>
              <w:t>2 years</w:t>
            </w:r>
          </w:p>
        </w:tc>
        <w:tc>
          <w:tcPr>
            <w:tcW w:w="56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 years</w:t>
            </w:r>
          </w:p>
        </w:tc>
      </w:tr>
      <w:tr>
        <w:trPr>
          <w:trHeight w:val="458"/>
        </w:trPr>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5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612" w:lineRule="exact"/>
        <w:rPr>
          <w:sz w:val="20"/>
          <w:szCs w:val="20"/>
          <w:color w:val="auto"/>
        </w:rPr>
      </w:pPr>
    </w:p>
    <w:p>
      <w:pPr>
        <w:sectPr>
          <w:pgSz w:w="11900" w:h="16838" w:orient="portrait"/>
          <w:cols w:equalWidth="0" w:num="2">
            <w:col w:w="6460" w:space="700"/>
            <w:col w:w="4040"/>
          </w:cols>
          <w:pgMar w:left="320" w:top="382" w:right="379" w:bottom="1440" w:gutter="0" w:footer="0" w:header="0"/>
          <w:type w:val="continuous"/>
        </w:sectPr>
      </w:pPr>
    </w:p>
    <w:p>
      <w:pPr>
        <w:spacing w:after="0" w:line="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98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Operating</w:t>
            </w:r>
          </w:p>
        </w:tc>
        <w:tc>
          <w:tcPr>
            <w:tcW w:w="14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05"/>
        </w:trPr>
        <w:tc>
          <w:tcPr>
            <w:tcW w:w="44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Leases</w:t>
            </w:r>
          </w:p>
        </w:tc>
        <w:tc>
          <w:tcPr>
            <w:tcW w:w="140" w:type="dxa"/>
            <w:vAlign w:val="bottom"/>
          </w:tcPr>
          <w:p>
            <w:pPr>
              <w:spacing w:after="0"/>
              <w:rPr>
                <w:sz w:val="9"/>
                <w:szCs w:val="9"/>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66"/>
        </w:trPr>
        <w:tc>
          <w:tcPr>
            <w:tcW w:w="4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12,521</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2022</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2024</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25,157</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future minimum lease payments</w:t>
            </w:r>
          </w:p>
        </w:tc>
        <w:tc>
          <w:tcPr>
            <w:tcW w:w="9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68,145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9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(22,038)</w:t>
            </w: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Present value of net minimum lease payments</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46,107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Reported as of December 31, 2020</w:t>
            </w:r>
          </w:p>
        </w:tc>
        <w:tc>
          <w:tcPr>
            <w:tcW w:w="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9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46,107</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2020, there were no significant leases which had not yet commenced.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58" w:lineRule="exact"/>
        <w:rPr>
          <w:sz w:val="20"/>
          <w:szCs w:val="20"/>
          <w:color w:val="auto"/>
        </w:rPr>
      </w:pPr>
    </w:p>
    <w:p>
      <w:pPr>
        <w:jc w:val="both"/>
        <w:ind w:firstLine="589"/>
        <w:spacing w:after="0" w:line="266" w:lineRule="auto"/>
        <w:rPr>
          <w:sz w:val="20"/>
          <w:szCs w:val="20"/>
          <w:color w:val="auto"/>
        </w:rPr>
      </w:pPr>
      <w:r>
        <w:rPr>
          <w:rFonts w:ascii="Arial" w:cs="Arial" w:eastAsia="Arial" w:hAnsi="Arial"/>
          <w:sz w:val="18"/>
          <w:szCs w:val="18"/>
          <w:b w:val="1"/>
          <w:bCs w:val="1"/>
          <w:color w:val="auto"/>
        </w:rPr>
        <w:t xml:space="preserve">Contractual Commitments </w:t>
      </w:r>
      <w:r>
        <w:rPr>
          <w:rFonts w:ascii="Arial" w:cs="Arial" w:eastAsia="Arial" w:hAnsi="Arial"/>
          <w:sz w:val="18"/>
          <w:szCs w:val="18"/>
          <w:color w:val="auto"/>
        </w:rPr>
        <w:t>- We have agreements with various vendors under which we have remaining commitments to purchase satellite-based</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certifications and development services. Such commitments will become payable as we receive the equipment or certifications, or as development services are provided.</w:t>
      </w:r>
    </w:p>
    <w:p>
      <w:pPr>
        <w:spacing w:after="0" w:line="176" w:lineRule="exact"/>
        <w:rPr>
          <w:sz w:val="20"/>
          <w:szCs w:val="20"/>
          <w:color w:val="auto"/>
        </w:rPr>
      </w:pPr>
    </w:p>
    <w:p>
      <w:pPr>
        <w:jc w:val="both"/>
        <w:ind w:right="80" w:firstLine="589"/>
        <w:spacing w:after="0" w:line="266" w:lineRule="auto"/>
        <w:rPr>
          <w:sz w:val="20"/>
          <w:szCs w:val="20"/>
          <w:color w:val="auto"/>
        </w:rPr>
      </w:pPr>
      <w:r>
        <w:rPr>
          <w:rFonts w:ascii="Arial" w:cs="Arial" w:eastAsia="Arial" w:hAnsi="Arial"/>
          <w:sz w:val="18"/>
          <w:szCs w:val="18"/>
          <w:b w:val="1"/>
          <w:bCs w:val="1"/>
          <w:color w:val="auto"/>
        </w:rPr>
        <w:t xml:space="preserve">Indemnifications and Guarantees </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type w:val="continuous"/>
        </w:sectPr>
      </w:pPr>
    </w:p>
    <w:bookmarkStart w:id="112" w:name="page113"/>
    <w:bookmarkEnd w:id="112"/>
    <w:p>
      <w:pPr>
        <w:ind w:right="60"/>
        <w:spacing w:after="0" w:line="277" w:lineRule="auto"/>
        <w:rPr>
          <w:sz w:val="20"/>
          <w:szCs w:val="20"/>
          <w:color w:val="auto"/>
        </w:rPr>
      </w:pPr>
      <w:r>
        <w:rPr>
          <w:rFonts w:ascii="Arial" w:cs="Arial" w:eastAsia="Arial" w:hAnsi="Arial"/>
          <w:sz w:val="18"/>
          <w:szCs w:val="18"/>
          <w:color w:val="auto"/>
        </w:rPr>
        <w:t>indemnification is uncertain and may be unlimited, depending upon circumstances. However, our Directors’ and Officers’ insurance does provide coverage for certain of these losses.</w:t>
      </w:r>
    </w:p>
    <w:p>
      <w:pPr>
        <w:spacing w:after="0" w:line="170"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jc w:val="both"/>
        <w:ind w:right="400" w:firstLine="589"/>
        <w:spacing w:after="0" w:line="259"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83"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b w:val="1"/>
          <w:bCs w:val="1"/>
          <w:color w:val="auto"/>
        </w:rPr>
        <w:t xml:space="preserve">Linksmart Litigation </w:t>
      </w:r>
      <w:r>
        <w:rPr>
          <w:rFonts w:ascii="Arial" w:cs="Arial" w:eastAsia="Arial" w:hAnsi="Arial"/>
          <w:sz w:val="16"/>
          <w:szCs w:val="16"/>
          <w:color w:val="auto"/>
        </w:rPr>
        <w:t>- On April 20, 2018, Linksmart Wireless Technology, LLC filed suit against Gogo Inc., Gogo LLC, our former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entity that operated our CA business (“Gogo LLC”), and eight CA airline partners in the U.S. District Court for the Central District of California alleging that CA’s redirection server and login portal infringe a patent owned by the plaintiff. The suits seek an unspecified amount of damages. Intelsat is required under its contracts with these airlines, which it assumed in the Transaction, to indemnify them for defense costs and any liabilities resulting from the suit. The Court has stayed the suits against the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against the asserted patent in the U.S. Patent and Trademark Office, the Court stayed the litigation against such other defendant, Gogo Inc. and Gogo LLC, but such stay was lifted in July 2019 when the U.S. Patent and Trademark Office determined that the petitioner had not met the standard of proof required to commence the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Since the stay was lifted, discovery has been completed and motion practice continues. No date has been set for trial.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plaintiff’s claims are without merit and intend to continue to defend them vigorously. The outcome of this litigation is inherently uncertain. No amounts have been accrued for any potential losses under this matter, as we cannot reasonably predict the outcome of the litigation or any potential losses.</w:t>
      </w:r>
    </w:p>
    <w:p>
      <w:pPr>
        <w:spacing w:after="0" w:line="163"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b w:val="1"/>
          <w:bCs w:val="1"/>
          <w:color w:val="auto"/>
        </w:rPr>
        <w:t xml:space="preserve">Securities Litigation </w:t>
      </w:r>
      <w:r>
        <w:rPr>
          <w:rFonts w:ascii="Arial" w:cs="Arial" w:eastAsia="Arial" w:hAnsi="Arial"/>
          <w:sz w:val="17"/>
          <w:szCs w:val="17"/>
          <w:color w:val="auto"/>
        </w:rPr>
        <w:t>- On June 27, 2018, a purported stockholder of the Company filed a putative class action lawsuit in the United States District</w:t>
      </w:r>
      <w:r>
        <w:rPr>
          <w:rFonts w:ascii="Arial" w:cs="Arial" w:eastAsia="Arial" w:hAnsi="Arial"/>
          <w:sz w:val="17"/>
          <w:szCs w:val="17"/>
          <w:b w:val="1"/>
          <w:bCs w:val="1"/>
          <w:color w:val="auto"/>
        </w:rPr>
        <w:t xml:space="preserve"> </w:t>
      </w:r>
      <w:r>
        <w:rPr>
          <w:rFonts w:ascii="Arial" w:cs="Arial" w:eastAsia="Arial" w:hAnsi="Arial"/>
          <w:sz w:val="17"/>
          <w:szCs w:val="17"/>
          <w:color w:val="auto"/>
        </w:rPr>
        <w:t>Court for the Northern District of Illinois, Eastern Division styled Pierrelouis v. Gogo Inc., naming the Company, its former Chief Executive Officer and Chief Financial Officer, its current Chief Financial Officer and its then-current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the reliability of and installation and remediation costs associated with CA’s 2Ku antenna.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defendants filed a second amended complaint. In July 2020, plaintiffs filed a motion requesting leave to file a proposed third amendment complaint, which was granted by the Court. Plaintiffs proceeded to file the third amended complaint in July 2020 and we filed a motion to dismiss in September 2020. That motion has been fully briefed and we await the Court’s ruling. We believe that the claims are without merit and intend to continue to defend them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180" w:lineRule="exact"/>
        <w:rPr>
          <w:sz w:val="20"/>
          <w:szCs w:val="20"/>
          <w:color w:val="auto"/>
        </w:rPr>
      </w:pPr>
    </w:p>
    <w:p>
      <w:pPr>
        <w:jc w:val="both"/>
        <w:ind w:right="40" w:firstLine="589"/>
        <w:spacing w:after="0" w:line="314" w:lineRule="auto"/>
        <w:rPr>
          <w:sz w:val="20"/>
          <w:szCs w:val="20"/>
          <w:color w:val="auto"/>
        </w:rPr>
      </w:pPr>
      <w:r>
        <w:rPr>
          <w:rFonts w:ascii="Arial" w:cs="Arial" w:eastAsia="Arial" w:hAnsi="Arial"/>
          <w:sz w:val="16"/>
          <w:szCs w:val="16"/>
          <w:b w:val="1"/>
          <w:bCs w:val="1"/>
          <w:color w:val="auto"/>
        </w:rPr>
        <w:t xml:space="preserve">Derivative Litigation </w:t>
      </w:r>
      <w:r>
        <w:rPr>
          <w:rFonts w:ascii="Arial" w:cs="Arial" w:eastAsia="Arial" w:hAnsi="Arial"/>
          <w:sz w:val="16"/>
          <w:szCs w:val="16"/>
          <w:color w:val="auto"/>
        </w:rPr>
        <w:t>- On September 25, 2018 and September 26, 2018, two purported stockholders of the Company filed substantively identical</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3" w:name="page114"/>
    <w:bookmarkEnd w:id="113"/>
    <w:p>
      <w:pPr>
        <w:ind w:right="140"/>
        <w:spacing w:after="0" w:line="270" w:lineRule="auto"/>
        <w:rPr>
          <w:sz w:val="20"/>
          <w:szCs w:val="20"/>
          <w:color w:val="auto"/>
        </w:rPr>
      </w:pPr>
      <w:r>
        <w:rPr>
          <w:rFonts w:ascii="Arial" w:cs="Arial" w:eastAsia="Arial" w:hAnsi="Arial"/>
          <w:sz w:val="17"/>
          <w:szCs w:val="17"/>
          <w:color w:val="auto"/>
        </w:rPr>
        <w:t>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 compensation paid to current Officers and Directors and excessive severance paid to former Officers. The two lawsuits were consolidated and are stayed until a final disposition of the motion to dismiss in the class action suit. We believe that the claims are without merit and intend to defend them vigorously if the litigation resumes. The plaintiffs seek to recover, on our behalf, an unspecified amount of damages from the individual defendants. We have filed a claim with the issuer of our Directors’ and Officers’ insurance policy with respect to these suits. No amounts have been accrued for any potential costs under this matter, as we cannot reasonably predict the outcome of the litigation or any potential costs.</w:t>
      </w:r>
    </w:p>
    <w:p>
      <w:pPr>
        <w:spacing w:after="0" w:line="181" w:lineRule="exact"/>
        <w:rPr>
          <w:sz w:val="20"/>
          <w:szCs w:val="20"/>
          <w:color w:val="auto"/>
        </w:rPr>
      </w:pPr>
    </w:p>
    <w:p>
      <w:pPr>
        <w:ind w:right="240" w:firstLine="589"/>
        <w:spacing w:after="0" w:line="301"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157" w:lineRule="exact"/>
        <w:rPr>
          <w:sz w:val="20"/>
          <w:szCs w:val="20"/>
          <w:color w:val="auto"/>
        </w:rPr>
      </w:pPr>
    </w:p>
    <w:p>
      <w:pPr>
        <w:ind w:right="240" w:firstLine="589"/>
        <w:spacing w:after="0" w:line="301"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Data (Unaudited)</w:t>
      </w:r>
    </w:p>
    <w:p>
      <w:pPr>
        <w:spacing w:after="0" w:line="175"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Summarized quarterly financial information is as follows for each quarterly period for the years ended December 31, 2020 and 2019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per share amounts</w:t>
      </w:r>
      <w:r>
        <w:rPr>
          <w:rFonts w:ascii="Arial" w:cs="Arial" w:eastAsia="Arial" w:hAnsi="Arial"/>
          <w:sz w:val="18"/>
          <w:szCs w:val="18"/>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3"/>
              </w:rPr>
              <w:t>For the Three Months Ended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19"/>
        </w:trPr>
        <w:tc>
          <w:tcPr>
            <w:tcW w:w="18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101"/>
              <w:spacing w:after="0" w:line="119" w:lineRule="exact"/>
              <w:rPr>
                <w:sz w:val="20"/>
                <w:szCs w:val="20"/>
                <w:color w:val="auto"/>
              </w:rPr>
            </w:pPr>
            <w:r>
              <w:rPr>
                <w:rFonts w:ascii="Arial" w:cs="Arial" w:eastAsia="Arial" w:hAnsi="Arial"/>
                <w:sz w:val="13"/>
                <w:szCs w:val="13"/>
                <w:b w:val="1"/>
                <w:bCs w:val="1"/>
                <w:color w:val="auto"/>
              </w:rPr>
              <w:t>Mar 31,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141"/>
              <w:spacing w:after="0" w:line="119" w:lineRule="exact"/>
              <w:rPr>
                <w:sz w:val="20"/>
                <w:szCs w:val="20"/>
                <w:color w:val="auto"/>
              </w:rPr>
            </w:pPr>
            <w:r>
              <w:rPr>
                <w:rFonts w:ascii="Arial" w:cs="Arial" w:eastAsia="Arial" w:hAnsi="Arial"/>
                <w:sz w:val="13"/>
                <w:szCs w:val="13"/>
                <w:b w:val="1"/>
                <w:bCs w:val="1"/>
                <w:color w:val="auto"/>
                <w:w w:val="99"/>
              </w:rPr>
              <w:t>June 30,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right"/>
              <w:ind w:right="141"/>
              <w:spacing w:after="0" w:line="119" w:lineRule="exact"/>
              <w:rPr>
                <w:sz w:val="20"/>
                <w:szCs w:val="20"/>
                <w:color w:val="auto"/>
              </w:rPr>
            </w:pPr>
            <w:r>
              <w:rPr>
                <w:rFonts w:ascii="Arial" w:cs="Arial" w:eastAsia="Arial" w:hAnsi="Arial"/>
                <w:sz w:val="13"/>
                <w:szCs w:val="13"/>
                <w:b w:val="1"/>
                <w:bCs w:val="1"/>
                <w:color w:val="auto"/>
              </w:rPr>
              <w:t>Sep 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rPr>
              <w:t>Dec 31,</w:t>
            </w:r>
          </w:p>
        </w:tc>
        <w:tc>
          <w:tcPr>
            <w:tcW w:w="80" w:type="dxa"/>
            <w:vAlign w:val="bottom"/>
          </w:tcPr>
          <w:p>
            <w:pPr>
              <w:spacing w:after="0"/>
              <w:rPr>
                <w:sz w:val="10"/>
                <w:szCs w:val="10"/>
                <w:color w:val="auto"/>
              </w:rPr>
            </w:pPr>
          </w:p>
        </w:tc>
        <w:tc>
          <w:tcPr>
            <w:tcW w:w="1820" w:type="dxa"/>
            <w:vAlign w:val="bottom"/>
          </w:tcPr>
          <w:p>
            <w:pPr>
              <w:spacing w:after="0"/>
              <w:rPr>
                <w:sz w:val="10"/>
                <w:szCs w:val="10"/>
                <w:color w:val="auto"/>
              </w:rPr>
            </w:pPr>
          </w:p>
        </w:tc>
      </w:tr>
      <w:tr>
        <w:trPr>
          <w:trHeight w:val="171"/>
        </w:trPr>
        <w:tc>
          <w:tcPr>
            <w:tcW w:w="1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76"/>
        </w:trPr>
        <w:tc>
          <w:tcPr>
            <w:tcW w:w="5840" w:type="dxa"/>
            <w:vAlign w:val="bottom"/>
            <w:gridSpan w:val="2"/>
          </w:tcPr>
          <w:p>
            <w:pPr>
              <w:ind w:left="1840"/>
              <w:spacing w:after="0"/>
              <w:rPr>
                <w:sz w:val="20"/>
                <w:szCs w:val="20"/>
                <w:color w:val="auto"/>
              </w:rPr>
            </w:pPr>
            <w:r>
              <w:rPr>
                <w:rFonts w:ascii="Arial" w:cs="Arial" w:eastAsia="Arial" w:hAnsi="Arial"/>
                <w:sz w:val="18"/>
                <w:szCs w:val="18"/>
                <w:color w:val="auto"/>
              </w:rPr>
              <w:t>Total revenue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70,927</w:t>
            </w:r>
          </w:p>
        </w:tc>
        <w:tc>
          <w:tcPr>
            <w:tcW w:w="80" w:type="dxa"/>
            <w:vAlign w:val="bottom"/>
          </w:tcPr>
          <w:p>
            <w:pPr>
              <w:spacing w:after="0"/>
              <w:rPr>
                <w:sz w:val="24"/>
                <w:szCs w:val="24"/>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54,632</w:t>
            </w:r>
          </w:p>
        </w:tc>
        <w:tc>
          <w:tcPr>
            <w:tcW w:w="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66,525</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77,634</w:t>
            </w: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5840" w:type="dxa"/>
            <w:vAlign w:val="bottom"/>
            <w:gridSpan w:val="2"/>
          </w:tcPr>
          <w:p>
            <w:pPr>
              <w:ind w:left="1840"/>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15,696</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Net loss from continuing operations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(9,388)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(14,201)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(8,890)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(16,080)</w:t>
            </w:r>
          </w:p>
        </w:tc>
        <w:tc>
          <w:tcPr>
            <w:tcW w:w="18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w w:val="97"/>
              </w:rPr>
              <w:t>Net income (loss) from discontinued operations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(75,390)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(71,778)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(71,234)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16,925</w:t>
            </w: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10"/>
        </w:trPr>
        <w:tc>
          <w:tcPr>
            <w:tcW w:w="5840" w:type="dxa"/>
            <w:vAlign w:val="bottom"/>
            <w:gridSpan w:val="2"/>
          </w:tcPr>
          <w:p>
            <w:pPr>
              <w:ind w:left="1840"/>
              <w:spacing w:after="0"/>
              <w:rPr>
                <w:sz w:val="20"/>
                <w:szCs w:val="20"/>
                <w:color w:val="auto"/>
              </w:rPr>
            </w:pPr>
            <w:r>
              <w:rPr>
                <w:rFonts w:ascii="Arial" w:cs="Arial" w:eastAsia="Arial" w:hAnsi="Arial"/>
                <w:sz w:val="18"/>
                <w:szCs w:val="18"/>
                <w:color w:val="auto"/>
              </w:rPr>
              <w:t>Net income (loss)</w:t>
            </w:r>
          </w:p>
        </w:tc>
        <w:tc>
          <w:tcPr>
            <w:tcW w:w="60" w:type="dxa"/>
            <w:vAlign w:val="bottom"/>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(84,778)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shd w:val="clear" w:color="auto" w:fill="CFF0FC"/>
              </w:rPr>
              <w:t>(85,979</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shd w:val="clear" w:color="auto" w:fill="CFF0FC"/>
              </w:rPr>
              <w:t>(80,124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5840" w:type="dxa"/>
            <w:vAlign w:val="bottom"/>
            <w:gridSpan w:val="2"/>
          </w:tcPr>
          <w:p>
            <w:pPr>
              <w:ind w:left="1840"/>
              <w:spacing w:after="0"/>
              <w:rPr>
                <w:sz w:val="20"/>
                <w:szCs w:val="20"/>
                <w:color w:val="auto"/>
              </w:rPr>
            </w:pPr>
            <w:r>
              <w:rPr>
                <w:rFonts w:ascii="Arial" w:cs="Arial" w:eastAsia="Arial" w:hAnsi="Arial"/>
                <w:sz w:val="18"/>
                <w:szCs w:val="18"/>
                <w:color w:val="auto"/>
              </w:rPr>
              <w:t>Net income (loss) attributable to common stock</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(84,778)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(85,979)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(80,124)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68"/>
        </w:trPr>
        <w:tc>
          <w:tcPr>
            <w:tcW w:w="5840" w:type="dxa"/>
            <w:vAlign w:val="bottom"/>
            <w:gridSpan w:val="2"/>
          </w:tcPr>
          <w:p>
            <w:pPr>
              <w:ind w:left="1840"/>
              <w:spacing w:after="0"/>
              <w:rPr>
                <w:sz w:val="20"/>
                <w:szCs w:val="20"/>
                <w:color w:val="auto"/>
              </w:rPr>
            </w:pPr>
            <w:r>
              <w:rPr>
                <w:rFonts w:ascii="Arial" w:cs="Arial" w:eastAsia="Arial" w:hAnsi="Arial"/>
                <w:sz w:val="18"/>
                <w:szCs w:val="18"/>
                <w:color w:val="auto"/>
                <w:w w:val="97"/>
              </w:rPr>
              <w:t>Net income (loss) attributable to common stock per</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16"/>
        </w:trPr>
        <w:tc>
          <w:tcPr>
            <w:tcW w:w="184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Arial" w:cs="Arial" w:eastAsia="Arial" w:hAnsi="Arial"/>
                <w:sz w:val="18"/>
                <w:szCs w:val="18"/>
                <w:color w:val="auto"/>
              </w:rPr>
              <w:t>share – basic and diluted: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(0.18)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18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w w:val="97"/>
              </w:rPr>
              <w:t>Net income (loss) from discontinued operations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(0.93)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(0.89)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(0.86)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10"/>
        </w:trPr>
        <w:tc>
          <w:tcPr>
            <w:tcW w:w="1840" w:type="dxa"/>
            <w:vAlign w:val="bottom"/>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top w:val="single" w:sz="8" w:color="CFF0FC"/>
            </w:tcBorders>
            <w:shd w:val="clear" w:color="auto" w:fill="CFF0FC"/>
          </w:tcPr>
          <w:p>
            <w:pPr>
              <w:spacing w:after="0"/>
              <w:rPr>
                <w:sz w:val="18"/>
                <w:szCs w:val="18"/>
                <w:color w:val="auto"/>
              </w:rPr>
            </w:pPr>
          </w:p>
        </w:tc>
        <w:tc>
          <w:tcPr>
            <w:tcW w:w="1820" w:type="dxa"/>
            <w:vAlign w:val="bottom"/>
          </w:tcPr>
          <w:p>
            <w:pPr>
              <w:spacing w:after="0"/>
              <w:rPr>
                <w:sz w:val="18"/>
                <w:szCs w:val="18"/>
                <w:color w:val="auto"/>
              </w:rPr>
            </w:pPr>
          </w:p>
        </w:tc>
      </w:tr>
      <w:tr>
        <w:trPr>
          <w:trHeight w:val="425"/>
        </w:trPr>
        <w:tc>
          <w:tcPr>
            <w:tcW w:w="5840" w:type="dxa"/>
            <w:vAlign w:val="bottom"/>
            <w:gridSpan w:val="2"/>
          </w:tcPr>
          <w:p>
            <w:pPr>
              <w:ind w:left="1840"/>
              <w:spacing w:after="0"/>
              <w:rPr>
                <w:sz w:val="20"/>
                <w:szCs w:val="20"/>
                <w:color w:val="auto"/>
              </w:rPr>
            </w:pPr>
            <w:r>
              <w:rPr>
                <w:rFonts w:ascii="Arial" w:cs="Arial" w:eastAsia="Arial" w:hAnsi="Arial"/>
                <w:sz w:val="18"/>
                <w:szCs w:val="18"/>
                <w:color w:val="auto"/>
                <w:w w:val="89"/>
              </w:rPr>
              <w:t>Weighted average number of shares – basic and diluted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81,205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81,757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82,707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83,377</w:t>
            </w: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729"/>
        </w:trPr>
        <w:tc>
          <w:tcPr>
            <w:tcW w:w="5840" w:type="dxa"/>
            <w:vAlign w:val="bottom"/>
            <w:gridSpan w:val="2"/>
          </w:tcPr>
          <w:p>
            <w:pPr>
              <w:ind w:left="5500"/>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3"/>
              </w:rPr>
              <w:t>For the Three Months Ended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19"/>
        </w:trPr>
        <w:tc>
          <w:tcPr>
            <w:tcW w:w="184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101"/>
              <w:spacing w:after="0" w:line="119" w:lineRule="exact"/>
              <w:rPr>
                <w:sz w:val="20"/>
                <w:szCs w:val="20"/>
                <w:color w:val="auto"/>
              </w:rPr>
            </w:pPr>
            <w:r>
              <w:rPr>
                <w:rFonts w:ascii="Arial" w:cs="Arial" w:eastAsia="Arial" w:hAnsi="Arial"/>
                <w:sz w:val="13"/>
                <w:szCs w:val="13"/>
                <w:b w:val="1"/>
                <w:bCs w:val="1"/>
                <w:color w:val="auto"/>
              </w:rPr>
              <w:t>Mar 31,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141"/>
              <w:spacing w:after="0" w:line="119" w:lineRule="exact"/>
              <w:rPr>
                <w:sz w:val="20"/>
                <w:szCs w:val="20"/>
                <w:color w:val="auto"/>
              </w:rPr>
            </w:pPr>
            <w:r>
              <w:rPr>
                <w:rFonts w:ascii="Arial" w:cs="Arial" w:eastAsia="Arial" w:hAnsi="Arial"/>
                <w:sz w:val="13"/>
                <w:szCs w:val="13"/>
                <w:b w:val="1"/>
                <w:bCs w:val="1"/>
                <w:color w:val="auto"/>
                <w:w w:val="99"/>
              </w:rPr>
              <w:t>June 30,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right"/>
              <w:ind w:right="141"/>
              <w:spacing w:after="0" w:line="119" w:lineRule="exact"/>
              <w:rPr>
                <w:sz w:val="20"/>
                <w:szCs w:val="20"/>
                <w:color w:val="auto"/>
              </w:rPr>
            </w:pPr>
            <w:r>
              <w:rPr>
                <w:rFonts w:ascii="Arial" w:cs="Arial" w:eastAsia="Arial" w:hAnsi="Arial"/>
                <w:sz w:val="13"/>
                <w:szCs w:val="13"/>
                <w:b w:val="1"/>
                <w:bCs w:val="1"/>
                <w:color w:val="auto"/>
              </w:rPr>
              <w:t>Sep 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rPr>
              <w:t>Dec 31,</w:t>
            </w:r>
          </w:p>
        </w:tc>
        <w:tc>
          <w:tcPr>
            <w:tcW w:w="80" w:type="dxa"/>
            <w:vAlign w:val="bottom"/>
          </w:tcPr>
          <w:p>
            <w:pPr>
              <w:spacing w:after="0"/>
              <w:rPr>
                <w:sz w:val="10"/>
                <w:szCs w:val="10"/>
                <w:color w:val="auto"/>
              </w:rPr>
            </w:pPr>
          </w:p>
        </w:tc>
        <w:tc>
          <w:tcPr>
            <w:tcW w:w="1820" w:type="dxa"/>
            <w:vAlign w:val="bottom"/>
          </w:tcPr>
          <w:p>
            <w:pPr>
              <w:spacing w:after="0"/>
              <w:rPr>
                <w:sz w:val="10"/>
                <w:szCs w:val="10"/>
                <w:color w:val="auto"/>
              </w:rPr>
            </w:pPr>
          </w:p>
        </w:tc>
      </w:tr>
      <w:tr>
        <w:trPr>
          <w:trHeight w:val="171"/>
        </w:trPr>
        <w:tc>
          <w:tcPr>
            <w:tcW w:w="18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76"/>
        </w:trPr>
        <w:tc>
          <w:tcPr>
            <w:tcW w:w="5860" w:type="dxa"/>
            <w:vAlign w:val="bottom"/>
            <w:gridSpan w:val="2"/>
          </w:tcPr>
          <w:p>
            <w:pPr>
              <w:ind w:left="1840"/>
              <w:spacing w:after="0"/>
              <w:rPr>
                <w:sz w:val="20"/>
                <w:szCs w:val="20"/>
                <w:color w:val="auto"/>
              </w:rPr>
            </w:pPr>
            <w:r>
              <w:rPr>
                <w:rFonts w:ascii="Arial" w:cs="Arial" w:eastAsia="Arial" w:hAnsi="Arial"/>
                <w:sz w:val="18"/>
                <w:szCs w:val="18"/>
                <w:color w:val="auto"/>
              </w:rPr>
              <w:t>Total revenue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70,549</w:t>
            </w:r>
          </w:p>
        </w:tc>
        <w:tc>
          <w:tcPr>
            <w:tcW w:w="80" w:type="dxa"/>
            <w:vAlign w:val="bottom"/>
          </w:tcPr>
          <w:p>
            <w:pPr>
              <w:spacing w:after="0"/>
              <w:rPr>
                <w:sz w:val="24"/>
                <w:szCs w:val="24"/>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71,241</w:t>
            </w:r>
          </w:p>
        </w:tc>
        <w:tc>
          <w:tcPr>
            <w:tcW w:w="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81,340</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85,855</w:t>
            </w: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5860" w:type="dxa"/>
            <w:vAlign w:val="bottom"/>
            <w:gridSpan w:val="2"/>
          </w:tcPr>
          <w:p>
            <w:pPr>
              <w:ind w:left="184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23,167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29,440</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Net loss from continuing operations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(76,242)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(1,002)</w:t>
            </w:r>
          </w:p>
        </w:tc>
        <w:tc>
          <w:tcPr>
            <w:tcW w:w="18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Net loss from discontinued operations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(7,721)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(20,037)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(21,349)</w:t>
            </w:r>
          </w:p>
        </w:tc>
        <w:tc>
          <w:tcPr>
            <w:tcW w:w="1820" w:type="dxa"/>
            <w:vAlign w:val="bottom"/>
          </w:tcPr>
          <w:p>
            <w:pPr>
              <w:spacing w:after="0"/>
              <w:rPr>
                <w:sz w:val="20"/>
                <w:szCs w:val="20"/>
                <w:color w:val="auto"/>
              </w:rPr>
            </w:pPr>
          </w:p>
        </w:tc>
      </w:tr>
      <w:tr>
        <w:trPr>
          <w:trHeight w:val="209"/>
        </w:trPr>
        <w:tc>
          <w:tcPr>
            <w:tcW w:w="5860" w:type="dxa"/>
            <w:vAlign w:val="bottom"/>
            <w:gridSpan w:val="2"/>
          </w:tcPr>
          <w:p>
            <w:pPr>
              <w:ind w:left="1840"/>
              <w:spacing w:after="0"/>
              <w:rPr>
                <w:sz w:val="20"/>
                <w:szCs w:val="20"/>
                <w:color w:val="auto"/>
              </w:rPr>
            </w:pPr>
            <w:r>
              <w:rPr>
                <w:rFonts w:ascii="Arial" w:cs="Arial" w:eastAsia="Arial" w:hAnsi="Arial"/>
                <w:sz w:val="18"/>
                <w:szCs w:val="18"/>
                <w:color w:val="auto"/>
              </w:rPr>
              <w:t>Net loss</w:t>
            </w:r>
          </w:p>
        </w:tc>
        <w:tc>
          <w:tcPr>
            <w:tcW w:w="40" w:type="dxa"/>
            <w:vAlign w:val="bottom"/>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(16,799)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shd w:val="clear" w:color="auto" w:fill="CFF0FC"/>
              </w:rPr>
              <w:t>(83,963</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shd w:val="clear" w:color="auto" w:fill="CFF0FC"/>
              </w:rPr>
              <w:t>(22,891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shd w:val="clear" w:color="auto" w:fill="CFF0FC"/>
              </w:rPr>
              <w:t>(22,351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20" w:type="dxa"/>
            <w:vAlign w:val="bottom"/>
          </w:tcPr>
          <w:p>
            <w:pPr>
              <w:spacing w:after="0"/>
              <w:rPr>
                <w:sz w:val="18"/>
                <w:szCs w:val="18"/>
                <w:color w:val="auto"/>
              </w:rPr>
            </w:pPr>
          </w:p>
        </w:tc>
      </w:tr>
      <w:tr>
        <w:trPr>
          <w:trHeight w:val="230"/>
        </w:trPr>
        <w:tc>
          <w:tcPr>
            <w:tcW w:w="5860" w:type="dxa"/>
            <w:vAlign w:val="bottom"/>
            <w:gridSpan w:val="2"/>
          </w:tcPr>
          <w:p>
            <w:pPr>
              <w:ind w:left="1840"/>
              <w:spacing w:after="0"/>
              <w:rPr>
                <w:sz w:val="20"/>
                <w:szCs w:val="20"/>
                <w:color w:val="auto"/>
              </w:rPr>
            </w:pPr>
            <w:r>
              <w:rPr>
                <w:rFonts w:ascii="Arial" w:cs="Arial" w:eastAsia="Arial" w:hAnsi="Arial"/>
                <w:sz w:val="18"/>
                <w:szCs w:val="18"/>
                <w:color w:val="auto"/>
              </w:rPr>
              <w:t>Net loss attributable to common stock</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(16,799)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(83,963)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(22,891)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(22,351)</w:t>
            </w: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68"/>
        </w:trPr>
        <w:tc>
          <w:tcPr>
            <w:tcW w:w="5860" w:type="dxa"/>
            <w:vAlign w:val="bottom"/>
            <w:gridSpan w:val="2"/>
          </w:tcPr>
          <w:p>
            <w:pPr>
              <w:ind w:left="1840"/>
              <w:spacing w:after="0"/>
              <w:rPr>
                <w:sz w:val="20"/>
                <w:szCs w:val="20"/>
                <w:color w:val="auto"/>
              </w:rPr>
            </w:pPr>
            <w:r>
              <w:rPr>
                <w:rFonts w:ascii="Arial" w:cs="Arial" w:eastAsia="Arial" w:hAnsi="Arial"/>
                <w:sz w:val="18"/>
                <w:szCs w:val="18"/>
                <w:color w:val="auto"/>
                <w:w w:val="90"/>
              </w:rPr>
              <w:t>Net loss attributable to common stock per share – basic</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16"/>
        </w:trPr>
        <w:tc>
          <w:tcPr>
            <w:tcW w:w="1840" w:type="dxa"/>
            <w:vAlign w:val="bottom"/>
          </w:tcPr>
          <w:p>
            <w:pPr>
              <w:spacing w:after="0"/>
              <w:rPr>
                <w:sz w:val="18"/>
                <w:szCs w:val="18"/>
                <w:color w:val="auto"/>
              </w:rPr>
            </w:pPr>
          </w:p>
        </w:tc>
        <w:tc>
          <w:tcPr>
            <w:tcW w:w="4020" w:type="dxa"/>
            <w:vAlign w:val="bottom"/>
          </w:tcPr>
          <w:p>
            <w:pPr>
              <w:ind w:left="300"/>
              <w:spacing w:after="0"/>
              <w:rPr>
                <w:sz w:val="20"/>
                <w:szCs w:val="20"/>
                <w:color w:val="auto"/>
              </w:rPr>
            </w:pPr>
            <w:r>
              <w:rPr>
                <w:rFonts w:ascii="Arial" w:cs="Arial" w:eastAsia="Arial" w:hAnsi="Arial"/>
                <w:sz w:val="18"/>
                <w:szCs w:val="18"/>
                <w:color w:val="auto"/>
              </w:rPr>
              <w:t>and diluted: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Net loss from continuing operations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(0.93)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18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Net loss from discontinued operations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(0.09)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820" w:type="dxa"/>
            <w:vAlign w:val="bottom"/>
          </w:tcPr>
          <w:p>
            <w:pPr>
              <w:spacing w:after="0"/>
              <w:rPr>
                <w:sz w:val="20"/>
                <w:szCs w:val="20"/>
                <w:color w:val="auto"/>
              </w:rPr>
            </w:pPr>
          </w:p>
        </w:tc>
      </w:tr>
      <w:tr>
        <w:trPr>
          <w:trHeight w:val="210"/>
        </w:trPr>
        <w:tc>
          <w:tcPr>
            <w:tcW w:w="1840" w:type="dxa"/>
            <w:vAlign w:val="bottom"/>
          </w:tcPr>
          <w:p>
            <w:pPr>
              <w:spacing w:after="0"/>
              <w:rPr>
                <w:sz w:val="18"/>
                <w:szCs w:val="18"/>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20" w:type="dxa"/>
            <w:vAlign w:val="bottom"/>
          </w:tcPr>
          <w:p>
            <w:pPr>
              <w:spacing w:after="0"/>
              <w:rPr>
                <w:sz w:val="18"/>
                <w:szCs w:val="18"/>
                <w:color w:val="auto"/>
              </w:rPr>
            </w:pPr>
          </w:p>
        </w:tc>
      </w:tr>
      <w:tr>
        <w:trPr>
          <w:trHeight w:val="425"/>
        </w:trPr>
        <w:tc>
          <w:tcPr>
            <w:tcW w:w="5860" w:type="dxa"/>
            <w:vAlign w:val="bottom"/>
            <w:gridSpan w:val="2"/>
          </w:tcPr>
          <w:p>
            <w:pPr>
              <w:ind w:left="1840"/>
              <w:spacing w:after="0"/>
              <w:rPr>
                <w:sz w:val="20"/>
                <w:szCs w:val="20"/>
                <w:color w:val="auto"/>
              </w:rPr>
            </w:pPr>
            <w:r>
              <w:rPr>
                <w:rFonts w:ascii="Arial" w:cs="Arial" w:eastAsia="Arial" w:hAnsi="Arial"/>
                <w:sz w:val="18"/>
                <w:szCs w:val="18"/>
                <w:color w:val="auto"/>
                <w:w w:val="89"/>
              </w:rPr>
              <w:t>Weighted average number of shares – basic and diluted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80,446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80,702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80,908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80,997</w:t>
            </w: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729"/>
        </w:trPr>
        <w:tc>
          <w:tcPr>
            <w:tcW w:w="5860" w:type="dxa"/>
            <w:vAlign w:val="bottom"/>
            <w:gridSpan w:val="2"/>
          </w:tcPr>
          <w:p>
            <w:pPr>
              <w:ind w:left="550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15" w:name="page116"/>
    <w:bookmarkEnd w:id="115"/>
    <w:p>
      <w:pPr>
        <w:ind w:left="580" w:hanging="572"/>
        <w:spacing w:after="0"/>
        <w:tabs>
          <w:tab w:leader="none" w:pos="5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Information of Registrant</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the condensed financial information of our parent company on a standalone basis.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8"/>
          </w:tcPr>
          <w:p>
            <w:pPr>
              <w:jc w:val="right"/>
              <w:ind w:right="721"/>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5"/>
          </w:tcPr>
          <w:p>
            <w:pPr>
              <w:jc w:val="right"/>
              <w:ind w:right="24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80" w:type="dxa"/>
            <w:vAlign w:val="bottom"/>
          </w:tcPr>
          <w:p>
            <w:pPr>
              <w:ind w:left="4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55,065</w:t>
            </w:r>
          </w:p>
        </w:tc>
        <w:tc>
          <w:tcPr>
            <w:tcW w:w="80" w:type="dxa"/>
            <w:vAlign w:val="bottom"/>
          </w:tcPr>
          <w:p>
            <w:pPr>
              <w:spacing w:after="0"/>
              <w:rPr>
                <w:sz w:val="19"/>
                <w:szCs w:val="19"/>
                <w:color w:val="auto"/>
              </w:rPr>
            </w:pPr>
          </w:p>
        </w:tc>
        <w:tc>
          <w:tcPr>
            <w:tcW w:w="52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118,323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8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2,599</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5140" w:type="dxa"/>
            <w:vAlign w:val="bottom"/>
            <w:gridSpan w:val="2"/>
          </w:tcPr>
          <w:p>
            <w:pPr>
              <w:ind w:left="56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55,090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121,086</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560" w:type="dxa"/>
            <w:vAlign w:val="bottom"/>
            <w:vMerge w:val="restart"/>
          </w:tcPr>
          <w:p>
            <w:pPr>
              <w:spacing w:after="0"/>
              <w:rPr>
                <w:sz w:val="18"/>
                <w:szCs w:val="18"/>
                <w:color w:val="auto"/>
              </w:rPr>
            </w:pPr>
          </w:p>
        </w:tc>
        <w:tc>
          <w:tcPr>
            <w:tcW w:w="45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Liabilities and stockholders’ deficit: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1,947</w:t>
            </w: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16"/>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2,200</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80" w:type="dxa"/>
            <w:vAlign w:val="bottom"/>
          </w:tcPr>
          <w:p>
            <w:pPr>
              <w:ind w:left="48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212,387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199,849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2,340</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Investments and payables with subsidiaries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479,762</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315,587</w:t>
            </w:r>
          </w:p>
        </w:tc>
        <w:tc>
          <w:tcPr>
            <w:tcW w:w="8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6"/>
              </w:rPr>
              <w:t>696,204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2"/>
              </w:rPr>
              <w:t>519,976</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7"/>
          </w:tcPr>
          <w:p>
            <w:pPr>
              <w:jc w:val="right"/>
              <w:ind w:right="20"/>
              <w:spacing w:after="0"/>
              <w:rPr>
                <w:sz w:val="20"/>
                <w:szCs w:val="20"/>
                <w:color w:val="auto"/>
              </w:rPr>
            </w:pPr>
            <w:r>
              <w:rPr>
                <w:rFonts w:ascii="Arial" w:cs="Arial" w:eastAsia="Arial" w:hAnsi="Arial"/>
                <w:sz w:val="18"/>
                <w:szCs w:val="18"/>
                <w:color w:val="auto"/>
              </w:rPr>
              <w:t>(641,114)</w:t>
            </w:r>
          </w:p>
        </w:tc>
        <w:tc>
          <w:tcPr>
            <w:tcW w:w="1320" w:type="dxa"/>
            <w:vAlign w:val="bottom"/>
            <w:gridSpan w:val="7"/>
          </w:tcPr>
          <w:p>
            <w:pPr>
              <w:jc w:val="right"/>
              <w:ind w:right="20"/>
              <w:spacing w:after="0"/>
              <w:rPr>
                <w:sz w:val="20"/>
                <w:szCs w:val="20"/>
                <w:color w:val="auto"/>
              </w:rPr>
            </w:pPr>
            <w:r>
              <w:rPr>
                <w:rFonts w:ascii="Arial" w:cs="Arial" w:eastAsia="Arial" w:hAnsi="Arial"/>
                <w:sz w:val="18"/>
                <w:szCs w:val="18"/>
                <w:color w:val="auto"/>
              </w:rPr>
              <w:t>(398,890)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deficit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55,090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2"/>
              </w:rPr>
              <w:t>121,086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80" w:type="dxa"/>
            <w:vAlign w:val="bottom"/>
            <w:vMerge w:val="restart"/>
          </w:tcPr>
          <w:p>
            <w:pPr>
              <w:jc w:val="center"/>
              <w:ind w:left="3170"/>
              <w:spacing w:after="0"/>
              <w:rPr>
                <w:sz w:val="20"/>
                <w:szCs w:val="20"/>
                <w:color w:val="auto"/>
              </w:rPr>
            </w:pPr>
            <w:r>
              <w:rPr>
                <w:rFonts w:ascii="Arial" w:cs="Arial" w:eastAsia="Arial" w:hAnsi="Arial"/>
                <w:sz w:val="18"/>
                <w:szCs w:val="18"/>
                <w:b w:val="1"/>
                <w:bCs w:val="1"/>
                <w:color w:val="auto"/>
                <w:w w:val="91"/>
              </w:rPr>
              <w:t>Gogo Inc.</w:t>
            </w: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360" w:type="dxa"/>
            <w:vAlign w:val="bottom"/>
            <w:gridSpan w:val="8"/>
          </w:tcPr>
          <w:p>
            <w:pPr>
              <w:jc w:val="center"/>
              <w:ind w:left="1410"/>
              <w:spacing w:after="0"/>
              <w:rPr>
                <w:sz w:val="20"/>
                <w:szCs w:val="20"/>
                <w:color w:val="auto"/>
              </w:rPr>
            </w:pPr>
            <w:r>
              <w:rPr>
                <w:rFonts w:ascii="Arial" w:cs="Arial" w:eastAsia="Arial" w:hAnsi="Arial"/>
                <w:sz w:val="18"/>
                <w:szCs w:val="18"/>
                <w:b w:val="1"/>
                <w:bCs w:val="1"/>
                <w:color w:val="auto"/>
                <w:w w:val="88"/>
              </w:rPr>
              <w:t>Condensed Statements of Operations and Comprehensive Loss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80" w:type="dxa"/>
            <w:vAlign w:val="bottom"/>
          </w:tcPr>
          <w:p>
            <w:pPr>
              <w:jc w:val="center"/>
              <w:ind w:left="3170"/>
              <w:spacing w:after="0"/>
              <w:rPr>
                <w:sz w:val="20"/>
                <w:szCs w:val="20"/>
                <w:color w:val="auto"/>
              </w:rPr>
            </w:pPr>
            <w:r>
              <w:rPr>
                <w:rFonts w:ascii="Arial" w:cs="Arial" w:eastAsia="Arial" w:hAnsi="Arial"/>
                <w:sz w:val="18"/>
                <w:szCs w:val="18"/>
                <w:i w:val="1"/>
                <w:iCs w:val="1"/>
                <w:color w:val="auto"/>
                <w:w w:val="91"/>
              </w:rPr>
              <w:t>(in thousands)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60" w:type="dxa"/>
            <w:vAlign w:val="bottom"/>
            <w:gridSpan w:val="15"/>
          </w:tcPr>
          <w:p>
            <w:pPr>
              <w:jc w:val="right"/>
              <w:ind w:right="741"/>
              <w:spacing w:after="0"/>
              <w:rPr>
                <w:sz w:val="20"/>
                <w:szCs w:val="20"/>
                <w:color w:val="auto"/>
              </w:rPr>
            </w:pPr>
            <w:r>
              <w:rPr>
                <w:rFonts w:ascii="Arial" w:cs="Arial" w:eastAsia="Arial" w:hAnsi="Arial"/>
                <w:sz w:val="14"/>
                <w:szCs w:val="14"/>
                <w:b w:val="1"/>
                <w:bCs w:val="1"/>
                <w:color w:val="auto"/>
                <w:w w:val="96"/>
              </w:rPr>
              <w:t>For the Years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45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ind w:right="32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gridSpan w:val="4"/>
          </w:tcPr>
          <w:p>
            <w:pPr>
              <w:jc w:val="right"/>
              <w:ind w:right="316"/>
              <w:spacing w:after="0" w:line="155"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3"/>
          </w:tcPr>
          <w:p>
            <w:pPr>
              <w:jc w:val="right"/>
              <w:ind w:right="40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(3,083)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(3,123)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29,318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33,807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36,984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19,653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1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28,871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39,890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53,514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ind w:left="11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(28,871)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(39,890)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(53,514)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1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(3,354)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40" w:type="dxa"/>
            <w:vAlign w:val="bottom"/>
            <w:tcBorders>
              <w:bottom w:val="single" w:sz="8" w:color="CFF0FC"/>
            </w:tcBorders>
            <w:gridSpan w:val="2"/>
          </w:tcPr>
          <w:p>
            <w:pPr>
              <w:ind w:left="480"/>
              <w:spacing w:after="0"/>
              <w:rPr>
                <w:sz w:val="20"/>
                <w:szCs w:val="20"/>
                <w:color w:val="auto"/>
              </w:rPr>
            </w:pPr>
            <w:r>
              <w:rPr>
                <w:rFonts w:ascii="Arial" w:cs="Arial" w:eastAsia="Arial" w:hAnsi="Arial"/>
                <w:sz w:val="18"/>
                <w:szCs w:val="18"/>
                <w:color w:val="auto"/>
              </w:rPr>
              <w:t>Equity losses of subsidiaries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221,311</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105,551</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111,871</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(250,036</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92"/>
              </w:rPr>
              <w:t>(146,004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(162,031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ind w:left="1140"/>
              <w:spacing w:after="0"/>
              <w:rPr>
                <w:sz w:val="20"/>
                <w:szCs w:val="20"/>
                <w:color w:val="auto"/>
              </w:rPr>
            </w:pPr>
            <w:r>
              <w:rPr>
                <w:rFonts w:ascii="Arial" w:cs="Arial" w:eastAsia="Arial" w:hAnsi="Arial"/>
                <w:sz w:val="18"/>
                <w:szCs w:val="18"/>
                <w:color w:val="auto"/>
              </w:rPr>
              <w:t>Comprehensive loss</w:t>
            </w:r>
          </w:p>
        </w:tc>
        <w:tc>
          <w:tcPr>
            <w:tcW w:w="3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(250,036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(146,004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(162,031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jc w:val="center"/>
              <w:ind w:left="4890"/>
              <w:spacing w:after="0"/>
              <w:rPr>
                <w:sz w:val="20"/>
                <w:szCs w:val="20"/>
                <w:color w:val="auto"/>
              </w:rPr>
            </w:pPr>
            <w:r>
              <w:rPr>
                <w:rFonts w:ascii="Arial" w:cs="Arial" w:eastAsia="Arial" w:hAnsi="Arial"/>
                <w:sz w:val="18"/>
                <w:szCs w:val="18"/>
                <w:color w:val="auto"/>
                <w:w w:val="86"/>
              </w:rPr>
              <w:t>115</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2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Gogo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8"/>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(162,031)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Accretion of debt discount</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21,105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deferred financing costs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Loss on extinguishment of debt</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19,653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Subsidiary equity losses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111,871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(3,821)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operating activities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1140"/>
              <w:spacing w:after="0"/>
              <w:rPr>
                <w:sz w:val="20"/>
                <w:szCs w:val="20"/>
                <w:color w:val="auto"/>
              </w:rPr>
            </w:pPr>
            <w:r>
              <w:rPr>
                <w:rFonts w:ascii="Arial" w:cs="Arial" w:eastAsia="Arial" w:hAnsi="Arial"/>
                <w:sz w:val="18"/>
                <w:szCs w:val="18"/>
                <w:color w:val="auto"/>
              </w:rPr>
              <w:t>Net cash used in operating activities</w:t>
            </w:r>
          </w:p>
        </w:tc>
        <w:tc>
          <w:tcPr>
            <w:tcW w:w="1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Acquisition of short-term investments</w:t>
            </w: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(39,323)</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Redemption of short-term investments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192,893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Investments and advances with subsidiaries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(45,097)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(19,595)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1140"/>
              <w:spacing w:after="0"/>
              <w:rPr>
                <w:sz w:val="20"/>
                <w:szCs w:val="20"/>
                <w:color w:val="auto"/>
              </w:rPr>
            </w:pPr>
            <w:r>
              <w:rPr>
                <w:rFonts w:ascii="Arial" w:cs="Arial" w:eastAsia="Arial" w:hAnsi="Arial"/>
                <w:sz w:val="18"/>
                <w:szCs w:val="18"/>
                <w:color w:val="auto"/>
              </w:rPr>
              <w:t>Net cash provided by (used in) investing activities</w:t>
            </w:r>
          </w:p>
        </w:tc>
        <w:tc>
          <w:tcPr>
            <w:tcW w:w="1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133,975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w w:val="99"/>
              </w:rPr>
              <w:t>Proceeds from issuance of convertible notes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237,750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Repurchase of convertible notes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(2,498)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(159,502)</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(200,438)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Payment of debt issuance costs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(8,054)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financing activities</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(4,227)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1140"/>
              <w:spacing w:after="0"/>
              <w:rPr>
                <w:sz w:val="20"/>
                <w:szCs w:val="20"/>
                <w:color w:val="auto"/>
              </w:rPr>
            </w:pPr>
            <w:r>
              <w:rPr>
                <w:rFonts w:ascii="Arial" w:cs="Arial" w:eastAsia="Arial" w:hAnsi="Arial"/>
                <w:sz w:val="18"/>
                <w:szCs w:val="18"/>
                <w:color w:val="auto"/>
              </w:rPr>
              <w:t>Net cash provided by (used in) financing activities</w:t>
            </w:r>
          </w:p>
        </w:tc>
        <w:tc>
          <w:tcPr>
            <w:tcW w:w="1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 cash, cash equivalents</w:t>
            </w:r>
          </w:p>
        </w:tc>
        <w:tc>
          <w:tcPr>
            <w:tcW w:w="1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restricted cash</w:t>
            </w: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(65,857)</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(40,292)</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151,380</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Cash, cash equivalents and restricted cash at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beginning of period</w:t>
            </w:r>
          </w:p>
        </w:tc>
        <w:tc>
          <w:tcPr>
            <w:tcW w:w="12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120,922</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161,214</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9,834</w:t>
            </w:r>
          </w:p>
        </w:tc>
        <w:tc>
          <w:tcPr>
            <w:tcW w:w="8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w w:val="95"/>
              </w:rPr>
              <w:t>Cash, cash equivalents and restricted cash at end of</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period</w:t>
            </w:r>
          </w:p>
        </w:tc>
        <w:tc>
          <w:tcPr>
            <w:tcW w:w="15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55,065</w:t>
            </w: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120,922</w:t>
            </w:r>
          </w:p>
        </w:tc>
        <w:tc>
          <w:tcPr>
            <w:tcW w:w="1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161,214</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w w:val="95"/>
              </w:rPr>
              <w:t>Cash, cash equivalents and restricted cash at end of</w:t>
            </w: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period</w:t>
            </w:r>
          </w:p>
        </w:tc>
        <w:tc>
          <w:tcPr>
            <w:tcW w:w="15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55,065</w:t>
            </w:r>
          </w:p>
        </w:tc>
        <w:tc>
          <w:tcPr>
            <w:tcW w:w="120" w:type="dxa"/>
            <w:vAlign w:val="bottom"/>
          </w:tcPr>
          <w:p>
            <w:pPr>
              <w:spacing w:after="0"/>
              <w:rPr>
                <w:sz w:val="20"/>
                <w:szCs w:val="20"/>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120,922</w:t>
            </w:r>
          </w:p>
        </w:tc>
        <w:tc>
          <w:tcPr>
            <w:tcW w:w="140" w:type="dxa"/>
            <w:vAlign w:val="bottom"/>
          </w:tcPr>
          <w:p>
            <w:pPr>
              <w:spacing w:after="0"/>
              <w:rPr>
                <w:sz w:val="20"/>
                <w:szCs w:val="20"/>
                <w:color w:val="auto"/>
              </w:rPr>
            </w:pPr>
          </w:p>
        </w:tc>
        <w:tc>
          <w:tcPr>
            <w:tcW w:w="4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161,214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Less: current restricted cash</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non-current restricted cash</w:t>
            </w:r>
          </w:p>
        </w:tc>
        <w:tc>
          <w:tcPr>
            <w:tcW w:w="1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55,065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118,323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161,113</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80" w:type="dxa"/>
            <w:vAlign w:val="bottom"/>
            <w:vMerge w:val="restart"/>
          </w:tcPr>
          <w:p>
            <w:pPr>
              <w:jc w:val="right"/>
              <w:ind w:right="590"/>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December 31, 2020 that are designed to provide reasonable assurance that information required to be disclosed in this report is recorded, processed, summarized and reported within required time periods. Based upon this evaluation, our Chief Executive Officer and the Chief Financial Officer have concluded that our disclosure controls and procedures were effective as of December 31, 2020.</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121"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The management of Gogo Inc. is responsible for establishing and maintaining adequate internal control over financial reporting as defined in Rules 13a – 15(f) and 15d – 15(f) under the Securities Exchange Act of 1934. Gogo’s internal control over financial reporting is designed to provide reasonable assurance regarding the reliability of financial reporting and the preparation and fair presentation of its published financial statements in accordance with accounting principles generally accepted in the United States of America.</w:t>
      </w:r>
    </w:p>
    <w:p>
      <w:pPr>
        <w:spacing w:after="0" w:line="187" w:lineRule="exact"/>
        <w:rPr>
          <w:sz w:val="20"/>
          <w:szCs w:val="20"/>
          <w:color w:val="auto"/>
        </w:rPr>
      </w:pPr>
    </w:p>
    <w:p>
      <w:pPr>
        <w:ind w:right="440" w:firstLine="589"/>
        <w:spacing w:after="0" w:line="279" w:lineRule="auto"/>
        <w:rPr>
          <w:sz w:val="20"/>
          <w:szCs w:val="20"/>
          <w:color w:val="auto"/>
        </w:rPr>
      </w:pPr>
      <w:r>
        <w:rPr>
          <w:rFonts w:ascii="Arial" w:cs="Arial" w:eastAsia="Arial" w:hAnsi="Arial"/>
          <w:sz w:val="17"/>
          <w:szCs w:val="17"/>
          <w:color w:val="auto"/>
        </w:rPr>
        <w:t>The management of Gogo, with the participation of the Company’s Chief Executive Officer and Chief Financial Officer, have assessed the effectiveness of Gogo’s internal control over financial reporting as of December 31, 2020, based on the criteria set forth in Internal Control-Integrated Framework (2013 Framework) issued by the Committee of Sponsoring Organizations of the Treadway Commission. Based on our assessment, the Company’s management concluded that our internal control over financial reporting was effective as of December 31, 2020.</w:t>
      </w:r>
    </w:p>
    <w:p>
      <w:pPr>
        <w:spacing w:after="0" w:line="17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Deloitte &amp; Touche LLP, the Company’s independent registered public accounting firm, has issued an attestation report on our internal control over financial reporting as of December 31, 2020, which report is included on Page 118 of this Form 10-K under the caption entitled “Report of Independent Registered Public Accounting Firm.”</w:t>
      </w:r>
    </w:p>
    <w:p>
      <w:pPr>
        <w:spacing w:after="0" w:line="184"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to future periods are subject to risk that controls may become inadequate because of changes in conditions, or that the degree of compliance with the policies or procedures may deteriorate.</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21" w:lineRule="exact"/>
        <w:rPr>
          <w:sz w:val="20"/>
          <w:szCs w:val="20"/>
          <w:color w:val="auto"/>
        </w:rPr>
      </w:pPr>
    </w:p>
    <w:p>
      <w:pPr>
        <w:jc w:val="both"/>
        <w:ind w:right="120" w:firstLine="589"/>
        <w:spacing w:after="0" w:line="263" w:lineRule="auto"/>
        <w:rPr>
          <w:sz w:val="20"/>
          <w:szCs w:val="20"/>
          <w:color w:val="auto"/>
        </w:rPr>
      </w:pPr>
      <w:r>
        <w:rPr>
          <w:rFonts w:ascii="Arial" w:cs="Arial" w:eastAsia="Arial" w:hAnsi="Arial"/>
          <w:sz w:val="18"/>
          <w:szCs w:val="18"/>
          <w:color w:val="auto"/>
        </w:rPr>
        <w:t>There have been no material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28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8" w:name="page119"/>
    <w:bookmarkEnd w:id="118"/>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Gogo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6"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 xml:space="preserve">We have audited the internal control over financial reporting of Gogo Inc. and subsidiaries (the “Company”)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March 11, 2021,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9" w:name="page120"/>
    <w:bookmarkEnd w:id="119"/>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information required by this item is incorporated by reference to our Proxy Statement for the 2021 Annual Meeting of Stockholders to be filed with the Securities and Exchange Commission (“SEC”) within 120 days of the fiscal year ended December 31, 2020.</w:t>
      </w:r>
    </w:p>
    <w:p>
      <w:pPr>
        <w:spacing w:after="0" w:line="25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2021 Annual Meeting of Stockholders to be filed with the SEC within 120 days of the fiscal year ended December 31, 2020.</w:t>
      </w:r>
    </w:p>
    <w:p>
      <w:pPr>
        <w:spacing w:after="0" w:line="27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Information appearing under the caption “Security Ownership of Certain Beneficial Owners and Management” in our Proxy Statement for the 2021 Annual Meeting of Stockholders to be filed with the SEC within 120 days of the fiscal year ended December 31, 2020 is incorporated herein by reference.</w:t>
      </w:r>
    </w:p>
    <w:p>
      <w:pPr>
        <w:spacing w:after="0" w:line="12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sets forth the number of shares of our common stock reserved for issuance under our equity compensation plans (which includes amounts for both continuing and discontinued operations) as of the end of 2020:</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00" w:type="dxa"/>
            <w:vAlign w:val="bottom"/>
            <w:tcBorders>
              <w:top w:val="single" w:sz="8" w:color="auto"/>
              <w:left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securities remaining available</w:t>
            </w:r>
          </w:p>
        </w:tc>
      </w:tr>
      <w:tr>
        <w:trPr>
          <w:trHeight w:val="216"/>
        </w:trPr>
        <w:tc>
          <w:tcPr>
            <w:tcW w:w="2700" w:type="dxa"/>
            <w:vAlign w:val="bottom"/>
            <w:tcBorders>
              <w:left w:val="single" w:sz="8" w:color="auto"/>
            </w:tcBorders>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 to be</w:t>
            </w:r>
          </w:p>
        </w:tc>
        <w:tc>
          <w:tcPr>
            <w:tcW w:w="2860" w:type="dxa"/>
            <w:vAlign w:val="bottom"/>
          </w:tcPr>
          <w:p>
            <w:pPr>
              <w:spacing w:after="0"/>
              <w:rPr>
                <w:sz w:val="18"/>
                <w:szCs w:val="18"/>
                <w:color w:val="auto"/>
              </w:rPr>
            </w:pP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for future issuance under equity</w:t>
            </w:r>
          </w:p>
        </w:tc>
      </w:tr>
      <w:tr>
        <w:trPr>
          <w:trHeight w:val="216"/>
        </w:trPr>
        <w:tc>
          <w:tcPr>
            <w:tcW w:w="2700" w:type="dxa"/>
            <w:vAlign w:val="bottom"/>
            <w:tcBorders>
              <w:left w:val="single" w:sz="8" w:color="auto"/>
            </w:tcBorders>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5"/>
              </w:rPr>
              <w:t>issued upon exercise of</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 average exercise price of</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2700" w:type="dxa"/>
            <w:vAlign w:val="bottom"/>
            <w:tcBorders>
              <w:left w:val="single" w:sz="8" w:color="auto"/>
            </w:tcBorders>
          </w:tcPr>
          <w:p>
            <w:pPr>
              <w:spacing w:after="0"/>
              <w:rPr>
                <w:sz w:val="18"/>
                <w:szCs w:val="18"/>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outstanding options, warrants outstanding options, warrants and</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(excluding securities reflected in</w:t>
            </w:r>
          </w:p>
        </w:tc>
      </w:tr>
      <w:tr>
        <w:trPr>
          <w:trHeight w:val="241"/>
        </w:trPr>
        <w:tc>
          <w:tcPr>
            <w:tcW w:w="2700" w:type="dxa"/>
            <w:vAlign w:val="bottom"/>
            <w:tcBorders>
              <w:left w:val="single" w:sz="8" w:color="auto"/>
              <w:bottom w:val="single" w:sz="8" w:color="auto"/>
            </w:tcBorders>
          </w:tcPr>
          <w:p>
            <w:pPr>
              <w:ind w:left="820"/>
              <w:spacing w:after="0"/>
              <w:rPr>
                <w:sz w:val="20"/>
                <w:szCs w:val="20"/>
                <w:color w:val="auto"/>
              </w:rPr>
            </w:pPr>
            <w:r>
              <w:rPr>
                <w:rFonts w:ascii="Arial" w:cs="Arial" w:eastAsia="Arial" w:hAnsi="Arial"/>
                <w:sz w:val="18"/>
                <w:szCs w:val="18"/>
                <w:b w:val="1"/>
                <w:bCs w:val="1"/>
                <w:color w:val="auto"/>
              </w:rPr>
              <w:t>Plan Category</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and rights (#)</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rights ($)</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column (a))(#)</w:t>
            </w:r>
          </w:p>
        </w:tc>
      </w:tr>
      <w:tr>
        <w:trPr>
          <w:trHeight w:val="216"/>
        </w:trPr>
        <w:tc>
          <w:tcPr>
            <w:tcW w:w="2700" w:type="dxa"/>
            <w:vAlign w:val="bottom"/>
            <w:tcBorders>
              <w:left w:val="single" w:sz="8" w:color="auto"/>
            </w:tcBorders>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674"/>
        </w:trPr>
        <w:tc>
          <w:tcPr>
            <w:tcW w:w="2700" w:type="dxa"/>
            <w:vAlign w:val="bottom"/>
            <w:tcBorders>
              <w:left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0"/>
              </w:rPr>
              <w:t>Equity compensation plans approved</w:t>
            </w:r>
          </w:p>
        </w:tc>
        <w:tc>
          <w:tcPr>
            <w:tcW w:w="2300" w:type="dxa"/>
            <w:vAlign w:val="bottom"/>
            <w:shd w:val="clear" w:color="auto" w:fill="CFF0FC"/>
          </w:tcPr>
          <w:p>
            <w:pPr>
              <w:spacing w:after="0"/>
              <w:rPr>
                <w:sz w:val="24"/>
                <w:szCs w:val="24"/>
                <w:color w:val="auto"/>
              </w:rPr>
            </w:pPr>
          </w:p>
        </w:tc>
        <w:tc>
          <w:tcPr>
            <w:tcW w:w="2860" w:type="dxa"/>
            <w:vAlign w:val="bottom"/>
            <w:shd w:val="clear" w:color="auto" w:fill="CFF0FC"/>
          </w:tcPr>
          <w:p>
            <w:pPr>
              <w:spacing w:after="0"/>
              <w:rPr>
                <w:sz w:val="24"/>
                <w:szCs w:val="24"/>
                <w:color w:val="auto"/>
              </w:rPr>
            </w:pPr>
          </w:p>
        </w:tc>
        <w:tc>
          <w:tcPr>
            <w:tcW w:w="3400" w:type="dxa"/>
            <w:vAlign w:val="bottom"/>
            <w:tcBorders>
              <w:right w:val="single" w:sz="8" w:color="auto"/>
            </w:tcBorders>
            <w:shd w:val="clear" w:color="auto" w:fill="CFF0FC"/>
          </w:tcPr>
          <w:p>
            <w:pPr>
              <w:spacing w:after="0"/>
              <w:rPr>
                <w:sz w:val="24"/>
                <w:szCs w:val="24"/>
                <w:color w:val="auto"/>
              </w:rPr>
            </w:pPr>
          </w:p>
        </w:tc>
      </w:tr>
      <w:tr>
        <w:trPr>
          <w:trHeight w:val="230"/>
        </w:trPr>
        <w:tc>
          <w:tcPr>
            <w:tcW w:w="2700" w:type="dxa"/>
            <w:vAlign w:val="bottom"/>
            <w:tcBorders>
              <w:left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by security holders</w:t>
            </w:r>
          </w:p>
        </w:tc>
        <w:tc>
          <w:tcPr>
            <w:tcW w:w="2300" w:type="dxa"/>
            <w:vAlign w:val="bottom"/>
            <w:tcBorders>
              <w:bottom w:val="single" w:sz="8" w:color="auto"/>
            </w:tcBorders>
            <w:shd w:val="clear" w:color="auto" w:fill="CFF0FC"/>
          </w:tcPr>
          <w:p>
            <w:pPr>
              <w:jc w:val="center"/>
              <w:ind w:right="530"/>
              <w:spacing w:after="0"/>
              <w:rPr>
                <w:sz w:val="20"/>
                <w:szCs w:val="20"/>
                <w:color w:val="auto"/>
              </w:rPr>
            </w:pPr>
            <w:r>
              <w:rPr>
                <w:rFonts w:ascii="Arial" w:cs="Arial" w:eastAsia="Arial" w:hAnsi="Arial"/>
                <w:sz w:val="18"/>
                <w:szCs w:val="18"/>
                <w:color w:val="auto"/>
              </w:rPr>
              <w:t xml:space="preserve">9,546,735 </w:t>
            </w:r>
            <w:r>
              <w:rPr>
                <w:rFonts w:ascii="Arial" w:cs="Arial" w:eastAsia="Arial" w:hAnsi="Arial"/>
                <w:sz w:val="15"/>
                <w:szCs w:val="15"/>
                <w:color w:val="auto"/>
              </w:rPr>
              <w:t>(1)</w:t>
            </w:r>
          </w:p>
        </w:tc>
        <w:tc>
          <w:tcPr>
            <w:tcW w:w="2860" w:type="dxa"/>
            <w:vAlign w:val="bottom"/>
            <w:tcBorders>
              <w:bottom w:val="single" w:sz="8" w:color="auto"/>
            </w:tcBorders>
            <w:shd w:val="clear" w:color="auto" w:fill="CFF0FC"/>
          </w:tcPr>
          <w:p>
            <w:pPr>
              <w:jc w:val="center"/>
              <w:ind w:right="1050"/>
              <w:spacing w:after="0"/>
              <w:rPr>
                <w:sz w:val="20"/>
                <w:szCs w:val="20"/>
                <w:color w:val="auto"/>
              </w:rPr>
            </w:pPr>
            <w:r>
              <w:rPr>
                <w:rFonts w:ascii="Arial" w:cs="Arial" w:eastAsia="Arial" w:hAnsi="Arial"/>
                <w:sz w:val="18"/>
                <w:szCs w:val="18"/>
                <w:color w:val="auto"/>
              </w:rPr>
              <w:t xml:space="preserve">4.19 </w:t>
            </w:r>
            <w:r>
              <w:rPr>
                <w:rFonts w:ascii="Arial" w:cs="Arial" w:eastAsia="Arial" w:hAnsi="Arial"/>
                <w:sz w:val="15"/>
                <w:szCs w:val="15"/>
                <w:color w:val="auto"/>
              </w:rPr>
              <w:t>(2)</w:t>
            </w:r>
          </w:p>
        </w:tc>
        <w:tc>
          <w:tcPr>
            <w:tcW w:w="3400" w:type="dxa"/>
            <w:vAlign w:val="bottom"/>
            <w:tcBorders>
              <w:bottom w:val="single" w:sz="8" w:color="auto"/>
              <w:right w:val="single" w:sz="8" w:color="auto"/>
            </w:tcBorders>
            <w:shd w:val="clear" w:color="auto" w:fill="CFF0FC"/>
          </w:tcPr>
          <w:p>
            <w:pPr>
              <w:jc w:val="center"/>
              <w:ind w:right="1150"/>
              <w:spacing w:after="0"/>
              <w:rPr>
                <w:sz w:val="20"/>
                <w:szCs w:val="20"/>
                <w:color w:val="auto"/>
              </w:rPr>
            </w:pPr>
            <w:r>
              <w:rPr>
                <w:rFonts w:ascii="Arial" w:cs="Arial" w:eastAsia="Arial" w:hAnsi="Arial"/>
                <w:sz w:val="18"/>
                <w:szCs w:val="18"/>
                <w:color w:val="auto"/>
              </w:rPr>
              <w:t xml:space="preserve">7,739,128 </w:t>
            </w:r>
            <w:r>
              <w:rPr>
                <w:rFonts w:ascii="Arial" w:cs="Arial" w:eastAsia="Arial" w:hAnsi="Arial"/>
                <w:sz w:val="15"/>
                <w:szCs w:val="15"/>
                <w:color w:val="auto"/>
              </w:rPr>
              <w:t>(3)</w:t>
            </w:r>
          </w:p>
        </w:tc>
      </w:tr>
      <w:tr>
        <w:trPr>
          <w:trHeight w:val="654"/>
        </w:trPr>
        <w:tc>
          <w:tcPr>
            <w:tcW w:w="27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Equity compensation plans not</w:t>
            </w:r>
          </w:p>
        </w:tc>
        <w:tc>
          <w:tcPr>
            <w:tcW w:w="2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r>
      <w:tr>
        <w:trPr>
          <w:trHeight w:val="230"/>
        </w:trPr>
        <w:tc>
          <w:tcPr>
            <w:tcW w:w="2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approved by security holders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r>
      <w:tr>
        <w:trPr>
          <w:trHeight w:val="236"/>
        </w:trPr>
        <w:tc>
          <w:tcPr>
            <w:tcW w:w="2700" w:type="dxa"/>
            <w:vAlign w:val="bottom"/>
            <w:tcBorders>
              <w:left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rPr>
              <w:t>9,546,735</w:t>
            </w:r>
          </w:p>
        </w:tc>
        <w:tc>
          <w:tcPr>
            <w:tcW w:w="2860" w:type="dxa"/>
            <w:vAlign w:val="bottom"/>
            <w:tcBorders>
              <w:bottom w:val="single" w:sz="8" w:color="auto"/>
            </w:tcBorders>
            <w:shd w:val="clear" w:color="auto" w:fill="CFF0FC"/>
          </w:tcPr>
          <w:p>
            <w:pPr>
              <w:jc w:val="right"/>
              <w:ind w:right="1170"/>
              <w:spacing w:after="0"/>
              <w:rPr>
                <w:sz w:val="20"/>
                <w:szCs w:val="20"/>
                <w:color w:val="auto"/>
              </w:rPr>
            </w:pPr>
            <w:r>
              <w:rPr>
                <w:rFonts w:ascii="Arial" w:cs="Arial" w:eastAsia="Arial" w:hAnsi="Arial"/>
                <w:sz w:val="18"/>
                <w:szCs w:val="18"/>
                <w:color w:val="auto"/>
              </w:rPr>
              <w:t>4.19</w:t>
            </w:r>
          </w:p>
        </w:tc>
        <w:tc>
          <w:tcPr>
            <w:tcW w:w="3400" w:type="dxa"/>
            <w:vAlign w:val="bottom"/>
            <w:tcBorders>
              <w:bottom w:val="single" w:sz="8" w:color="auto"/>
              <w:right w:val="single" w:sz="8" w:color="auto"/>
            </w:tcBorders>
            <w:shd w:val="clear" w:color="auto" w:fill="CFF0FC"/>
          </w:tcPr>
          <w:p>
            <w:pPr>
              <w:jc w:val="right"/>
              <w:ind w:right="1270"/>
              <w:spacing w:after="0"/>
              <w:rPr>
                <w:sz w:val="20"/>
                <w:szCs w:val="20"/>
                <w:color w:val="auto"/>
              </w:rPr>
            </w:pPr>
            <w:r>
              <w:rPr>
                <w:rFonts w:ascii="Arial" w:cs="Arial" w:eastAsia="Arial" w:hAnsi="Arial"/>
                <w:sz w:val="18"/>
                <w:szCs w:val="18"/>
                <w:color w:val="auto"/>
              </w:rPr>
              <w:t>7,739,128</w:t>
            </w:r>
          </w:p>
        </w:tc>
      </w:tr>
    </w:tbl>
    <w:p>
      <w:pPr>
        <w:spacing w:after="0" w:line="242" w:lineRule="exact"/>
        <w:rPr>
          <w:sz w:val="20"/>
          <w:szCs w:val="20"/>
          <w:color w:val="auto"/>
        </w:rPr>
      </w:pPr>
    </w:p>
    <w:p>
      <w:pPr>
        <w:ind w:left="1160" w:right="120" w:hanging="572"/>
        <w:spacing w:after="0" w:line="277"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number of shares associated with options, Restricted Stock Units and Deferred Share Units outstanding as of December 31, 2020.</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the 5,446,668 options disclosed in column (a).</w:t>
      </w:r>
    </w:p>
    <w:p>
      <w:pPr>
        <w:spacing w:after="0" w:line="117" w:lineRule="exact"/>
        <w:rPr>
          <w:rFonts w:ascii="Arial" w:cs="Arial" w:eastAsia="Arial" w:hAnsi="Arial"/>
          <w:sz w:val="18"/>
          <w:szCs w:val="18"/>
          <w:color w:val="auto"/>
        </w:rPr>
      </w:pPr>
    </w:p>
    <w:p>
      <w:pPr>
        <w:ind w:left="1160" w:right="140" w:hanging="572"/>
        <w:spacing w:after="0" w:line="259"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number of shares remaining available for future issuance under our 2016 Omnibus Incentive Plan (6,921,973 shares), 2013 Omnibus Incentive Plan (2,015 shares) and ESPP (815,140 shares). Of this number, only 4,774,864 shares are available for issuance with respect to Restricted Stock Units, Deferred Share Units and other awards based on the full value of stock (rather than an increase in value) under our 2016 Omnibus Incentive Plan and 2013 Omnibus Incentive Plan.</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20" w:name="page121"/>
    <w:bookmarkEnd w:id="120"/>
    <w:p>
      <w:pPr>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2021 Annual Meeting of Stockholders to be filed with the SEC within 120 days of the fiscal year ended December 31, 2020.</w:t>
      </w:r>
    </w:p>
    <w:p>
      <w:pPr>
        <w:spacing w:after="0" w:line="27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2021 Annual Meeting of Stockholders to be filed with the SEC within 120 days of the fiscal year ended December 31, 2020.</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filed the following documents as part of this Form 10-K:</w:t>
      </w:r>
    </w:p>
    <w:p>
      <w:pPr>
        <w:spacing w:after="0" w:line="225" w:lineRule="exact"/>
        <w:rPr>
          <w:sz w:val="20"/>
          <w:szCs w:val="20"/>
          <w:color w:val="auto"/>
        </w:rPr>
      </w:pPr>
    </w:p>
    <w:p>
      <w:pPr>
        <w:ind w:left="580" w:hanging="57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40" w:type="dxa"/>
            <w:vAlign w:val="bottom"/>
            <w:gridSpan w:val="2"/>
            <w:vMerge w:val="restart"/>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Report of Independent Registered Public Accounting Firm</w:t>
              </w:r>
            </w:hyperlink>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195"/>
        </w:trPr>
        <w:tc>
          <w:tcPr>
            <w:tcW w:w="10240" w:type="dxa"/>
            <w:vAlign w:val="bottom"/>
            <w:gridSpan w:val="2"/>
            <w:vMerge w:val="continue"/>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Balance Sheets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Statements of Operations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Consolidated Statements of Comprehensive Loss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Consolidated Statements of Cash Flows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240" w:type="dxa"/>
            <w:vAlign w:val="bottom"/>
            <w:gridSpan w:val="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Consolidated Statements of Stockholders’ Equity (Deficit)</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10240" w:type="dxa"/>
            <w:vAlign w:val="bottom"/>
            <w:gridSpan w:val="2"/>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Notes to Consolidated Financial Statements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9880" w:type="dxa"/>
            <w:vAlign w:val="bottom"/>
          </w:tcPr>
          <w:p>
            <w:pPr>
              <w:ind w:left="220"/>
              <w:spacing w:after="0"/>
              <w:rPr>
                <w:sz w:val="20"/>
                <w:szCs w:val="20"/>
                <w:color w:val="auto"/>
              </w:rPr>
            </w:pPr>
            <w:r>
              <w:rPr>
                <w:rFonts w:ascii="Arial" w:cs="Arial" w:eastAsia="Arial" w:hAnsi="Arial"/>
                <w:sz w:val="18"/>
                <w:szCs w:val="18"/>
                <w:color w:val="auto"/>
              </w:rPr>
              <w:t>Financial Statement Schedules: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All schedules have been omitted because they are not required, not applicable, not present in amounts sufficient to require submission of the schedule, or the required information is otherwise included.</w:t>
      </w:r>
    </w:p>
    <w:p>
      <w:pPr>
        <w:spacing w:after="0" w:line="170"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7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9880" w:type="dxa"/>
            <w:vAlign w:val="bottom"/>
            <w:gridSpan w:val="21"/>
          </w:tcPr>
          <w:p>
            <w:pPr>
              <w:spacing w:after="0" w:line="196" w:lineRule="exact"/>
              <w:rPr>
                <w:sz w:val="20"/>
                <w:szCs w:val="20"/>
                <w:color w:val="auto"/>
              </w:rPr>
            </w:pPr>
            <w:r>
              <w:rPr>
                <w:rFonts w:ascii="Arial" w:cs="Arial" w:eastAsia="Arial" w:hAnsi="Arial"/>
                <w:sz w:val="18"/>
                <w:szCs w:val="18"/>
                <w:b w:val="1"/>
                <w:bCs w:val="1"/>
                <w:color w:val="auto"/>
              </w:rPr>
              <w:t>Description of Exhibits</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2.1**†</w:t>
            </w:r>
          </w:p>
        </w:tc>
        <w:tc>
          <w:tcPr>
            <w:tcW w:w="72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67">
              <w:r>
                <w:rPr>
                  <w:rFonts w:ascii="Arial" w:cs="Arial" w:eastAsia="Arial" w:hAnsi="Arial"/>
                  <w:sz w:val="18"/>
                  <w:szCs w:val="18"/>
                  <w:color w:val="0000EE"/>
                  <w:w w:val="89"/>
                </w:rPr>
                <w:t>Purchase and Sale Agreement by and among Gogo Inc. and Intelsat Jackson Holdings S.A. dated August 31, 2020 (incorporated by</w:t>
              </w:r>
            </w:hyperlink>
          </w:p>
        </w:tc>
        <w:tc>
          <w:tcPr>
            <w:tcW w:w="420" w:type="dxa"/>
            <w:vAlign w:val="bottom"/>
            <w:gridSpan w:val="10"/>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reference to Exhibit 2.1 to Form 8-K filed on September 1, 2020 (File No. 001-35975)</w:t>
              </w:r>
            </w:hyperlink>
          </w:p>
        </w:tc>
        <w:tc>
          <w:tcPr>
            <w:tcW w:w="3660" w:type="dxa"/>
            <w:vAlign w:val="bottom"/>
            <w:gridSpan w:val="12"/>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Third Amended and Restated Certificate of Incorporation (incorporated by reference to Exhibit 3.1 to Form 10-Q filed on August 7,</w:t>
              </w:r>
            </w:hyperlink>
          </w:p>
        </w:tc>
        <w:tc>
          <w:tcPr>
            <w:tcW w:w="360" w:type="dxa"/>
            <w:vAlign w:val="bottom"/>
            <w:gridSpan w:val="8"/>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2013 (File No. 001-35975))</w:t>
              </w:r>
            </w:hyperlink>
          </w:p>
        </w:tc>
        <w:tc>
          <w:tcPr>
            <w:tcW w:w="7880" w:type="dxa"/>
            <w:vAlign w:val="bottom"/>
            <w:gridSpan w:val="17"/>
          </w:tcPr>
          <w:p>
            <w:pPr>
              <w:spacing w:after="0"/>
              <w:rPr>
                <w:sz w:val="17"/>
                <w:szCs w:val="17"/>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80" w:type="dxa"/>
            <w:vAlign w:val="bottom"/>
            <w:gridSpan w:val="21"/>
          </w:tcPr>
          <w:p>
            <w:pPr>
              <w:spacing w:after="0"/>
              <w:rPr>
                <w:rFonts w:ascii="Arial" w:cs="Arial" w:eastAsia="Arial" w:hAnsi="Arial"/>
                <w:sz w:val="18"/>
                <w:szCs w:val="18"/>
                <w:u w:val="single" w:color="auto"/>
                <w:color w:val="0000EE"/>
                <w:w w:val="93"/>
              </w:rPr>
            </w:pPr>
            <w:hyperlink r:id="rId169">
              <w:r>
                <w:rPr>
                  <w:rFonts w:ascii="Arial" w:cs="Arial" w:eastAsia="Arial" w:hAnsi="Arial"/>
                  <w:sz w:val="18"/>
                  <w:szCs w:val="18"/>
                  <w:u w:val="single" w:color="auto"/>
                  <w:color w:val="0000EE"/>
                  <w:w w:val="93"/>
                </w:rPr>
                <w:t>Amended and Restated Bylaws (incorporated by reference to Exhibit 3.2 to Form 10-Q filed on August 7, 2013 (File No. 001-35975))</w:t>
              </w:r>
            </w:hyperlink>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3.3</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20" w:type="dxa"/>
            <w:vAlign w:val="bottom"/>
            <w:tcBorders>
              <w:bottom w:val="single" w:sz="8" w:color="0000EE"/>
            </w:tcBorders>
            <w:gridSpan w:val="13"/>
          </w:tcPr>
          <w:p>
            <w:pPr>
              <w:spacing w:after="0" w:line="190"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Certificate of Designations of Series A Preferred Stock of Gogo Inc., as filed with the Secretary of State of the State of Delaware on</w:t>
              </w:r>
            </w:hyperlink>
          </w:p>
        </w:tc>
        <w:tc>
          <w:tcPr>
            <w:tcW w:w="360" w:type="dxa"/>
            <w:vAlign w:val="bottom"/>
            <w:gridSpan w:val="8"/>
          </w:tcPr>
          <w:p>
            <w:pPr>
              <w:spacing w:after="0"/>
              <w:rPr>
                <w:sz w:val="16"/>
                <w:szCs w:val="16"/>
                <w:color w:val="auto"/>
              </w:rPr>
            </w:pPr>
          </w:p>
        </w:tc>
      </w:tr>
      <w:tr>
        <w:trPr>
          <w:trHeight w:val="222"/>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80" w:type="dxa"/>
            <w:vAlign w:val="bottom"/>
            <w:gridSpan w:val="21"/>
          </w:tcPr>
          <w:p>
            <w:pPr>
              <w:spacing w:after="0"/>
              <w:rPr>
                <w:rFonts w:ascii="Arial" w:cs="Arial" w:eastAsia="Arial" w:hAnsi="Arial"/>
                <w:sz w:val="18"/>
                <w:szCs w:val="18"/>
                <w:u w:val="single" w:color="auto"/>
                <w:color w:val="0000EE"/>
                <w:w w:val="99"/>
              </w:rPr>
            </w:pPr>
            <w:hyperlink r:id="rId170">
              <w:r>
                <w:rPr>
                  <w:rFonts w:ascii="Arial" w:cs="Arial" w:eastAsia="Arial" w:hAnsi="Arial"/>
                  <w:sz w:val="18"/>
                  <w:szCs w:val="18"/>
                  <w:u w:val="single" w:color="auto"/>
                  <w:color w:val="0000EE"/>
                  <w:w w:val="99"/>
                </w:rPr>
                <w:t>September 23, 2020 (incorporated by reference to Exhibit 3.1 to Form 8-K filed on September 23, 2020 (File No. 001-35975))</w:t>
              </w:r>
            </w:hyperlink>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80" w:type="dxa"/>
            <w:vAlign w:val="bottom"/>
            <w:gridSpan w:val="21"/>
          </w:tcPr>
          <w:p>
            <w:pPr>
              <w:spacing w:after="0" w:line="190" w:lineRule="exact"/>
              <w:rPr>
                <w:rFonts w:ascii="Arial" w:cs="Arial" w:eastAsia="Arial" w:hAnsi="Arial"/>
                <w:sz w:val="18"/>
                <w:szCs w:val="18"/>
                <w:color w:val="0000EE"/>
                <w:w w:val="92"/>
              </w:rPr>
            </w:pPr>
            <w:hyperlink r:id="rId171">
              <w:r>
                <w:rPr>
                  <w:rFonts w:ascii="Arial" w:cs="Arial" w:eastAsia="Arial" w:hAnsi="Arial"/>
                  <w:sz w:val="18"/>
                  <w:szCs w:val="18"/>
                  <w:color w:val="0000EE"/>
                  <w:w w:val="92"/>
                </w:rPr>
                <w:t>Form of Common Stock Certificate (incorporated by reference to Exhibit 4.1 to Gogo Inc. Registration Statement on Form S-1 (File No.</w:t>
              </w:r>
            </w:hyperlink>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71">
              <w:r>
                <w:rPr>
                  <w:rFonts w:ascii="Arial" w:cs="Arial" w:eastAsia="Arial" w:hAnsi="Arial"/>
                  <w:sz w:val="18"/>
                  <w:szCs w:val="18"/>
                  <w:color w:val="0000EE"/>
                  <w:w w:val="88"/>
                </w:rPr>
                <w:t>333-178727))</w:t>
              </w:r>
            </w:hyperlink>
          </w:p>
        </w:tc>
        <w:tc>
          <w:tcPr>
            <w:tcW w:w="7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28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Registration Rights Agreement, dated as of December 31, 2009, by and between AC Holdco Inc. and the Class A Holders, the</w:t>
              </w:r>
            </w:hyperlink>
          </w:p>
        </w:tc>
        <w:tc>
          <w:tcPr>
            <w:tcW w:w="800" w:type="dxa"/>
            <w:vAlign w:val="bottom"/>
            <w:gridSpan w:val="11"/>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80" w:type="dxa"/>
            <w:vAlign w:val="bottom"/>
            <w:gridSpan w:val="21"/>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Ripplewood Investors, the Thorne Investors and the other investors named therein (incorporated by reference to Exhibit 4.3 to Gogo Inc.</w:t>
              </w:r>
            </w:hyperlink>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Registration Statement on Form S-1 (File No. 333-178727))</w:t>
              </w:r>
            </w:hyperlink>
          </w:p>
        </w:tc>
        <w:tc>
          <w:tcPr>
            <w:tcW w:w="40" w:type="dxa"/>
            <w:vAlign w:val="bottom"/>
            <w:gridSpan w:val="2"/>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Indenture, dated November 21, 2018, between Gogo Inc. and U.S. Bank National Association (incorporated by reference to Exhibit 4.1</w:t>
              </w:r>
            </w:hyperlink>
          </w:p>
        </w:tc>
        <w:tc>
          <w:tcPr>
            <w:tcW w:w="140" w:type="dxa"/>
            <w:vAlign w:val="bottom"/>
            <w:gridSpan w:val="6"/>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73">
              <w:r>
                <w:rPr>
                  <w:rFonts w:ascii="Arial" w:cs="Arial" w:eastAsia="Arial" w:hAnsi="Arial"/>
                  <w:sz w:val="18"/>
                  <w:szCs w:val="18"/>
                  <w:color w:val="0000EE"/>
                  <w:w w:val="92"/>
                </w:rPr>
                <w:t>to Form 8-K filed on November 21, 2018 (File No. 001-35975))</w:t>
              </w:r>
            </w:hyperlink>
          </w:p>
        </w:tc>
        <w:tc>
          <w:tcPr>
            <w:tcW w:w="5260" w:type="dxa"/>
            <w:vAlign w:val="bottom"/>
            <w:gridSpan w:val="13"/>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80" w:type="dxa"/>
            <w:vAlign w:val="bottom"/>
            <w:gridSpan w:val="21"/>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Form of 6.00% Convertible Senior Note due 2022, dated November 21, 2018 (incorporated by reference to Exhibit 4.2 to Form 8-K filed</w:t>
              </w:r>
            </w:hyperlink>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on November 21, 2018 (File No. 001-35975))</w:t>
              </w:r>
            </w:hyperlink>
          </w:p>
        </w:tc>
        <w:tc>
          <w:tcPr>
            <w:tcW w:w="656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Second Supplemental Indenture, dated as of April 25, 2019, between Gogo Intermediate Holdings LLC, Gogo Finance Co. Inc., Gogo</w:t>
              </w:r>
            </w:hyperlink>
          </w:p>
        </w:tc>
        <w:tc>
          <w:tcPr>
            <w:tcW w:w="220" w:type="dxa"/>
            <w:vAlign w:val="bottom"/>
            <w:gridSpan w:val="7"/>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80" w:type="dxa"/>
            <w:vAlign w:val="bottom"/>
            <w:gridSpan w:val="21"/>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Inc., the Subsidiary Guarantors party thereto and U.S. Bank National Association, as trustee (incorporated by reference to Exhibit 4.1 to</w:t>
              </w:r>
            </w:hyperlink>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r:id="rId174">
              <w:r>
                <w:rPr>
                  <w:rFonts w:ascii="Arial" w:cs="Arial" w:eastAsia="Arial" w:hAnsi="Arial"/>
                  <w:sz w:val="18"/>
                  <w:szCs w:val="18"/>
                  <w:color w:val="0000EE"/>
                  <w:w w:val="93"/>
                </w:rPr>
                <w:t>Form 8-K filed on April 25, 2019 (File No. 001-35975))</w:t>
              </w:r>
            </w:hyperlink>
          </w:p>
        </w:tc>
        <w:tc>
          <w:tcPr>
            <w:tcW w:w="5720" w:type="dxa"/>
            <w:vAlign w:val="bottom"/>
            <w:tcBorders>
              <w:top w:val="single" w:sz="8" w:color="0000EE"/>
            </w:tcBorders>
            <w:gridSpan w:val="10"/>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Indenture, dated as of April 25, 2019, between Gogo Intermediate Holdings LLC, Gogo Finance Co. Inc., Gogo Inc., the Subsidiary</w:t>
              </w:r>
            </w:hyperlink>
          </w:p>
        </w:tc>
        <w:tc>
          <w:tcPr>
            <w:tcW w:w="380" w:type="dxa"/>
            <w:vAlign w:val="bottom"/>
            <w:gridSpan w:val="9"/>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Guarantors party thereto and U.S. Bank National Association, as trustee and collateral agent (incorporated by reference to Exhibit 4.3 to</w:t>
              </w:r>
            </w:hyperlink>
          </w:p>
        </w:tc>
        <w:tc>
          <w:tcPr>
            <w:tcW w:w="80" w:type="dxa"/>
            <w:vAlign w:val="bottom"/>
            <w:gridSpan w:val="4"/>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75">
              <w:r>
                <w:rPr>
                  <w:rFonts w:ascii="Arial" w:cs="Arial" w:eastAsia="Arial" w:hAnsi="Arial"/>
                  <w:sz w:val="18"/>
                  <w:szCs w:val="18"/>
                  <w:color w:val="0000EE"/>
                  <w:w w:val="93"/>
                </w:rPr>
                <w:t>Form 8-K filed on April 25, 2019 (File No. 001-35975))</w:t>
              </w:r>
            </w:hyperlink>
          </w:p>
        </w:tc>
        <w:tc>
          <w:tcPr>
            <w:tcW w:w="5820" w:type="dxa"/>
            <w:vAlign w:val="bottom"/>
            <w:gridSpan w:val="15"/>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80" w:type="dxa"/>
            <w:vAlign w:val="bottom"/>
            <w:gridSpan w:val="21"/>
          </w:tcPr>
          <w:p>
            <w:pPr>
              <w:spacing w:after="0" w:line="196" w:lineRule="exact"/>
              <w:rPr>
                <w:rFonts w:ascii="Arial" w:cs="Arial" w:eastAsia="Arial" w:hAnsi="Arial"/>
                <w:sz w:val="18"/>
                <w:szCs w:val="18"/>
                <w:color w:val="0000EE"/>
                <w:w w:val="93"/>
              </w:rPr>
            </w:pPr>
            <w:hyperlink r:id="rId175">
              <w:r>
                <w:rPr>
                  <w:rFonts w:ascii="Arial" w:cs="Arial" w:eastAsia="Arial" w:hAnsi="Arial"/>
                  <w:sz w:val="18"/>
                  <w:szCs w:val="18"/>
                  <w:color w:val="0000EE"/>
                  <w:w w:val="93"/>
                </w:rPr>
                <w:t>Form of 9.875% Senior Secured Note due 2024 (incorporated by reference to Exhibit 4.4 to Form 8-K filed on April 25, 2019 (File No.</w:t>
              </w:r>
            </w:hyperlink>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001-35975))</w:t>
              </w:r>
            </w:hyperlink>
          </w:p>
        </w:tc>
        <w:tc>
          <w:tcPr>
            <w:tcW w:w="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28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20" w:type="dxa"/>
            <w:vAlign w:val="bottom"/>
            <w:gridSpan w:val="8"/>
          </w:tcPr>
          <w:p>
            <w:pPr>
              <w:ind w:left="4120"/>
              <w:spacing w:after="0"/>
              <w:rPr>
                <w:sz w:val="20"/>
                <w:szCs w:val="20"/>
                <w:color w:val="auto"/>
              </w:rPr>
            </w:pPr>
            <w:r>
              <w:rPr>
                <w:rFonts w:ascii="Arial" w:cs="Arial" w:eastAsia="Arial" w:hAnsi="Arial"/>
                <w:sz w:val="18"/>
                <w:szCs w:val="18"/>
                <w:color w:val="auto"/>
              </w:rPr>
              <w:t>121</w:t>
            </w:r>
          </w:p>
        </w:tc>
        <w:tc>
          <w:tcPr>
            <w:tcW w:w="16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4.8</w:t>
            </w:r>
          </w:p>
        </w:tc>
        <w:tc>
          <w:tcPr>
            <w:tcW w:w="9880" w:type="dxa"/>
            <w:vAlign w:val="bottom"/>
            <w:gridSpan w:val="31"/>
          </w:tcPr>
          <w:p>
            <w:pPr>
              <w:spacing w:after="0"/>
              <w:rPr>
                <w:rFonts w:ascii="Arial" w:cs="Arial" w:eastAsia="Arial" w:hAnsi="Arial"/>
                <w:sz w:val="18"/>
                <w:szCs w:val="18"/>
                <w:color w:val="0000EE"/>
                <w:w w:val="94"/>
              </w:rPr>
            </w:pPr>
            <w:hyperlink r:id="rId175">
              <w:r>
                <w:rPr>
                  <w:rFonts w:ascii="Arial" w:cs="Arial" w:eastAsia="Arial" w:hAnsi="Arial"/>
                  <w:sz w:val="18"/>
                  <w:szCs w:val="18"/>
                  <w:color w:val="0000EE"/>
                  <w:w w:val="94"/>
                </w:rPr>
                <w:t>Form of Crossing Lien Intercreditor Agreement (incorporated by reference to Exhibit 4.2 to Form 8-K filed on April 25, 2019 (File No.</w:t>
              </w:r>
            </w:hyperlink>
          </w:p>
        </w:tc>
      </w:tr>
      <w:tr>
        <w:trPr>
          <w:trHeight w:val="196"/>
        </w:trPr>
        <w:tc>
          <w:tcPr>
            <w:tcW w:w="136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001-35975))</w:t>
              </w:r>
            </w:hyperlink>
          </w:p>
        </w:tc>
        <w:tc>
          <w:tcPr>
            <w:tcW w:w="1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4.9</w:t>
            </w:r>
          </w:p>
        </w:tc>
        <w:tc>
          <w:tcPr>
            <w:tcW w:w="9880" w:type="dxa"/>
            <w:vAlign w:val="bottom"/>
            <w:gridSpan w:val="31"/>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First Supplemental Indenture, dated as of May 3, 2019, by and among Gogo Intermediate Holdings LLC, Gogo Finance Co. Inc., each of</w:t>
              </w:r>
            </w:hyperlink>
          </w:p>
        </w:tc>
      </w:tr>
      <w:tr>
        <w:trPr>
          <w:trHeight w:val="196"/>
        </w:trPr>
        <w:tc>
          <w:tcPr>
            <w:tcW w:w="1360" w:type="dxa"/>
            <w:vAlign w:val="bottom"/>
          </w:tcPr>
          <w:p>
            <w:pPr>
              <w:spacing w:after="0"/>
              <w:rPr>
                <w:sz w:val="17"/>
                <w:szCs w:val="17"/>
                <w:color w:val="auto"/>
              </w:rPr>
            </w:pPr>
          </w:p>
        </w:tc>
        <w:tc>
          <w:tcPr>
            <w:tcW w:w="9860" w:type="dxa"/>
            <w:vAlign w:val="bottom"/>
            <w:tcBorders>
              <w:top w:val="single" w:sz="8" w:color="0000EE"/>
            </w:tcBorders>
            <w:gridSpan w:val="30"/>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the guarantors party thereto and U.S. Bank National Association, as trustee (incorporated by reference to Exhibit 4.1 to Form 8-K filed</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on May 3, 2019 (File No. 001-35975))</w:t>
              </w:r>
            </w:hyperlink>
          </w:p>
        </w:tc>
        <w:tc>
          <w:tcPr>
            <w:tcW w:w="6920" w:type="dxa"/>
            <w:vAlign w:val="bottom"/>
            <w:tcBorders>
              <w:top w:val="single" w:sz="8" w:color="0000EE"/>
            </w:tcBorders>
            <w:gridSpan w:val="22"/>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4.10</w:t>
            </w:r>
          </w:p>
        </w:tc>
        <w:tc>
          <w:tcPr>
            <w:tcW w:w="9880" w:type="dxa"/>
            <w:vAlign w:val="bottom"/>
            <w:gridSpan w:val="31"/>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Description of Capital Stock and Registered Securities</w:t>
              </w:r>
            </w:hyperlink>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4.11</w:t>
            </w:r>
          </w:p>
        </w:tc>
        <w:tc>
          <w:tcPr>
            <w:tcW w:w="9760" w:type="dxa"/>
            <w:vAlign w:val="bottom"/>
            <w:tcBorders>
              <w:bottom w:val="single" w:sz="8" w:color="0000EE"/>
            </w:tcBorders>
            <w:gridSpan w:val="27"/>
          </w:tcPr>
          <w:p>
            <w:pPr>
              <w:spacing w:after="0" w:line="190" w:lineRule="exact"/>
              <w:rPr>
                <w:rFonts w:ascii="Arial" w:cs="Arial" w:eastAsia="Arial" w:hAnsi="Arial"/>
                <w:sz w:val="18"/>
                <w:szCs w:val="18"/>
                <w:color w:val="0000EE"/>
                <w:w w:val="89"/>
              </w:rPr>
            </w:pPr>
            <w:hyperlink r:id="rId179">
              <w:r>
                <w:rPr>
                  <w:rFonts w:ascii="Arial" w:cs="Arial" w:eastAsia="Arial" w:hAnsi="Arial"/>
                  <w:sz w:val="18"/>
                  <w:szCs w:val="18"/>
                  <w:color w:val="0000EE"/>
                  <w:w w:val="89"/>
                </w:rPr>
                <w:t>Section 382 Rights Agreement, dated as of September 23, 2020, between Gogo Inc. and Computershare Trust Company, N.A., as rights</w:t>
              </w:r>
            </w:hyperlink>
          </w:p>
        </w:tc>
        <w:tc>
          <w:tcPr>
            <w:tcW w:w="120" w:type="dxa"/>
            <w:vAlign w:val="bottom"/>
            <w:gridSpan w:val="4"/>
          </w:tcPr>
          <w:p>
            <w:pPr>
              <w:spacing w:after="0"/>
              <w:rPr>
                <w:sz w:val="16"/>
                <w:szCs w:val="16"/>
                <w:color w:val="auto"/>
              </w:rPr>
            </w:pPr>
          </w:p>
        </w:tc>
      </w:tr>
      <w:tr>
        <w:trPr>
          <w:trHeight w:val="222"/>
        </w:trPr>
        <w:tc>
          <w:tcPr>
            <w:tcW w:w="1360" w:type="dxa"/>
            <w:vAlign w:val="bottom"/>
          </w:tcPr>
          <w:p>
            <w:pPr>
              <w:spacing w:after="0"/>
              <w:rPr>
                <w:sz w:val="19"/>
                <w:szCs w:val="19"/>
                <w:color w:val="auto"/>
              </w:rPr>
            </w:pPr>
          </w:p>
        </w:tc>
        <w:tc>
          <w:tcPr>
            <w:tcW w:w="9880" w:type="dxa"/>
            <w:vAlign w:val="bottom"/>
            <w:gridSpan w:val="31"/>
          </w:tcPr>
          <w:p>
            <w:pPr>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agent (incorporated by reference to Exhibit 4.1 to Form 8-K filed on September 23, 2020 (File No. 001-35975))</w:t>
              </w:r>
            </w:hyperlink>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4.12</w:t>
            </w:r>
          </w:p>
        </w:tc>
        <w:tc>
          <w:tcPr>
            <w:tcW w:w="9660" w:type="dxa"/>
            <w:vAlign w:val="bottom"/>
            <w:tcBorders>
              <w:bottom w:val="single" w:sz="8" w:color="0000EE"/>
            </w:tcBorders>
            <w:gridSpan w:val="25"/>
          </w:tcPr>
          <w:p>
            <w:pPr>
              <w:spacing w:after="0" w:line="190"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Second Supplemental Indenture, dated as of March 6, 2020, between Gogo Intermediate Holdings LLC, Gogo Finance Co. Inc., Gogo</w:t>
              </w:r>
            </w:hyperlink>
          </w:p>
        </w:tc>
        <w:tc>
          <w:tcPr>
            <w:tcW w:w="220" w:type="dxa"/>
            <w:vAlign w:val="bottom"/>
            <w:gridSpan w:val="6"/>
          </w:tcPr>
          <w:p>
            <w:pPr>
              <w:spacing w:after="0"/>
              <w:rPr>
                <w:sz w:val="16"/>
                <w:szCs w:val="16"/>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1"/>
          </w:tcPr>
          <w:p>
            <w:pPr>
              <w:spacing w:after="0" w:line="196"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Inc., the Subsidiary Guarantors party thereto and U.S. Bank National Association, as trustee (incorporated by reference to Exhibit 4.11 to</w:t>
              </w:r>
            </w:hyperlink>
          </w:p>
        </w:tc>
      </w:tr>
      <w:tr>
        <w:trPr>
          <w:trHeight w:val="196"/>
        </w:trPr>
        <w:tc>
          <w:tcPr>
            <w:tcW w:w="1360" w:type="dxa"/>
            <w:vAlign w:val="bottom"/>
          </w:tcPr>
          <w:p>
            <w:pPr>
              <w:spacing w:after="0"/>
              <w:rPr>
                <w:sz w:val="17"/>
                <w:szCs w:val="17"/>
                <w:color w:val="auto"/>
              </w:rPr>
            </w:pPr>
          </w:p>
        </w:tc>
        <w:tc>
          <w:tcPr>
            <w:tcW w:w="98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Form 10-Q filed on May 11, 2020 (File No. 001-35795))</w:t>
              </w:r>
            </w:hyperlink>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4.13</w:t>
            </w:r>
          </w:p>
        </w:tc>
        <w:tc>
          <w:tcPr>
            <w:tcW w:w="982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Third Supplemental Indenture, dated as of July 31, 2020, between Gogo Intermediate Holdings LLC, Gogo Finance Co. Inc., Gogo Inc.,</w:t>
              </w:r>
            </w:hyperlink>
          </w:p>
        </w:tc>
        <w:tc>
          <w:tcPr>
            <w:tcW w:w="6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5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the Subsidiary Guarantors party thereto and U.S. Bank National Association, as trustee (incorporated by reference to Exhibit 4.12 to</w:t>
              </w:r>
            </w:hyperlink>
          </w:p>
        </w:tc>
        <w:tc>
          <w:tcPr>
            <w:tcW w:w="36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Form 10-Q filed on August 8, 2020 (File No. 001-35795))</w:t>
              </w:r>
            </w:hyperlink>
          </w:p>
        </w:tc>
        <w:tc>
          <w:tcPr>
            <w:tcW w:w="5680" w:type="dxa"/>
            <w:vAlign w:val="bottom"/>
            <w:gridSpan w:val="2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4.14</w:t>
            </w:r>
          </w:p>
        </w:tc>
        <w:tc>
          <w:tcPr>
            <w:tcW w:w="95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Fourth Supplemental Indenture, dated as of November 9, 2020, between Gogo Intermediate Holdings LLC, Gogo Finance Co. Inc.,</w:t>
              </w:r>
            </w:hyperlink>
          </w:p>
        </w:tc>
        <w:tc>
          <w:tcPr>
            <w:tcW w:w="38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7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82">
              <w:r>
                <w:rPr>
                  <w:rFonts w:ascii="Arial" w:cs="Arial" w:eastAsia="Arial" w:hAnsi="Arial"/>
                  <w:sz w:val="18"/>
                  <w:szCs w:val="18"/>
                  <w:color w:val="0000EE"/>
                  <w:w w:val="90"/>
                </w:rPr>
                <w:t>Gogo Inc., the Subsidiary Guarantors party thereto and U.S. Bank National Association, as trustee (incorporated by reference to Exhibit</w:t>
              </w:r>
            </w:hyperlink>
          </w:p>
        </w:tc>
        <w:tc>
          <w:tcPr>
            <w:tcW w:w="10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182">
              <w:r>
                <w:rPr>
                  <w:rFonts w:ascii="Arial" w:cs="Arial" w:eastAsia="Arial" w:hAnsi="Arial"/>
                  <w:sz w:val="18"/>
                  <w:szCs w:val="18"/>
                  <w:color w:val="0000EE"/>
                  <w:w w:val="93"/>
                </w:rPr>
                <w:t>4.</w:t>
              </w:r>
              <w:r>
                <w:rPr>
                  <w:rFonts w:ascii="Arial" w:cs="Arial" w:eastAsia="Arial" w:hAnsi="Arial"/>
                  <w:sz w:val="18"/>
                  <w:szCs w:val="18"/>
                  <w:u w:val="single" w:color="auto"/>
                  <w:color w:val="0000EE"/>
                  <w:w w:val="93"/>
                </w:rPr>
                <w:t>1</w:t>
              </w:r>
              <w:r>
                <w:rPr>
                  <w:rFonts w:ascii="Arial" w:cs="Arial" w:eastAsia="Arial" w:hAnsi="Arial"/>
                  <w:sz w:val="18"/>
                  <w:szCs w:val="18"/>
                  <w:color w:val="0000EE"/>
                  <w:w w:val="93"/>
                </w:rPr>
                <w:t xml:space="preserve"> to Form 8-K filed on November 13, 2020 (File No. 001-35975))</w:t>
              </w:r>
            </w:hyperlink>
          </w:p>
        </w:tc>
        <w:tc>
          <w:tcPr>
            <w:tcW w:w="4940" w:type="dxa"/>
            <w:vAlign w:val="bottom"/>
            <w:gridSpan w:val="2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94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83">
              <w:r>
                <w:rPr>
                  <w:rFonts w:ascii="Arial" w:cs="Arial" w:eastAsia="Arial" w:hAnsi="Arial"/>
                  <w:sz w:val="18"/>
                  <w:szCs w:val="18"/>
                  <w:color w:val="0000EE"/>
                  <w:w w:val="89"/>
                </w:rPr>
                <w:t>Qualcomm Technologies, Inc. Master Software Agreement dated June 13, 2018, by and between Qualcomm Technologies, Inc. and</w:t>
              </w:r>
            </w:hyperlink>
          </w:p>
        </w:tc>
        <w:tc>
          <w:tcPr>
            <w:tcW w:w="400" w:type="dxa"/>
            <w:vAlign w:val="bottom"/>
            <w:gridSpan w:val="14"/>
          </w:tcPr>
          <w:p>
            <w:pPr>
              <w:spacing w:after="0"/>
              <w:rPr>
                <w:sz w:val="17"/>
                <w:szCs w:val="17"/>
                <w:color w:val="auto"/>
              </w:rPr>
            </w:pPr>
          </w:p>
        </w:tc>
      </w:tr>
      <w:tr>
        <w:trPr>
          <w:trHeight w:val="222"/>
        </w:trPr>
        <w:tc>
          <w:tcPr>
            <w:tcW w:w="1360" w:type="dxa"/>
            <w:vAlign w:val="bottom"/>
          </w:tcPr>
          <w:p>
            <w:pPr>
              <w:spacing w:after="0"/>
              <w:rPr>
                <w:sz w:val="19"/>
                <w:szCs w:val="19"/>
                <w:color w:val="auto"/>
              </w:rPr>
            </w:pPr>
          </w:p>
        </w:tc>
        <w:tc>
          <w:tcPr>
            <w:tcW w:w="9880" w:type="dxa"/>
            <w:vAlign w:val="bottom"/>
            <w:gridSpan w:val="31"/>
          </w:tcPr>
          <w:p>
            <w:pPr>
              <w:spacing w:after="0"/>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Gogo LLC (incorporated by reference to Exhibit 10.1.48 to Form 10-Q filed on November 6, 2018 (File No. 001-35975))</w:t>
              </w:r>
            </w:hyperlink>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10.1.2</w:t>
            </w:r>
          </w:p>
        </w:tc>
        <w:tc>
          <w:tcPr>
            <w:tcW w:w="9580" w:type="dxa"/>
            <w:vAlign w:val="bottom"/>
            <w:tcBorders>
              <w:bottom w:val="single" w:sz="8" w:color="0000EE"/>
            </w:tcBorders>
            <w:gridSpan w:val="22"/>
          </w:tcPr>
          <w:p>
            <w:pPr>
              <w:spacing w:after="0" w:line="190"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Qualcomm Technologies, Inc. AMSS6695 Software Addendum to Master Software Agreement dated June 13, 2018, by and between</w:t>
              </w:r>
            </w:hyperlink>
          </w:p>
        </w:tc>
        <w:tc>
          <w:tcPr>
            <w:tcW w:w="300" w:type="dxa"/>
            <w:vAlign w:val="bottom"/>
            <w:gridSpan w:val="9"/>
          </w:tcPr>
          <w:p>
            <w:pPr>
              <w:spacing w:after="0"/>
              <w:rPr>
                <w:sz w:val="16"/>
                <w:szCs w:val="16"/>
                <w:color w:val="auto"/>
              </w:rPr>
            </w:pPr>
          </w:p>
        </w:tc>
      </w:tr>
      <w:tr>
        <w:trPr>
          <w:trHeight w:val="196"/>
        </w:trPr>
        <w:tc>
          <w:tcPr>
            <w:tcW w:w="1360" w:type="dxa"/>
            <w:vAlign w:val="bottom"/>
          </w:tcPr>
          <w:p>
            <w:pPr>
              <w:spacing w:after="0"/>
              <w:rPr>
                <w:sz w:val="17"/>
                <w:szCs w:val="17"/>
                <w:color w:val="auto"/>
              </w:rPr>
            </w:pPr>
          </w:p>
        </w:tc>
        <w:tc>
          <w:tcPr>
            <w:tcW w:w="96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Qualcomm Technologies, Inc. and Gogo LLC (incorporated by reference to Exhibit 10.1.49 to Form 10-Q filed on November 6, 2018</w:t>
              </w:r>
            </w:hyperlink>
          </w:p>
        </w:tc>
        <w:tc>
          <w:tcPr>
            <w:tcW w:w="26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(File No. 001-35975))</w:t>
              </w:r>
            </w:hyperlink>
          </w:p>
        </w:tc>
        <w:tc>
          <w:tcPr>
            <w:tcW w:w="8280" w:type="dxa"/>
            <w:vAlign w:val="bottom"/>
            <w:gridSpan w:val="28"/>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9880" w:type="dxa"/>
            <w:vAlign w:val="bottom"/>
            <w:gridSpan w:val="31"/>
          </w:tcPr>
          <w:p>
            <w:pP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Access Point Patent License Agreement dated July 6, 2018, by and between Qualcomm Incorporated and Gogo LLC (incorporated by</w:t>
              </w:r>
            </w:hyperlink>
          </w:p>
        </w:tc>
      </w:tr>
      <w:tr>
        <w:trPr>
          <w:trHeight w:val="196"/>
        </w:trPr>
        <w:tc>
          <w:tcPr>
            <w:tcW w:w="1360" w:type="dxa"/>
            <w:vAlign w:val="bottom"/>
          </w:tcPr>
          <w:p>
            <w:pPr>
              <w:spacing w:after="0"/>
              <w:rPr>
                <w:sz w:val="17"/>
                <w:szCs w:val="17"/>
                <w:color w:val="auto"/>
              </w:rPr>
            </w:pPr>
          </w:p>
        </w:tc>
        <w:tc>
          <w:tcPr>
            <w:tcW w:w="66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reference to Exhibit 10.1.50 to Form 10-Q filed on November 6, 2018 (File No. 001-35975))</w:t>
              </w:r>
            </w:hyperlink>
          </w:p>
        </w:tc>
        <w:tc>
          <w:tcPr>
            <w:tcW w:w="2960" w:type="dxa"/>
            <w:vAlign w:val="bottom"/>
            <w:tcBorders>
              <w:top w:val="single" w:sz="8" w:color="0000EE"/>
            </w:tcBorders>
            <w:gridSpan w:val="14"/>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92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ATG Network Sharing Agreement, dated as of December 1, 2020, by and between Gogo Business Aviation LLC and Gogo LLC</w:t>
              </w:r>
            </w:hyperlink>
          </w:p>
        </w:tc>
        <w:tc>
          <w:tcPr>
            <w:tcW w:w="640" w:type="dxa"/>
            <w:vAlign w:val="bottom"/>
            <w:gridSpan w:val="1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 xml:space="preserve">(incorporated by reference to Exhibit 10.1 to Form 8-K filed on December 1, 2020 </w:t>
              </w:r>
              <w:r>
                <w:rPr>
                  <w:rFonts w:ascii="Arial" w:cs="Arial" w:eastAsia="Arial" w:hAnsi="Arial"/>
                  <w:sz w:val="18"/>
                  <w:szCs w:val="18"/>
                  <w:color w:val="0000EE"/>
                  <w:highlight w:val="white"/>
                  <w:w w:val="91"/>
                </w:rPr>
                <w:t>(File No. 001-35975))</w:t>
              </w:r>
            </w:hyperlink>
          </w:p>
        </w:tc>
        <w:tc>
          <w:tcPr>
            <w:tcW w:w="2300" w:type="dxa"/>
            <w:vAlign w:val="bottom"/>
            <w:gridSpan w:val="20"/>
          </w:tcPr>
          <w:p>
            <w:pPr>
              <w:spacing w:after="0"/>
              <w:rPr>
                <w:sz w:val="17"/>
                <w:szCs w:val="17"/>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9880" w:type="dxa"/>
            <w:vAlign w:val="bottom"/>
            <w:gridSpan w:val="31"/>
          </w:tcPr>
          <w:p>
            <w:pPr>
              <w:spacing w:after="0"/>
              <w:rPr>
                <w:rFonts w:ascii="Arial" w:cs="Arial" w:eastAsia="Arial" w:hAnsi="Arial"/>
                <w:sz w:val="18"/>
                <w:szCs w:val="18"/>
                <w:color w:val="0000EE"/>
                <w:w w:val="92"/>
              </w:rPr>
            </w:pPr>
            <w:hyperlink w:anchor="page136">
              <w:r>
                <w:rPr>
                  <w:rFonts w:ascii="Arial" w:cs="Arial" w:eastAsia="Arial" w:hAnsi="Arial"/>
                  <w:sz w:val="18"/>
                  <w:szCs w:val="18"/>
                  <w:u w:val="single" w:color="auto"/>
                  <w:color w:val="0000EE"/>
                  <w:w w:val="92"/>
                </w:rPr>
                <w:t>Master Services Agreement, dated as of November 25, 2019, by and between Gogo Business Aviation LLC and Airspan Networks Inc</w:t>
              </w:r>
              <w:r>
                <w:rPr>
                  <w:rFonts w:ascii="Arial" w:cs="Arial" w:eastAsia="Arial" w:hAnsi="Arial"/>
                  <w:sz w:val="18"/>
                  <w:szCs w:val="18"/>
                  <w:color w:val="0000EE"/>
                  <w:w w:val="92"/>
                </w:rPr>
                <w:t>.</w:t>
              </w:r>
            </w:hyperlink>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10.1.6†</w:t>
            </w:r>
          </w:p>
        </w:tc>
        <w:tc>
          <w:tcPr>
            <w:tcW w:w="9540" w:type="dxa"/>
            <w:vAlign w:val="bottom"/>
            <w:tcBorders>
              <w:bottom w:val="single" w:sz="8" w:color="0000EE"/>
            </w:tcBorders>
            <w:gridSpan w:val="20"/>
          </w:tcPr>
          <w:p>
            <w:pPr>
              <w:spacing w:after="0" w:line="190" w:lineRule="exact"/>
              <w:rPr>
                <w:rFonts w:ascii="Arial" w:cs="Arial" w:eastAsia="Arial" w:hAnsi="Arial"/>
                <w:sz w:val="18"/>
                <w:szCs w:val="18"/>
                <w:color w:val="0000EE"/>
                <w:w w:val="90"/>
              </w:rPr>
            </w:pPr>
            <w:hyperlink w:anchor="page154">
              <w:r>
                <w:rPr>
                  <w:rFonts w:ascii="Arial" w:cs="Arial" w:eastAsia="Arial" w:hAnsi="Arial"/>
                  <w:sz w:val="18"/>
                  <w:szCs w:val="18"/>
                  <w:color w:val="0000EE"/>
                  <w:w w:val="90"/>
                </w:rPr>
                <w:t>Supply and Product Support Agreement, dated as of November 25, 2019, by and between Gogo Business Aviation LLC and Airspan</w:t>
              </w:r>
            </w:hyperlink>
          </w:p>
        </w:tc>
        <w:tc>
          <w:tcPr>
            <w:tcW w:w="340" w:type="dxa"/>
            <w:vAlign w:val="bottom"/>
            <w:gridSpan w:val="11"/>
          </w:tcPr>
          <w:p>
            <w:pPr>
              <w:spacing w:after="0"/>
              <w:rPr>
                <w:sz w:val="16"/>
                <w:szCs w:val="16"/>
                <w:color w:val="auto"/>
              </w:rPr>
            </w:pPr>
          </w:p>
        </w:tc>
      </w:tr>
      <w:tr>
        <w:trPr>
          <w:trHeight w:val="196"/>
        </w:trPr>
        <w:tc>
          <w:tcPr>
            <w:tcW w:w="136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54">
              <w:r>
                <w:rPr>
                  <w:rFonts w:ascii="Arial" w:cs="Arial" w:eastAsia="Arial" w:hAnsi="Arial"/>
                  <w:sz w:val="18"/>
                  <w:szCs w:val="18"/>
                  <w:color w:val="0000EE"/>
                  <w:w w:val="91"/>
                </w:rPr>
                <w:t>Networks Inc.</w:t>
              </w:r>
            </w:hyperlink>
          </w:p>
        </w:tc>
        <w:tc>
          <w:tcPr>
            <w:tcW w:w="8860" w:type="dxa"/>
            <w:vAlign w:val="bottom"/>
            <w:gridSpan w:val="29"/>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9880" w:type="dxa"/>
            <w:vAlign w:val="bottom"/>
            <w:gridSpan w:val="31"/>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Employment Agreement, by and between Aircell LLC and John Wade, effective as of November 10, 2008 (incorporated by reference to</w:t>
              </w:r>
            </w:hyperlink>
          </w:p>
        </w:tc>
      </w:tr>
      <w:tr>
        <w:trPr>
          <w:trHeight w:val="196"/>
        </w:trPr>
        <w:tc>
          <w:tcPr>
            <w:tcW w:w="1360" w:type="dxa"/>
            <w:vAlign w:val="bottom"/>
          </w:tcPr>
          <w:p>
            <w:pPr>
              <w:spacing w:after="0"/>
              <w:rPr>
                <w:sz w:val="17"/>
                <w:szCs w:val="17"/>
                <w:color w:val="auto"/>
              </w:rPr>
            </w:pPr>
          </w:p>
        </w:tc>
        <w:tc>
          <w:tcPr>
            <w:tcW w:w="97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Exhibit 10.2.4 to Gogo Inc. Registration Statement on Form S-1 (File No. 333-178727))</w:t>
              </w:r>
            </w:hyperlink>
          </w:p>
        </w:tc>
        <w:tc>
          <w:tcPr>
            <w:tcW w:w="100" w:type="dxa"/>
            <w:vAlign w:val="bottom"/>
            <w:gridSpan w:val="3"/>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62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92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Amendment No. 1 to the Employment Agreement, by and between Aircell LLC and John Wade, effective as of January 31, 2009</w:t>
              </w:r>
            </w:hyperlink>
          </w:p>
        </w:tc>
        <w:tc>
          <w:tcPr>
            <w:tcW w:w="600" w:type="dxa"/>
            <w:vAlign w:val="bottom"/>
            <w:gridSpan w:val="17"/>
          </w:tcPr>
          <w:p>
            <w:pPr>
              <w:spacing w:after="0"/>
              <w:rPr>
                <w:sz w:val="17"/>
                <w:szCs w:val="17"/>
                <w:color w:val="auto"/>
              </w:rPr>
            </w:pPr>
          </w:p>
        </w:tc>
      </w:tr>
      <w:tr>
        <w:trPr>
          <w:trHeight w:val="222"/>
        </w:trPr>
        <w:tc>
          <w:tcPr>
            <w:tcW w:w="1360" w:type="dxa"/>
            <w:vAlign w:val="bottom"/>
          </w:tcPr>
          <w:p>
            <w:pPr>
              <w:spacing w:after="0"/>
              <w:rPr>
                <w:sz w:val="19"/>
                <w:szCs w:val="19"/>
                <w:color w:val="auto"/>
              </w:rPr>
            </w:pPr>
          </w:p>
        </w:tc>
        <w:tc>
          <w:tcPr>
            <w:tcW w:w="9880" w:type="dxa"/>
            <w:vAlign w:val="bottom"/>
            <w:gridSpan w:val="31"/>
          </w:tcPr>
          <w:p>
            <w:pPr>
              <w:spacing w:after="0"/>
              <w:rPr>
                <w:rFonts w:ascii="Arial" w:cs="Arial" w:eastAsia="Arial" w:hAnsi="Arial"/>
                <w:sz w:val="18"/>
                <w:szCs w:val="18"/>
                <w:u w:val="single" w:color="auto"/>
                <w:color w:val="0000EE"/>
              </w:rPr>
            </w:pPr>
            <w:hyperlink r:id="rId188">
              <w:r>
                <w:rPr>
                  <w:rFonts w:ascii="Arial" w:cs="Arial" w:eastAsia="Arial" w:hAnsi="Arial"/>
                  <w:sz w:val="18"/>
                  <w:szCs w:val="18"/>
                  <w:u w:val="single" w:color="auto"/>
                  <w:color w:val="0000EE"/>
                </w:rPr>
                <w:t>(incorporated by reference to Exhibit 10.2.5 to Gogo Inc. Registration Statement on Form S-1 (File No. 333-178727))</w:t>
              </w:r>
            </w:hyperlink>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10.2.3#***</w:t>
            </w:r>
          </w:p>
        </w:tc>
        <w:tc>
          <w:tcPr>
            <w:tcW w:w="9160" w:type="dxa"/>
            <w:vAlign w:val="bottom"/>
            <w:tcBorders>
              <w:bottom w:val="single" w:sz="8" w:color="0000EE"/>
            </w:tcBorders>
            <w:gridSpan w:val="12"/>
          </w:tcPr>
          <w:p>
            <w:pPr>
              <w:spacing w:after="0" w:line="190"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Amendment No. 2 to the Employment Agreement, Gogo LLC (f/k/a Aircell LLC) and John Wade, effective as of April 1, 2015</w:t>
              </w:r>
            </w:hyperlink>
          </w:p>
        </w:tc>
        <w:tc>
          <w:tcPr>
            <w:tcW w:w="720" w:type="dxa"/>
            <w:vAlign w:val="bottom"/>
            <w:gridSpan w:val="19"/>
          </w:tcPr>
          <w:p>
            <w:pPr>
              <w:spacing w:after="0"/>
              <w:rPr>
                <w:sz w:val="16"/>
                <w:szCs w:val="16"/>
                <w:color w:val="auto"/>
              </w:rPr>
            </w:pPr>
          </w:p>
        </w:tc>
      </w:tr>
      <w:tr>
        <w:trPr>
          <w:trHeight w:val="222"/>
        </w:trPr>
        <w:tc>
          <w:tcPr>
            <w:tcW w:w="1360" w:type="dxa"/>
            <w:vAlign w:val="bottom"/>
          </w:tcPr>
          <w:p>
            <w:pPr>
              <w:spacing w:after="0"/>
              <w:rPr>
                <w:sz w:val="19"/>
                <w:szCs w:val="19"/>
                <w:color w:val="auto"/>
              </w:rPr>
            </w:pPr>
          </w:p>
        </w:tc>
        <w:tc>
          <w:tcPr>
            <w:tcW w:w="9880" w:type="dxa"/>
            <w:vAlign w:val="bottom"/>
            <w:gridSpan w:val="31"/>
          </w:tcPr>
          <w:p>
            <w:pPr>
              <w:spacing w:after="0"/>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(incorporated by reference to Exhibit 10.2.11 to Form 10-Q filed on August 6, 2015 (File No. 001-35975))</w:t>
              </w:r>
            </w:hyperlink>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10.2.4#</w:t>
            </w:r>
          </w:p>
        </w:tc>
        <w:tc>
          <w:tcPr>
            <w:tcW w:w="9560" w:type="dxa"/>
            <w:vAlign w:val="bottom"/>
            <w:tcBorders>
              <w:bottom w:val="single" w:sz="8" w:color="0000EE"/>
            </w:tcBorders>
            <w:gridSpan w:val="21"/>
          </w:tcPr>
          <w:p>
            <w:pPr>
              <w:spacing w:after="0" w:line="190"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Employment Agreement, by and between Gogo Business Aviation LLC, as assignee of Gogo LLC, and Barry Rowan, effective as of</w:t>
              </w:r>
            </w:hyperlink>
          </w:p>
        </w:tc>
        <w:tc>
          <w:tcPr>
            <w:tcW w:w="320" w:type="dxa"/>
            <w:vAlign w:val="bottom"/>
            <w:gridSpan w:val="10"/>
          </w:tcPr>
          <w:p>
            <w:pPr>
              <w:spacing w:after="0"/>
              <w:rPr>
                <w:sz w:val="16"/>
                <w:szCs w:val="16"/>
                <w:color w:val="auto"/>
              </w:rPr>
            </w:pPr>
          </w:p>
        </w:tc>
      </w:tr>
      <w:tr>
        <w:trPr>
          <w:trHeight w:val="222"/>
        </w:trPr>
        <w:tc>
          <w:tcPr>
            <w:tcW w:w="1360" w:type="dxa"/>
            <w:vAlign w:val="bottom"/>
          </w:tcPr>
          <w:p>
            <w:pPr>
              <w:spacing w:after="0"/>
              <w:rPr>
                <w:sz w:val="19"/>
                <w:szCs w:val="19"/>
                <w:color w:val="auto"/>
              </w:rPr>
            </w:pPr>
          </w:p>
        </w:tc>
        <w:tc>
          <w:tcPr>
            <w:tcW w:w="9880" w:type="dxa"/>
            <w:vAlign w:val="bottom"/>
            <w:gridSpan w:val="31"/>
          </w:tcPr>
          <w:p>
            <w:pPr>
              <w:spacing w:after="0"/>
              <w:rPr>
                <w:rFonts w:ascii="Arial" w:cs="Arial" w:eastAsia="Arial" w:hAnsi="Arial"/>
                <w:sz w:val="18"/>
                <w:szCs w:val="18"/>
                <w:u w:val="single" w:color="auto"/>
                <w:color w:val="0000EE"/>
              </w:rPr>
            </w:pPr>
            <w:hyperlink r:id="rId190">
              <w:r>
                <w:rPr>
                  <w:rFonts w:ascii="Arial" w:cs="Arial" w:eastAsia="Arial" w:hAnsi="Arial"/>
                  <w:sz w:val="18"/>
                  <w:szCs w:val="18"/>
                  <w:u w:val="single" w:color="auto"/>
                  <w:color w:val="0000EE"/>
                </w:rPr>
                <w:t>April 24, 2017 (incorporated by reference to Exhibit 10.2.14 to Form 10-Q filed on May 4, 2017 (File No. 001-35975))</w:t>
              </w:r>
            </w:hyperlink>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10.2.5#</w:t>
            </w:r>
          </w:p>
        </w:tc>
        <w:tc>
          <w:tcPr>
            <w:tcW w:w="9880" w:type="dxa"/>
            <w:vAlign w:val="bottom"/>
            <w:gridSpan w:val="31"/>
          </w:tcPr>
          <w:p>
            <w:pPr>
              <w:spacing w:after="0" w:line="190" w:lineRule="exact"/>
              <w:rPr>
                <w:rFonts w:ascii="Arial" w:cs="Arial" w:eastAsia="Arial" w:hAnsi="Arial"/>
                <w:sz w:val="18"/>
                <w:szCs w:val="18"/>
                <w:color w:val="0000EE"/>
                <w:w w:val="94"/>
              </w:rPr>
            </w:pPr>
            <w:hyperlink r:id="rId191">
              <w:r>
                <w:rPr>
                  <w:rFonts w:ascii="Arial" w:cs="Arial" w:eastAsia="Arial" w:hAnsi="Arial"/>
                  <w:sz w:val="18"/>
                  <w:szCs w:val="18"/>
                  <w:color w:val="0000EE"/>
                  <w:w w:val="94"/>
                </w:rPr>
                <w:t>Change in Control Severance Agreement, dated as of April 24, 2017, by and between Gogo Inc. and Barry Rowan (incorporated by</w:t>
              </w:r>
            </w:hyperlink>
          </w:p>
        </w:tc>
      </w:tr>
      <w:tr>
        <w:trPr>
          <w:trHeight w:val="196"/>
        </w:trPr>
        <w:tc>
          <w:tcPr>
            <w:tcW w:w="136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reference to Exhibit 10.2.15 to Form 10-Q filed on May 4, 2017 (File No. 001-35975))</w:t>
              </w:r>
            </w:hyperlink>
          </w:p>
        </w:tc>
        <w:tc>
          <w:tcPr>
            <w:tcW w:w="420" w:type="dxa"/>
            <w:vAlign w:val="bottom"/>
            <w:gridSpan w:val="15"/>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6240" w:type="dxa"/>
            <w:vAlign w:val="bottom"/>
            <w:gridSpan w:val="8"/>
            <w:shd w:val="clear" w:color="auto" w:fill="0000EE"/>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580" w:type="dxa"/>
            <w:vAlign w:val="bottom"/>
            <w:gridSpan w:val="16"/>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93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Employment Agreement, dated March 4, 2018, between Gogo Inc., Gogo Business Aviation LLC, as assignee of Gogo LLC, and</w:t>
              </w:r>
            </w:hyperlink>
          </w:p>
        </w:tc>
        <w:tc>
          <w:tcPr>
            <w:tcW w:w="580" w:type="dxa"/>
            <w:vAlign w:val="bottom"/>
            <w:gridSpan w:val="16"/>
          </w:tcPr>
          <w:p>
            <w:pPr>
              <w:spacing w:after="0"/>
              <w:rPr>
                <w:sz w:val="17"/>
                <w:szCs w:val="17"/>
                <w:color w:val="auto"/>
              </w:rPr>
            </w:pPr>
          </w:p>
        </w:tc>
      </w:tr>
      <w:tr>
        <w:trPr>
          <w:trHeight w:val="236"/>
        </w:trPr>
        <w:tc>
          <w:tcPr>
            <w:tcW w:w="1360" w:type="dxa"/>
            <w:vAlign w:val="bottom"/>
          </w:tcPr>
          <w:p>
            <w:pPr>
              <w:spacing w:after="0"/>
              <w:rPr>
                <w:sz w:val="20"/>
                <w:szCs w:val="20"/>
                <w:color w:val="auto"/>
              </w:rPr>
            </w:pPr>
          </w:p>
        </w:tc>
        <w:tc>
          <w:tcPr>
            <w:tcW w:w="9880" w:type="dxa"/>
            <w:vAlign w:val="bottom"/>
            <w:gridSpan w:val="31"/>
          </w:tcPr>
          <w:p>
            <w:pPr>
              <w:spacing w:after="0"/>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Oakleigh Thorne (incorporated by reference to Exhibit 10.2.12 to Form 10-Q filed on May 4, 2018 (File No. 001-35975))</w:t>
              </w:r>
            </w:hyperlink>
          </w:p>
        </w:tc>
      </w:tr>
      <w:tr>
        <w:trPr>
          <w:trHeight w:val="432"/>
        </w:trPr>
        <w:tc>
          <w:tcPr>
            <w:tcW w:w="1360" w:type="dxa"/>
            <w:vAlign w:val="bottom"/>
          </w:tcPr>
          <w:p>
            <w:pPr>
              <w:spacing w:after="0"/>
              <w:rPr>
                <w:sz w:val="24"/>
                <w:szCs w:val="24"/>
                <w:color w:val="auto"/>
              </w:rPr>
            </w:pPr>
          </w:p>
        </w:tc>
        <w:tc>
          <w:tcPr>
            <w:tcW w:w="4940" w:type="dxa"/>
            <w:vAlign w:val="bottom"/>
            <w:gridSpan w:val="7"/>
          </w:tcPr>
          <w:p>
            <w:pPr>
              <w:ind w:left="4120"/>
              <w:spacing w:after="0"/>
              <w:rPr>
                <w:sz w:val="20"/>
                <w:szCs w:val="20"/>
                <w:color w:val="auto"/>
              </w:rPr>
            </w:pPr>
            <w:r>
              <w:rPr>
                <w:rFonts w:ascii="Arial" w:cs="Arial" w:eastAsia="Arial" w:hAnsi="Arial"/>
                <w:sz w:val="18"/>
                <w:szCs w:val="18"/>
                <w:color w:val="auto"/>
              </w:rPr>
              <w:t>122</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10.2.7#***</w:t>
            </w:r>
          </w:p>
        </w:tc>
        <w:tc>
          <w:tcPr>
            <w:tcW w:w="9840" w:type="dxa"/>
            <w:vAlign w:val="bottom"/>
            <w:tcBorders>
              <w:bottom w:val="single" w:sz="8" w:color="0000EE"/>
            </w:tcBorders>
            <w:gridSpan w:val="31"/>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Employment Agreement, dated April 7, 2010, between Aircell LLC and Jonathan Cobin (incorporated by reference to Exhibit 10.2.14 to</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3"/>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Form 10-Q filed on May 4, 2018 (File No. 001-35975))</w:t>
              </w:r>
            </w:hyperlink>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97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Amendment No. 1 to the Employment Agreement, by and between Gogo LLC and Jonathan Cobin, effective as of November 30, 2017</w:t>
              </w:r>
            </w:hyperlink>
          </w:p>
        </w:tc>
        <w:tc>
          <w:tcPr>
            <w:tcW w:w="14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3"/>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(incorporated by reference to Exhibit 10.2.15 to Form 10-Q filed on May 4, 2018 (File No. 001-35975))</w:t>
              </w:r>
            </w:hyperlink>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93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Amendment No. 3 to the Employment Agreement, by and between Gogo LLC and John Wade, effective as of November 30, 2017</w:t>
              </w:r>
            </w:hyperlink>
          </w:p>
        </w:tc>
        <w:tc>
          <w:tcPr>
            <w:tcW w:w="500" w:type="dxa"/>
            <w:vAlign w:val="bottom"/>
            <w:gridSpan w:val="1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3"/>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(incorporated by reference to Exhibit 10.2.17 to Form 10-Q filed on May 4, 2018 (File No. 001-35975))</w:t>
              </w:r>
            </w:hyperlink>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10.2.10#</w:t>
            </w:r>
          </w:p>
        </w:tc>
        <w:tc>
          <w:tcPr>
            <w:tcW w:w="9880" w:type="dxa"/>
            <w:vAlign w:val="bottom"/>
            <w:gridSpan w:val="33"/>
          </w:tcPr>
          <w:p>
            <w:pPr>
              <w:spacing w:after="0" w:line="196" w:lineRule="exact"/>
              <w:rPr>
                <w:rFonts w:ascii="Arial" w:cs="Arial" w:eastAsia="Arial" w:hAnsi="Arial"/>
                <w:sz w:val="18"/>
                <w:szCs w:val="18"/>
                <w:color w:val="0000EE"/>
                <w:w w:val="98"/>
              </w:rPr>
            </w:pPr>
            <w:hyperlink r:id="rId198">
              <w:r>
                <w:rPr>
                  <w:rFonts w:ascii="Arial" w:cs="Arial" w:eastAsia="Arial" w:hAnsi="Arial"/>
                  <w:sz w:val="18"/>
                  <w:szCs w:val="18"/>
                  <w:color w:val="0000EE"/>
                  <w:w w:val="98"/>
                </w:rPr>
                <w:t>Form of Change in Control Severance Agreement, for named executive officers other than Oakleigh Thorne and Barry Rowan</w:t>
              </w:r>
            </w:hyperlink>
          </w:p>
        </w:tc>
      </w:tr>
      <w:tr>
        <w:trPr>
          <w:trHeight w:val="222"/>
        </w:trPr>
        <w:tc>
          <w:tcPr>
            <w:tcW w:w="1360" w:type="dxa"/>
            <w:vAlign w:val="bottom"/>
          </w:tcPr>
          <w:p>
            <w:pPr>
              <w:spacing w:after="0"/>
              <w:rPr>
                <w:sz w:val="19"/>
                <w:szCs w:val="19"/>
                <w:color w:val="auto"/>
              </w:rPr>
            </w:pPr>
          </w:p>
        </w:tc>
        <w:tc>
          <w:tcPr>
            <w:tcW w:w="9080" w:type="dxa"/>
            <w:vAlign w:val="bottom"/>
            <w:tcBorders>
              <w:top w:val="single" w:sz="8" w:color="0000EE"/>
            </w:tcBorders>
            <w:gridSpan w:val="15"/>
          </w:tcPr>
          <w:p>
            <w:pPr>
              <w:spacing w:after="0"/>
              <w:rPr>
                <w:rFonts w:ascii="Arial" w:cs="Arial" w:eastAsia="Arial" w:hAnsi="Arial"/>
                <w:sz w:val="18"/>
                <w:szCs w:val="18"/>
                <w:u w:val="single" w:color="auto"/>
                <w:color w:val="0000EE"/>
              </w:rPr>
            </w:pPr>
            <w:hyperlink r:id="rId198">
              <w:r>
                <w:rPr>
                  <w:rFonts w:ascii="Arial" w:cs="Arial" w:eastAsia="Arial" w:hAnsi="Arial"/>
                  <w:sz w:val="18"/>
                  <w:szCs w:val="18"/>
                  <w:u w:val="single" w:color="auto"/>
                  <w:color w:val="0000EE"/>
                </w:rPr>
                <w:t>(incorporated by reference to Exhibit 10.2.10 to Form 10-K filed on March 13, 2020 (File No. 001-25975))</w:t>
              </w:r>
            </w:hyperlink>
          </w:p>
        </w:tc>
        <w:tc>
          <w:tcPr>
            <w:tcW w:w="800" w:type="dxa"/>
            <w:vAlign w:val="bottom"/>
            <w:gridSpan w:val="18"/>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10.2.11#</w:t>
            </w:r>
          </w:p>
        </w:tc>
        <w:tc>
          <w:tcPr>
            <w:tcW w:w="9880" w:type="dxa"/>
            <w:vAlign w:val="bottom"/>
            <w:gridSpan w:val="33"/>
          </w:tcPr>
          <w:p>
            <w:pPr>
              <w:spacing w:after="0" w:line="190"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Amendment No. 1 to the Form of Change in Control Severance Agreement for named executive officers other than Oakleigh Thorne and</w:t>
              </w:r>
            </w:hyperlink>
          </w:p>
        </w:tc>
      </w:tr>
      <w:tr>
        <w:trPr>
          <w:trHeight w:val="222"/>
        </w:trPr>
        <w:tc>
          <w:tcPr>
            <w:tcW w:w="1360" w:type="dxa"/>
            <w:vAlign w:val="bottom"/>
          </w:tcPr>
          <w:p>
            <w:pPr>
              <w:spacing w:after="0"/>
              <w:rPr>
                <w:sz w:val="19"/>
                <w:szCs w:val="19"/>
                <w:color w:val="auto"/>
              </w:rPr>
            </w:pPr>
          </w:p>
        </w:tc>
        <w:tc>
          <w:tcPr>
            <w:tcW w:w="9860" w:type="dxa"/>
            <w:vAlign w:val="bottom"/>
            <w:tcBorders>
              <w:top w:val="single" w:sz="8" w:color="0000EE"/>
            </w:tcBorders>
            <w:gridSpan w:val="32"/>
          </w:tcPr>
          <w:p>
            <w:pPr>
              <w:spacing w:after="0"/>
              <w:rPr>
                <w:rFonts w:ascii="Arial" w:cs="Arial" w:eastAsia="Arial" w:hAnsi="Arial"/>
                <w:sz w:val="18"/>
                <w:szCs w:val="18"/>
                <w:u w:val="single" w:color="auto"/>
                <w:color w:val="0000EE"/>
              </w:rPr>
            </w:pPr>
            <w:hyperlink r:id="rId199">
              <w:r>
                <w:rPr>
                  <w:rFonts w:ascii="Arial" w:cs="Arial" w:eastAsia="Arial" w:hAnsi="Arial"/>
                  <w:sz w:val="18"/>
                  <w:szCs w:val="18"/>
                  <w:u w:val="single" w:color="auto"/>
                  <w:color w:val="0000EE"/>
                </w:rPr>
                <w:t>Barry Rowan (incorporated by reference to Exhibit 10.2.18 to Form 10-Q filed on May 4, 2018 (File No. 001-35975))</w:t>
              </w:r>
            </w:hyperlink>
          </w:p>
        </w:tc>
        <w:tc>
          <w:tcPr>
            <w:tcW w:w="20" w:type="dxa"/>
            <w:vAlign w:val="bottom"/>
          </w:tcPr>
          <w:p>
            <w:pPr>
              <w:spacing w:after="0"/>
              <w:rPr>
                <w:sz w:val="19"/>
                <w:szCs w:val="19"/>
                <w:color w:val="auto"/>
              </w:rPr>
            </w:pP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10.2.12#</w:t>
            </w:r>
          </w:p>
        </w:tc>
        <w:tc>
          <w:tcPr>
            <w:tcW w:w="9600" w:type="dxa"/>
            <w:vAlign w:val="bottom"/>
            <w:tcBorders>
              <w:bottom w:val="single" w:sz="8" w:color="0000EE"/>
            </w:tcBorders>
            <w:gridSpan w:val="21"/>
          </w:tcPr>
          <w:p>
            <w:pPr>
              <w:spacing w:after="0" w:line="190"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Employment Agreement, dated as of January 1, 2008, between Gogo Business Aviation LLC, as assignee of Gogo LLC (f/k/a Aircell</w:t>
              </w:r>
            </w:hyperlink>
          </w:p>
        </w:tc>
        <w:tc>
          <w:tcPr>
            <w:tcW w:w="280" w:type="dxa"/>
            <w:vAlign w:val="bottom"/>
            <w:gridSpan w:val="12"/>
          </w:tcPr>
          <w:p>
            <w:pPr>
              <w:spacing w:after="0"/>
              <w:rPr>
                <w:sz w:val="16"/>
                <w:szCs w:val="16"/>
                <w:color w:val="auto"/>
              </w:rPr>
            </w:pPr>
          </w:p>
        </w:tc>
      </w:tr>
      <w:tr>
        <w:trPr>
          <w:trHeight w:val="222"/>
        </w:trPr>
        <w:tc>
          <w:tcPr>
            <w:tcW w:w="1360" w:type="dxa"/>
            <w:vAlign w:val="bottom"/>
          </w:tcPr>
          <w:p>
            <w:pPr>
              <w:spacing w:after="0"/>
              <w:rPr>
                <w:sz w:val="19"/>
                <w:szCs w:val="19"/>
                <w:color w:val="auto"/>
              </w:rPr>
            </w:pPr>
          </w:p>
        </w:tc>
        <w:tc>
          <w:tcPr>
            <w:tcW w:w="9880" w:type="dxa"/>
            <w:vAlign w:val="bottom"/>
            <w:gridSpan w:val="33"/>
          </w:tcPr>
          <w:p>
            <w:pPr>
              <w:spacing w:after="0"/>
              <w:rPr>
                <w:rFonts w:ascii="Arial" w:cs="Arial" w:eastAsia="Arial" w:hAnsi="Arial"/>
                <w:sz w:val="18"/>
                <w:szCs w:val="18"/>
                <w:u w:val="single" w:color="auto"/>
                <w:color w:val="0000EE"/>
                <w:w w:val="96"/>
              </w:rPr>
            </w:pPr>
            <w:hyperlink r:id="rId200">
              <w:r>
                <w:rPr>
                  <w:rFonts w:ascii="Arial" w:cs="Arial" w:eastAsia="Arial" w:hAnsi="Arial"/>
                  <w:sz w:val="18"/>
                  <w:szCs w:val="18"/>
                  <w:u w:val="single" w:color="auto"/>
                  <w:color w:val="0000EE"/>
                  <w:w w:val="96"/>
                </w:rPr>
                <w:t>LLC) and Marguerite Elias (incorporated by reference to Exhibit 10.2.20 to Form 10-Q filed on May 9, 2019 (File No. 001-35975))</w:t>
              </w:r>
            </w:hyperlink>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10.2.13#</w:t>
            </w:r>
          </w:p>
        </w:tc>
        <w:tc>
          <w:tcPr>
            <w:tcW w:w="9820" w:type="dxa"/>
            <w:vAlign w:val="bottom"/>
            <w:tcBorders>
              <w:bottom w:val="single" w:sz="8" w:color="0000EE"/>
            </w:tcBorders>
            <w:gridSpan w:val="30"/>
          </w:tcPr>
          <w:p>
            <w:pPr>
              <w:spacing w:after="0" w:line="190" w:lineRule="exact"/>
              <w:rPr>
                <w:rFonts w:ascii="Arial" w:cs="Arial" w:eastAsia="Arial" w:hAnsi="Arial"/>
                <w:sz w:val="18"/>
                <w:szCs w:val="18"/>
                <w:color w:val="0000EE"/>
                <w:w w:val="92"/>
              </w:rPr>
            </w:pPr>
            <w:hyperlink r:id="rId201">
              <w:r>
                <w:rPr>
                  <w:rFonts w:ascii="Arial" w:cs="Arial" w:eastAsia="Arial" w:hAnsi="Arial"/>
                  <w:sz w:val="18"/>
                  <w:szCs w:val="18"/>
                  <w:color w:val="0000EE"/>
                  <w:w w:val="92"/>
                </w:rPr>
                <w:t>Amendment No. 1 to the Employment Agreement, between Gogo Business Aviation LLC, as assignee of Gogo LLC (f/k/a Aircell LLC)</w:t>
              </w:r>
            </w:hyperlink>
          </w:p>
        </w:tc>
        <w:tc>
          <w:tcPr>
            <w:tcW w:w="60" w:type="dxa"/>
            <w:vAlign w:val="bottom"/>
            <w:gridSpan w:val="3"/>
          </w:tcPr>
          <w:p>
            <w:pPr>
              <w:spacing w:after="0"/>
              <w:rPr>
                <w:sz w:val="16"/>
                <w:szCs w:val="16"/>
                <w:color w:val="auto"/>
              </w:rPr>
            </w:pPr>
          </w:p>
        </w:tc>
      </w:tr>
      <w:tr>
        <w:trPr>
          <w:trHeight w:val="196"/>
        </w:trPr>
        <w:tc>
          <w:tcPr>
            <w:tcW w:w="1360" w:type="dxa"/>
            <w:vAlign w:val="bottom"/>
          </w:tcPr>
          <w:p>
            <w:pPr>
              <w:spacing w:after="0"/>
              <w:rPr>
                <w:sz w:val="17"/>
                <w:szCs w:val="17"/>
                <w:color w:val="auto"/>
              </w:rPr>
            </w:pPr>
          </w:p>
        </w:tc>
        <w:tc>
          <w:tcPr>
            <w:tcW w:w="95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and Marguerite Elias, effective as of December 31, 2008 (incorporated by reference to Exhibit 10.2.21 to Form 10-Q filed on May 9,</w:t>
              </w:r>
            </w:hyperlink>
          </w:p>
        </w:tc>
        <w:tc>
          <w:tcPr>
            <w:tcW w:w="32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0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201">
              <w:r>
                <w:rPr>
                  <w:rFonts w:ascii="Arial" w:cs="Arial" w:eastAsia="Arial" w:hAnsi="Arial"/>
                  <w:sz w:val="18"/>
                  <w:szCs w:val="18"/>
                  <w:color w:val="0000EE"/>
                  <w:w w:val="92"/>
                </w:rPr>
                <w:t>2019 (File No. 001-35975))</w:t>
              </w:r>
            </w:hyperlink>
          </w:p>
        </w:tc>
        <w:tc>
          <w:tcPr>
            <w:tcW w:w="7860" w:type="dxa"/>
            <w:vAlign w:val="bottom"/>
            <w:gridSpan w:val="29"/>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10.2.14#</w:t>
            </w:r>
          </w:p>
        </w:tc>
        <w:tc>
          <w:tcPr>
            <w:tcW w:w="982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202">
              <w:r>
                <w:rPr>
                  <w:rFonts w:ascii="Arial" w:cs="Arial" w:eastAsia="Arial" w:hAnsi="Arial"/>
                  <w:sz w:val="18"/>
                  <w:szCs w:val="18"/>
                  <w:color w:val="0000EE"/>
                  <w:w w:val="92"/>
                </w:rPr>
                <w:t>Amendment No. 2 to the Employment Agreement, between Gogo Business Aviation LLC, as assignee of Gogo LLC (f/k/a Aircell LLC)</w:t>
              </w:r>
            </w:hyperlink>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5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and Marguerite Elias, effective as of November 30, 2017 (incorporated by reference to Exhibit 10.2.22 to Form 10-Q filed on May 9,</w:t>
              </w:r>
            </w:hyperlink>
          </w:p>
        </w:tc>
        <w:tc>
          <w:tcPr>
            <w:tcW w:w="30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0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2019 (File No. 001-35975))</w:t>
              </w:r>
            </w:hyperlink>
          </w:p>
        </w:tc>
        <w:tc>
          <w:tcPr>
            <w:tcW w:w="7880" w:type="dxa"/>
            <w:vAlign w:val="bottom"/>
            <w:gridSpan w:val="30"/>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9880" w:type="dxa"/>
            <w:vAlign w:val="bottom"/>
            <w:gridSpan w:val="33"/>
          </w:tcPr>
          <w:p>
            <w:pPr>
              <w:spacing w:after="0" w:line="196" w:lineRule="exact"/>
              <w:rPr>
                <w:rFonts w:ascii="Arial" w:cs="Arial" w:eastAsia="Arial" w:hAnsi="Arial"/>
                <w:sz w:val="18"/>
                <w:szCs w:val="18"/>
                <w:color w:val="0000EE"/>
                <w:w w:val="93"/>
              </w:rPr>
            </w:pPr>
            <w:hyperlink r:id="rId203">
              <w:r>
                <w:rPr>
                  <w:rFonts w:ascii="Arial" w:cs="Arial" w:eastAsia="Arial" w:hAnsi="Arial"/>
                  <w:sz w:val="18"/>
                  <w:szCs w:val="18"/>
                  <w:color w:val="0000EE"/>
                  <w:w w:val="93"/>
                </w:rPr>
                <w:t>Aircell Holdings Inc. Stock Option Plan (incorporated by reference to Exhibit 10.3.1 to Gogo Inc. Registration Statement on Form S-1</w:t>
              </w:r>
            </w:hyperlink>
          </w:p>
        </w:tc>
      </w:tr>
      <w:tr>
        <w:trPr>
          <w:trHeight w:val="196"/>
        </w:trPr>
        <w:tc>
          <w:tcPr>
            <w:tcW w:w="1360" w:type="dxa"/>
            <w:vAlign w:val="bottom"/>
          </w:tcPr>
          <w:p>
            <w:pPr>
              <w:spacing w:after="0"/>
              <w:rPr>
                <w:sz w:val="17"/>
                <w:szCs w:val="17"/>
                <w:color w:val="auto"/>
              </w:rPr>
            </w:pPr>
          </w:p>
        </w:tc>
        <w:tc>
          <w:tcPr>
            <w:tcW w:w="96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(File No. 333-178727))</w:t>
              </w:r>
            </w:hyperlink>
          </w:p>
        </w:tc>
        <w:tc>
          <w:tcPr>
            <w:tcW w:w="200" w:type="dxa"/>
            <w:vAlign w:val="bottom"/>
            <w:gridSpan w:val="9"/>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10.3.2#</w:t>
            </w:r>
          </w:p>
        </w:tc>
        <w:tc>
          <w:tcPr>
            <w:tcW w:w="95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Amendment No. 1 to the Aircell Holdings Inc. Stock Option Plan, effective as of June 2, 2010 (incorporated by reference to Exhibit</w:t>
              </w:r>
            </w:hyperlink>
          </w:p>
        </w:tc>
        <w:tc>
          <w:tcPr>
            <w:tcW w:w="380" w:type="dxa"/>
            <w:vAlign w:val="bottom"/>
            <w:gridSpan w:val="1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7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3.2</w:t>
              </w:r>
              <w:r>
                <w:rPr>
                  <w:rFonts w:ascii="Arial" w:cs="Arial" w:eastAsia="Arial" w:hAnsi="Arial"/>
                  <w:sz w:val="18"/>
                  <w:szCs w:val="18"/>
                  <w:color w:val="0000EE"/>
                  <w:w w:val="91"/>
                </w:rPr>
                <w:t xml:space="preserve"> to Gogo Inc. Registration Statement on Form S-1 (File No. 333-178727))</w:t>
              </w:r>
            </w:hyperlink>
          </w:p>
        </w:tc>
        <w:tc>
          <w:tcPr>
            <w:tcW w:w="4100" w:type="dxa"/>
            <w:vAlign w:val="bottom"/>
            <w:gridSpan w:val="21"/>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10.3.3#</w:t>
            </w:r>
          </w:p>
        </w:tc>
        <w:tc>
          <w:tcPr>
            <w:tcW w:w="97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Amendment No. 2 to the Aircell Holdings Inc. Stock Option Plan, dated as of December 14, 2011(incorporated by reference to Exhibit</w:t>
              </w:r>
            </w:hyperlink>
          </w:p>
        </w:tc>
        <w:tc>
          <w:tcPr>
            <w:tcW w:w="16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7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3.3</w:t>
              </w:r>
              <w:r>
                <w:rPr>
                  <w:rFonts w:ascii="Arial" w:cs="Arial" w:eastAsia="Arial" w:hAnsi="Arial"/>
                  <w:sz w:val="18"/>
                  <w:szCs w:val="18"/>
                  <w:color w:val="0000EE"/>
                  <w:w w:val="91"/>
                </w:rPr>
                <w:t xml:space="preserve"> to Gogo Inc. Registration Statement on Form S-1 (File No. 333-178727))</w:t>
              </w:r>
            </w:hyperlink>
          </w:p>
        </w:tc>
        <w:tc>
          <w:tcPr>
            <w:tcW w:w="4100" w:type="dxa"/>
            <w:vAlign w:val="bottom"/>
            <w:gridSpan w:val="21"/>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10.3.4#</w:t>
            </w:r>
          </w:p>
        </w:tc>
        <w:tc>
          <w:tcPr>
            <w:tcW w:w="9880" w:type="dxa"/>
            <w:vAlign w:val="bottom"/>
            <w:gridSpan w:val="33"/>
          </w:tcPr>
          <w:p>
            <w:pPr>
              <w:spacing w:after="0" w:line="196" w:lineRule="exact"/>
              <w:rPr>
                <w:rFonts w:ascii="Arial" w:cs="Arial" w:eastAsia="Arial" w:hAnsi="Arial"/>
                <w:sz w:val="18"/>
                <w:szCs w:val="18"/>
                <w:color w:val="0000EE"/>
                <w:w w:val="95"/>
              </w:rPr>
            </w:pPr>
            <w:hyperlink r:id="rId206">
              <w:r>
                <w:rPr>
                  <w:rFonts w:ascii="Arial" w:cs="Arial" w:eastAsia="Arial" w:hAnsi="Arial"/>
                  <w:sz w:val="18"/>
                  <w:szCs w:val="18"/>
                  <w:color w:val="0000EE"/>
                  <w:w w:val="95"/>
                </w:rPr>
                <w:t>Amendment No. 3 to the Aircell Holdings Inc. Stock Option Plan, effective as of May 31, 2013 (incorporated by reference to Exhibit</w:t>
              </w:r>
            </w:hyperlink>
          </w:p>
        </w:tc>
      </w:tr>
      <w:tr>
        <w:trPr>
          <w:trHeight w:val="196"/>
        </w:trPr>
        <w:tc>
          <w:tcPr>
            <w:tcW w:w="1360" w:type="dxa"/>
            <w:vAlign w:val="bottom"/>
          </w:tcPr>
          <w:p>
            <w:pPr>
              <w:spacing w:after="0"/>
              <w:rPr>
                <w:sz w:val="17"/>
                <w:szCs w:val="17"/>
                <w:color w:val="auto"/>
              </w:rPr>
            </w:pPr>
          </w:p>
        </w:tc>
        <w:tc>
          <w:tcPr>
            <w:tcW w:w="57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3.4</w:t>
              </w:r>
              <w:r>
                <w:rPr>
                  <w:rFonts w:ascii="Arial" w:cs="Arial" w:eastAsia="Arial" w:hAnsi="Arial"/>
                  <w:sz w:val="18"/>
                  <w:szCs w:val="18"/>
                  <w:color w:val="0000EE"/>
                  <w:w w:val="91"/>
                </w:rPr>
                <w:t xml:space="preserve"> to Gogo Inc. Registration Statement on Form S-1 (File No. 333-178727))</w:t>
              </w:r>
            </w:hyperlink>
          </w:p>
        </w:tc>
        <w:tc>
          <w:tcPr>
            <w:tcW w:w="3800" w:type="dxa"/>
            <w:vAlign w:val="bottom"/>
            <w:tcBorders>
              <w:top w:val="single" w:sz="8" w:color="0000EE"/>
            </w:tcBorders>
            <w:gridSpan w:val="8"/>
          </w:tcPr>
          <w:p>
            <w:pPr>
              <w:spacing w:after="0"/>
              <w:rPr>
                <w:sz w:val="17"/>
                <w:szCs w:val="17"/>
                <w:color w:val="auto"/>
              </w:rPr>
            </w:pPr>
          </w:p>
        </w:tc>
        <w:tc>
          <w:tcPr>
            <w:tcW w:w="300" w:type="dxa"/>
            <w:vAlign w:val="bottom"/>
            <w:gridSpan w:val="1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10.3.5#</w:t>
            </w:r>
          </w:p>
        </w:tc>
        <w:tc>
          <w:tcPr>
            <w:tcW w:w="978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Form of Stock Option Agreement for Aircell Holdings Inc. Stock Option Plan (incorporated by reference to Exhibit 10.3.4 to Gogo Inc.</w:t>
              </w:r>
            </w:hyperlink>
          </w:p>
        </w:tc>
        <w:tc>
          <w:tcPr>
            <w:tcW w:w="10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3"/>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Registration Statement on Form S-1 (File No. 333-178727))</w:t>
              </w:r>
            </w:hyperlink>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10.3.6#</w:t>
            </w:r>
          </w:p>
        </w:tc>
        <w:tc>
          <w:tcPr>
            <w:tcW w:w="94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207">
              <w:r>
                <w:rPr>
                  <w:rFonts w:ascii="Arial" w:cs="Arial" w:eastAsia="Arial" w:hAnsi="Arial"/>
                  <w:sz w:val="18"/>
                  <w:szCs w:val="18"/>
                  <w:color w:val="0000EE"/>
                  <w:w w:val="92"/>
                </w:rPr>
                <w:t>Form of Stock Option Agreement for Aircell Holdings Inc. Stock Option Plan (for June 2013 grants) (incorporated by reference to</w:t>
              </w:r>
            </w:hyperlink>
          </w:p>
        </w:tc>
        <w:tc>
          <w:tcPr>
            <w:tcW w:w="480" w:type="dxa"/>
            <w:vAlign w:val="bottom"/>
            <w:gridSpan w:val="1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3"/>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Exhibit 10.3.6 to Gogo Inc. Registration Statement on Form S-1 (File No. 333-178727))</w:t>
              </w:r>
            </w:hyperlink>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10.4.1#</w:t>
            </w:r>
          </w:p>
        </w:tc>
        <w:tc>
          <w:tcPr>
            <w:tcW w:w="9880" w:type="dxa"/>
            <w:vAlign w:val="bottom"/>
            <w:gridSpan w:val="33"/>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Gogo Inc. Omnibus Incentive Plan (incorporated by reference to Exhibit 10.5 to Gogo Inc. Registration Statement on Form S-1 (File No.</w:t>
              </w:r>
            </w:hyperlink>
          </w:p>
        </w:tc>
      </w:tr>
      <w:tr>
        <w:trPr>
          <w:trHeight w:val="196"/>
        </w:trPr>
        <w:tc>
          <w:tcPr>
            <w:tcW w:w="1360" w:type="dxa"/>
            <w:vAlign w:val="bottom"/>
          </w:tcPr>
          <w:p>
            <w:pPr>
              <w:spacing w:after="0"/>
              <w:rPr>
                <w:sz w:val="17"/>
                <w:szCs w:val="17"/>
                <w:color w:val="auto"/>
              </w:rPr>
            </w:pPr>
          </w:p>
        </w:tc>
        <w:tc>
          <w:tcPr>
            <w:tcW w:w="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208">
              <w:r>
                <w:rPr>
                  <w:rFonts w:ascii="Arial" w:cs="Arial" w:eastAsia="Arial" w:hAnsi="Arial"/>
                  <w:sz w:val="18"/>
                  <w:szCs w:val="18"/>
                  <w:color w:val="0000EE"/>
                  <w:w w:val="88"/>
                </w:rPr>
                <w:t>333-178727))</w:t>
              </w:r>
            </w:hyperlink>
          </w:p>
        </w:tc>
        <w:tc>
          <w:tcPr>
            <w:tcW w:w="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10.4.2#</w:t>
            </w:r>
          </w:p>
        </w:tc>
        <w:tc>
          <w:tcPr>
            <w:tcW w:w="9880" w:type="dxa"/>
            <w:vAlign w:val="bottom"/>
            <w:gridSpan w:val="33"/>
          </w:tcPr>
          <w:p>
            <w:pPr>
              <w:spacing w:after="0" w:line="196" w:lineRule="exact"/>
              <w:rPr>
                <w:rFonts w:ascii="Arial" w:cs="Arial" w:eastAsia="Arial" w:hAnsi="Arial"/>
                <w:sz w:val="18"/>
                <w:szCs w:val="18"/>
                <w:color w:val="0000EE"/>
                <w:w w:val="92"/>
              </w:rPr>
            </w:pPr>
            <w:hyperlink r:id="rId209">
              <w:r>
                <w:rPr>
                  <w:rFonts w:ascii="Arial" w:cs="Arial" w:eastAsia="Arial" w:hAnsi="Arial"/>
                  <w:sz w:val="18"/>
                  <w:szCs w:val="18"/>
                  <w:color w:val="0000EE"/>
                  <w:w w:val="92"/>
                </w:rPr>
                <w:t>Form of Stock Option Agreement for Gogo Inc. Omnibus Incentive Plan (incorporated by reference to Exhibit 10.5.2 to Form 10-K filed</w:t>
              </w:r>
            </w:hyperlink>
          </w:p>
        </w:tc>
      </w:tr>
      <w:tr>
        <w:trPr>
          <w:trHeight w:val="196"/>
        </w:trPr>
        <w:tc>
          <w:tcPr>
            <w:tcW w:w="1360" w:type="dxa"/>
            <w:vAlign w:val="bottom"/>
          </w:tcPr>
          <w:p>
            <w:pPr>
              <w:spacing w:after="0"/>
              <w:rPr>
                <w:sz w:val="17"/>
                <w:szCs w:val="17"/>
                <w:color w:val="auto"/>
              </w:rPr>
            </w:pPr>
          </w:p>
        </w:tc>
        <w:tc>
          <w:tcPr>
            <w:tcW w:w="98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on March 14, 2014 (File No. 001-35975))</w:t>
              </w:r>
            </w:hyperlink>
          </w:p>
        </w:tc>
        <w:tc>
          <w:tcPr>
            <w:tcW w:w="40" w:type="dxa"/>
            <w:vAlign w:val="bottom"/>
            <w:gridSpan w:val="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10.4.3#</w:t>
            </w:r>
          </w:p>
        </w:tc>
        <w:tc>
          <w:tcPr>
            <w:tcW w:w="96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Form of Restricted Stock Unit Agreement for Gogo Inc. Omnibus Incentive Plan (incorporated by reference to Exhibit 10.4.3 to Form</w:t>
              </w:r>
            </w:hyperlink>
          </w:p>
        </w:tc>
        <w:tc>
          <w:tcPr>
            <w:tcW w:w="22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0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10">
              <w:r>
                <w:rPr>
                  <w:rFonts w:ascii="Arial" w:cs="Arial" w:eastAsia="Arial" w:hAnsi="Arial"/>
                  <w:sz w:val="18"/>
                  <w:szCs w:val="18"/>
                  <w:color w:val="0000EE"/>
                  <w:w w:val="92"/>
                </w:rPr>
                <w:t>10-K filed on February 27, 2015 (File No. 001-35975))</w:t>
              </w:r>
            </w:hyperlink>
          </w:p>
        </w:tc>
        <w:tc>
          <w:tcPr>
            <w:tcW w:w="5880" w:type="dxa"/>
            <w:vAlign w:val="bottom"/>
            <w:gridSpan w:val="2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10.4.4#</w:t>
            </w:r>
          </w:p>
        </w:tc>
        <w:tc>
          <w:tcPr>
            <w:tcW w:w="9880" w:type="dxa"/>
            <w:vAlign w:val="bottom"/>
            <w:gridSpan w:val="33"/>
          </w:tcPr>
          <w:p>
            <w:pPr>
              <w:spacing w:after="0" w:line="196" w:lineRule="exact"/>
              <w:rPr>
                <w:rFonts w:ascii="Arial" w:cs="Arial" w:eastAsia="Arial" w:hAnsi="Arial"/>
                <w:sz w:val="18"/>
                <w:szCs w:val="18"/>
                <w:color w:val="0000EE"/>
                <w:w w:val="93"/>
              </w:rPr>
            </w:pPr>
            <w:hyperlink r:id="rId211">
              <w:r>
                <w:rPr>
                  <w:rFonts w:ascii="Arial" w:cs="Arial" w:eastAsia="Arial" w:hAnsi="Arial"/>
                  <w:sz w:val="18"/>
                  <w:szCs w:val="18"/>
                  <w:color w:val="0000EE"/>
                  <w:w w:val="93"/>
                </w:rPr>
                <w:t>Form of Restricted Stock Agreement for Gogo Inc. Omnibus Incentive Plan (incorporated by reference to Exhibit 10.4.4 to Form 10-K</w:t>
              </w:r>
            </w:hyperlink>
          </w:p>
        </w:tc>
      </w:tr>
      <w:tr>
        <w:trPr>
          <w:trHeight w:val="196"/>
        </w:trPr>
        <w:tc>
          <w:tcPr>
            <w:tcW w:w="1360" w:type="dxa"/>
            <w:vAlign w:val="bottom"/>
          </w:tcPr>
          <w:p>
            <w:pPr>
              <w:spacing w:after="0"/>
              <w:rPr>
                <w:sz w:val="17"/>
                <w:szCs w:val="17"/>
                <w:color w:val="auto"/>
              </w:rPr>
            </w:pPr>
          </w:p>
        </w:tc>
        <w:tc>
          <w:tcPr>
            <w:tcW w:w="97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filed on February 27, 2015 (File No. 001-35975))</w:t>
              </w:r>
            </w:hyperlink>
          </w:p>
        </w:tc>
        <w:tc>
          <w:tcPr>
            <w:tcW w:w="180" w:type="dxa"/>
            <w:vAlign w:val="bottom"/>
            <w:gridSpan w:val="8"/>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34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10.4.5#</w:t>
            </w:r>
          </w:p>
        </w:tc>
        <w:tc>
          <w:tcPr>
            <w:tcW w:w="98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Form of Stock Option Agreement for Gogo Inc. 2016 Omnibus Incentive Plan (incorporated by reference to Exhibit 10.4.6 to Form 10-Q</w:t>
              </w:r>
            </w:hyperlink>
          </w:p>
        </w:tc>
      </w:tr>
      <w:tr>
        <w:trPr>
          <w:trHeight w:val="196"/>
        </w:trPr>
        <w:tc>
          <w:tcPr>
            <w:tcW w:w="1360" w:type="dxa"/>
            <w:vAlign w:val="bottom"/>
          </w:tcPr>
          <w:p>
            <w:pPr>
              <w:spacing w:after="0"/>
              <w:rPr>
                <w:sz w:val="17"/>
                <w:szCs w:val="17"/>
                <w:color w:val="auto"/>
              </w:rPr>
            </w:pPr>
          </w:p>
        </w:tc>
        <w:tc>
          <w:tcPr>
            <w:tcW w:w="9880" w:type="dxa"/>
            <w:vAlign w:val="bottom"/>
            <w:gridSpan w:val="33"/>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filed on August 4, 2016 (File No. 001-35975))</w:t>
              </w:r>
            </w:hyperlink>
          </w:p>
        </w:tc>
      </w:tr>
      <w:tr>
        <w:trPr>
          <w:trHeight w:val="20"/>
        </w:trPr>
        <w:tc>
          <w:tcPr>
            <w:tcW w:w="1360" w:type="dxa"/>
            <w:vAlign w:val="bottom"/>
          </w:tcPr>
          <w:p>
            <w:pPr>
              <w:spacing w:after="0" w:line="20" w:lineRule="exact"/>
              <w:rPr>
                <w:sz w:val="1"/>
                <w:szCs w:val="1"/>
                <w:color w:val="auto"/>
              </w:rPr>
            </w:pPr>
          </w:p>
        </w:tc>
        <w:tc>
          <w:tcPr>
            <w:tcW w:w="3340" w:type="dxa"/>
            <w:vAlign w:val="bottom"/>
            <w:gridSpan w:val="6"/>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10.4.6#</w:t>
            </w:r>
          </w:p>
        </w:tc>
        <w:tc>
          <w:tcPr>
            <w:tcW w:w="9880" w:type="dxa"/>
            <w:vAlign w:val="bottom"/>
            <w:gridSpan w:val="33"/>
          </w:tcPr>
          <w:p>
            <w:pPr>
              <w:spacing w:after="0" w:line="196" w:lineRule="exact"/>
              <w:rPr>
                <w:rFonts w:ascii="Arial" w:cs="Arial" w:eastAsia="Arial" w:hAnsi="Arial"/>
                <w:sz w:val="18"/>
                <w:szCs w:val="18"/>
                <w:color w:val="0000EE"/>
                <w:w w:val="92"/>
              </w:rPr>
            </w:pPr>
            <w:hyperlink r:id="rId213">
              <w:r>
                <w:rPr>
                  <w:rFonts w:ascii="Arial" w:cs="Arial" w:eastAsia="Arial" w:hAnsi="Arial"/>
                  <w:sz w:val="18"/>
                  <w:szCs w:val="18"/>
                  <w:color w:val="0000EE"/>
                  <w:w w:val="92"/>
                </w:rPr>
                <w:t>Form of Performance Stock Option Agreement for Gogo Inc. 2016 Omnibus Incentive Plan (incorporated by reference to Exhibit 10.4.7</w:t>
              </w:r>
            </w:hyperlink>
          </w:p>
        </w:tc>
      </w:tr>
      <w:tr>
        <w:trPr>
          <w:trHeight w:val="196"/>
        </w:trPr>
        <w:tc>
          <w:tcPr>
            <w:tcW w:w="136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213">
              <w:r>
                <w:rPr>
                  <w:rFonts w:ascii="Arial" w:cs="Arial" w:eastAsia="Arial" w:hAnsi="Arial"/>
                  <w:sz w:val="18"/>
                  <w:szCs w:val="18"/>
                  <w:color w:val="0000EE"/>
                  <w:w w:val="92"/>
                </w:rPr>
                <w:t>to Form 10-Q filed on August 4, 2016 (File No. 001-35975))</w:t>
              </w:r>
            </w:hyperlink>
          </w:p>
        </w:tc>
        <w:tc>
          <w:tcPr>
            <w:tcW w:w="5420" w:type="dxa"/>
            <w:vAlign w:val="bottom"/>
            <w:tcBorders>
              <w:top w:val="single" w:sz="8" w:color="0000EE"/>
            </w:tcBorders>
            <w:gridSpan w:val="18"/>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10.4.7#</w:t>
            </w:r>
          </w:p>
        </w:tc>
        <w:tc>
          <w:tcPr>
            <w:tcW w:w="9880" w:type="dxa"/>
            <w:vAlign w:val="bottom"/>
            <w:gridSpan w:val="33"/>
          </w:tcPr>
          <w:p>
            <w:pPr>
              <w:spacing w:after="0" w:line="196" w:lineRule="exact"/>
              <w:rPr>
                <w:rFonts w:ascii="Arial" w:cs="Arial" w:eastAsia="Arial" w:hAnsi="Arial"/>
                <w:sz w:val="18"/>
                <w:szCs w:val="18"/>
                <w:color w:val="0000EE"/>
                <w:w w:val="94"/>
              </w:rPr>
            </w:pPr>
            <w:hyperlink r:id="rId214">
              <w:r>
                <w:rPr>
                  <w:rFonts w:ascii="Arial" w:cs="Arial" w:eastAsia="Arial" w:hAnsi="Arial"/>
                  <w:sz w:val="18"/>
                  <w:szCs w:val="18"/>
                  <w:color w:val="0000EE"/>
                  <w:w w:val="94"/>
                </w:rPr>
                <w:t>Form of Restricted Stock Unit Agreement for Gogo Inc. 2016 Omnibus Incentive Plan (incorporated by reference to Exhibit 10.4.8 to</w:t>
              </w:r>
            </w:hyperlink>
          </w:p>
        </w:tc>
      </w:tr>
      <w:tr>
        <w:trPr>
          <w:trHeight w:val="196"/>
        </w:trPr>
        <w:tc>
          <w:tcPr>
            <w:tcW w:w="1360" w:type="dxa"/>
            <w:vAlign w:val="bottom"/>
          </w:tcPr>
          <w:p>
            <w:pPr>
              <w:spacing w:after="0"/>
              <w:rPr>
                <w:sz w:val="17"/>
                <w:szCs w:val="17"/>
                <w:color w:val="auto"/>
              </w:rPr>
            </w:pPr>
          </w:p>
        </w:tc>
        <w:tc>
          <w:tcPr>
            <w:tcW w:w="96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Form 10-Q filed on August 4, 2016 (File No.001-35975))</w:t>
              </w:r>
            </w:hyperlink>
          </w:p>
        </w:tc>
        <w:tc>
          <w:tcPr>
            <w:tcW w:w="260" w:type="dxa"/>
            <w:vAlign w:val="bottom"/>
            <w:gridSpan w:val="11"/>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4140" w:type="dxa"/>
            <w:vAlign w:val="bottom"/>
            <w:gridSpan w:val="9"/>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360" w:type="dxa"/>
            <w:vAlign w:val="bottom"/>
          </w:tcPr>
          <w:p>
            <w:pPr>
              <w:spacing w:after="0"/>
              <w:rPr>
                <w:sz w:val="24"/>
                <w:szCs w:val="24"/>
                <w:color w:val="auto"/>
              </w:rPr>
            </w:pPr>
          </w:p>
        </w:tc>
        <w:tc>
          <w:tcPr>
            <w:tcW w:w="5780" w:type="dxa"/>
            <w:vAlign w:val="bottom"/>
            <w:gridSpan w:val="12"/>
          </w:tcPr>
          <w:p>
            <w:pPr>
              <w:ind w:left="4120"/>
              <w:spacing w:after="0"/>
              <w:rPr>
                <w:sz w:val="20"/>
                <w:szCs w:val="20"/>
                <w:color w:val="auto"/>
              </w:rPr>
            </w:pPr>
            <w:r>
              <w:rPr>
                <w:rFonts w:ascii="Arial" w:cs="Arial" w:eastAsia="Arial" w:hAnsi="Arial"/>
                <w:sz w:val="18"/>
                <w:szCs w:val="18"/>
                <w:color w:val="auto"/>
              </w:rPr>
              <w:t>123</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10.4.8#</w:t>
            </w:r>
          </w:p>
        </w:tc>
        <w:tc>
          <w:tcPr>
            <w:tcW w:w="9340" w:type="dxa"/>
            <w:vAlign w:val="bottom"/>
            <w:tcBorders>
              <w:bottom w:val="single" w:sz="8" w:color="0000EE"/>
            </w:tcBorders>
            <w:gridSpan w:val="16"/>
          </w:tcPr>
          <w:p>
            <w:pPr>
              <w:spacing w:after="0"/>
              <w:rPr>
                <w:rFonts w:ascii="Arial" w:cs="Arial" w:eastAsia="Arial" w:hAnsi="Arial"/>
                <w:sz w:val="18"/>
                <w:szCs w:val="18"/>
                <w:color w:val="0000EE"/>
                <w:w w:val="91"/>
              </w:rPr>
            </w:pPr>
            <w:hyperlink r:id="rId217">
              <w:r>
                <w:rPr>
                  <w:rFonts w:ascii="Arial" w:cs="Arial" w:eastAsia="Arial" w:hAnsi="Arial"/>
                  <w:sz w:val="18"/>
                  <w:szCs w:val="18"/>
                  <w:color w:val="0000EE"/>
                  <w:w w:val="91"/>
                </w:rPr>
                <w:t>Form of Performance Restricted Stock Unit Agreement for Gogo Inc. 2016 Omnibus Incentive Plan (incorporated by reference to</w:t>
              </w:r>
            </w:hyperlink>
          </w:p>
        </w:tc>
        <w:tc>
          <w:tcPr>
            <w:tcW w:w="54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Exhibit 10.4.9 to Form 10-Q filed on August 4, 2016 (File No. 001-35975))</w:t>
              </w:r>
            </w:hyperlink>
          </w:p>
        </w:tc>
      </w:tr>
      <w:tr>
        <w:trPr>
          <w:trHeight w:val="20"/>
        </w:trPr>
        <w:tc>
          <w:tcPr>
            <w:tcW w:w="1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10.4.9#</w:t>
            </w:r>
          </w:p>
        </w:tc>
        <w:tc>
          <w:tcPr>
            <w:tcW w:w="9880" w:type="dxa"/>
            <w:vAlign w:val="bottom"/>
            <w:gridSpan w:val="30"/>
          </w:tcPr>
          <w:p>
            <w:pPr>
              <w:spacing w:after="0" w:line="196"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Amended and Restated Gogo Inc. 2016 Omnibus Incentive Plan (incorporated by reference to Annex A to the definitive proxy statement</w:t>
              </w:r>
            </w:hyperlink>
          </w:p>
        </w:tc>
      </w:tr>
      <w:tr>
        <w:trPr>
          <w:trHeight w:val="196"/>
        </w:trPr>
        <w:tc>
          <w:tcPr>
            <w:tcW w:w="1360" w:type="dxa"/>
            <w:vAlign w:val="bottom"/>
          </w:tcPr>
          <w:p>
            <w:pPr>
              <w:spacing w:after="0"/>
              <w:rPr>
                <w:sz w:val="17"/>
                <w:szCs w:val="17"/>
                <w:color w:val="auto"/>
              </w:rPr>
            </w:pPr>
          </w:p>
        </w:tc>
        <w:tc>
          <w:tcPr>
            <w:tcW w:w="98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on Schedule 14A filed on April 27, 2018 (File No. 001-35975).</w:t>
              </w:r>
            </w:hyperlink>
          </w:p>
        </w:tc>
        <w:tc>
          <w:tcPr>
            <w:tcW w:w="40" w:type="dxa"/>
            <w:vAlign w:val="bottom"/>
            <w:gridSpan w:val="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9880" w:type="dxa"/>
            <w:vAlign w:val="bottom"/>
            <w:gridSpan w:val="30"/>
          </w:tcPr>
          <w:p>
            <w:pPr>
              <w:spacing w:after="0" w:line="196"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Gogo Inc. Annual Incentive Plan (as amended as of April 14, 2016) (incorporated by reference to Exhibit 10.4.10 to Form 10-Q filed on</w:t>
              </w:r>
            </w:hyperlink>
          </w:p>
        </w:tc>
      </w:tr>
      <w:tr>
        <w:trPr>
          <w:trHeight w:val="196"/>
        </w:trPr>
        <w:tc>
          <w:tcPr>
            <w:tcW w:w="1360" w:type="dxa"/>
            <w:vAlign w:val="bottom"/>
          </w:tcPr>
          <w:p>
            <w:pPr>
              <w:spacing w:after="0"/>
              <w:rPr>
                <w:sz w:val="17"/>
                <w:szCs w:val="17"/>
                <w:color w:val="auto"/>
              </w:rPr>
            </w:pPr>
          </w:p>
        </w:tc>
        <w:tc>
          <w:tcPr>
            <w:tcW w:w="98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219">
              <w:r>
                <w:rPr>
                  <w:rFonts w:ascii="Arial" w:cs="Arial" w:eastAsia="Arial" w:hAnsi="Arial"/>
                  <w:sz w:val="18"/>
                  <w:szCs w:val="18"/>
                  <w:color w:val="0000EE"/>
                </w:rPr>
                <w:t>August 4, 2016 (File No. 001-35975))</w:t>
              </w:r>
            </w:hyperlink>
          </w:p>
        </w:tc>
        <w:tc>
          <w:tcPr>
            <w:tcW w:w="80" w:type="dxa"/>
            <w:vAlign w:val="bottom"/>
            <w:gridSpan w:val="3"/>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9880" w:type="dxa"/>
            <w:vAlign w:val="bottom"/>
            <w:gridSpan w:val="30"/>
          </w:tcPr>
          <w:p>
            <w:pPr>
              <w:spacing w:after="0" w:line="196" w:lineRule="exact"/>
              <w:rPr>
                <w:rFonts w:ascii="Arial" w:cs="Arial" w:eastAsia="Arial" w:hAnsi="Arial"/>
                <w:sz w:val="18"/>
                <w:szCs w:val="18"/>
                <w:color w:val="0000EE"/>
                <w:w w:val="93"/>
              </w:rPr>
            </w:pPr>
            <w:hyperlink r:id="rId220">
              <w:r>
                <w:rPr>
                  <w:rFonts w:ascii="Arial" w:cs="Arial" w:eastAsia="Arial" w:hAnsi="Arial"/>
                  <w:sz w:val="18"/>
                  <w:szCs w:val="18"/>
                  <w:color w:val="0000EE"/>
                  <w:w w:val="93"/>
                </w:rPr>
                <w:t>Gogo Inc. Section 409A Specified Employee Policy (incorporated by reference to Exhibit 10.7 to Gogo Inc. Registration Statement on</w:t>
              </w:r>
            </w:hyperlink>
          </w:p>
        </w:tc>
      </w:tr>
      <w:tr>
        <w:trPr>
          <w:trHeight w:val="196"/>
        </w:trPr>
        <w:tc>
          <w:tcPr>
            <w:tcW w:w="13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Form S-1 (File No. 333-178727))</w:t>
              </w:r>
            </w:hyperlink>
          </w:p>
        </w:tc>
        <w:tc>
          <w:tcPr>
            <w:tcW w:w="7260" w:type="dxa"/>
            <w:vAlign w:val="bottom"/>
            <w:tcBorders>
              <w:top w:val="single" w:sz="8" w:color="0000EE"/>
            </w:tcBorders>
            <w:gridSpan w:val="17"/>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10.7.1#</w:t>
            </w:r>
          </w:p>
        </w:tc>
        <w:tc>
          <w:tcPr>
            <w:tcW w:w="9880" w:type="dxa"/>
            <w:vAlign w:val="bottom"/>
            <w:gridSpan w:val="30"/>
          </w:tcPr>
          <w:p>
            <w:pPr>
              <w:spacing w:after="0" w:line="196" w:lineRule="exact"/>
              <w:rPr>
                <w:rFonts w:ascii="Arial" w:cs="Arial" w:eastAsia="Arial" w:hAnsi="Arial"/>
                <w:sz w:val="18"/>
                <w:szCs w:val="18"/>
                <w:color w:val="0000EE"/>
                <w:w w:val="95"/>
              </w:rPr>
            </w:pPr>
            <w:hyperlink r:id="rId221">
              <w:r>
                <w:rPr>
                  <w:rFonts w:ascii="Arial" w:cs="Arial" w:eastAsia="Arial" w:hAnsi="Arial"/>
                  <w:sz w:val="18"/>
                  <w:szCs w:val="18"/>
                  <w:color w:val="0000EE"/>
                  <w:w w:val="95"/>
                </w:rPr>
                <w:t>Form of Indemnification Agreement entered into between Gogo Inc. and each of its Directors (incorporated by reference to Exhibit</w:t>
              </w:r>
            </w:hyperlink>
          </w:p>
        </w:tc>
      </w:tr>
      <w:tr>
        <w:trPr>
          <w:trHeight w:val="196"/>
        </w:trPr>
        <w:tc>
          <w:tcPr>
            <w:tcW w:w="1360" w:type="dxa"/>
            <w:vAlign w:val="bottom"/>
          </w:tcPr>
          <w:p>
            <w:pPr>
              <w:spacing w:after="0"/>
              <w:rPr>
                <w:sz w:val="17"/>
                <w:szCs w:val="17"/>
                <w:color w:val="auto"/>
              </w:rPr>
            </w:pPr>
          </w:p>
        </w:tc>
        <w:tc>
          <w:tcPr>
            <w:tcW w:w="57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7.1</w:t>
              </w:r>
              <w:r>
                <w:rPr>
                  <w:rFonts w:ascii="Arial" w:cs="Arial" w:eastAsia="Arial" w:hAnsi="Arial"/>
                  <w:sz w:val="18"/>
                  <w:szCs w:val="18"/>
                  <w:color w:val="0000EE"/>
                  <w:w w:val="91"/>
                </w:rPr>
                <w:t xml:space="preserve"> to Gogo Inc. Registration Statement on Form S-1 (File No. 333-178727))</w:t>
              </w:r>
            </w:hyperlink>
          </w:p>
        </w:tc>
        <w:tc>
          <w:tcPr>
            <w:tcW w:w="3660" w:type="dxa"/>
            <w:vAlign w:val="bottom"/>
            <w:tcBorders>
              <w:top w:val="single" w:sz="8" w:color="0000EE"/>
            </w:tcBorders>
            <w:gridSpan w:val="3"/>
          </w:tcPr>
          <w:p>
            <w:pPr>
              <w:spacing w:after="0"/>
              <w:rPr>
                <w:sz w:val="17"/>
                <w:szCs w:val="17"/>
                <w:color w:val="auto"/>
              </w:rPr>
            </w:pPr>
          </w:p>
        </w:tc>
        <w:tc>
          <w:tcPr>
            <w:tcW w:w="440" w:type="dxa"/>
            <w:vAlign w:val="bottom"/>
            <w:gridSpan w:val="1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10.7.2#</w:t>
            </w:r>
          </w:p>
        </w:tc>
        <w:tc>
          <w:tcPr>
            <w:tcW w:w="98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222">
              <w:r>
                <w:rPr>
                  <w:rFonts w:ascii="Arial" w:cs="Arial" w:eastAsia="Arial" w:hAnsi="Arial"/>
                  <w:sz w:val="18"/>
                  <w:szCs w:val="18"/>
                  <w:color w:val="0000EE"/>
                  <w:w w:val="91"/>
                </w:rPr>
                <w:t>Form of Indemnification Agreement entered into between Gogo Inc. and each of its Officers (incorporated by reference to Exhibit 10.7.2</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22">
              <w:r>
                <w:rPr>
                  <w:rFonts w:ascii="Arial" w:cs="Arial" w:eastAsia="Arial" w:hAnsi="Arial"/>
                  <w:sz w:val="18"/>
                  <w:szCs w:val="18"/>
                  <w:color w:val="0000EE"/>
                  <w:w w:val="91"/>
                </w:rPr>
                <w:t>to Gogo Inc. Registration Statement on Form S-1 (File No. 333-178727))</w:t>
              </w:r>
            </w:hyperlink>
          </w:p>
        </w:tc>
        <w:tc>
          <w:tcPr>
            <w:tcW w:w="4600" w:type="dxa"/>
            <w:vAlign w:val="bottom"/>
            <w:gridSpan w:val="19"/>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10.8.1</w:t>
            </w:r>
          </w:p>
        </w:tc>
        <w:tc>
          <w:tcPr>
            <w:tcW w:w="9700" w:type="dxa"/>
            <w:vAlign w:val="bottom"/>
            <w:tcBorders>
              <w:bottom w:val="single" w:sz="8" w:color="0000EE"/>
            </w:tcBorders>
            <w:gridSpan w:val="23"/>
          </w:tcPr>
          <w:p>
            <w:pPr>
              <w:spacing w:after="0"/>
              <w:rPr>
                <w:rFonts w:ascii="Arial" w:cs="Arial" w:eastAsia="Arial" w:hAnsi="Arial"/>
                <w:sz w:val="18"/>
                <w:szCs w:val="18"/>
                <w:color w:val="0000EE"/>
                <w:w w:val="91"/>
              </w:rPr>
            </w:pPr>
            <w:hyperlink r:id="rId223">
              <w:r>
                <w:rPr>
                  <w:rFonts w:ascii="Arial" w:cs="Arial" w:eastAsia="Arial" w:hAnsi="Arial"/>
                  <w:sz w:val="18"/>
                  <w:szCs w:val="18"/>
                  <w:color w:val="0000EE"/>
                  <w:w w:val="91"/>
                </w:rPr>
                <w:t>Collateral Agreement, dated as of April 25, 2019, among Gogo Intermediate Holdings LLC, Gogo Finance Co. Inc., Gogo Inc. and the</w:t>
              </w:r>
            </w:hyperlink>
          </w:p>
        </w:tc>
        <w:tc>
          <w:tcPr>
            <w:tcW w:w="18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Subsidiary Guarantors party thereto, in favor of U.S. Bank National Association, as collateral agent (incorporated by reference to Exhibit</w:t>
              </w:r>
            </w:hyperlink>
          </w:p>
        </w:tc>
      </w:tr>
      <w:tr>
        <w:trPr>
          <w:trHeight w:val="196"/>
        </w:trPr>
        <w:tc>
          <w:tcPr>
            <w:tcW w:w="1360" w:type="dxa"/>
            <w:vAlign w:val="bottom"/>
          </w:tcPr>
          <w:p>
            <w:pPr>
              <w:spacing w:after="0"/>
              <w:rPr>
                <w:sz w:val="17"/>
                <w:szCs w:val="17"/>
                <w:color w:val="auto"/>
              </w:rPr>
            </w:pPr>
          </w:p>
        </w:tc>
        <w:tc>
          <w:tcPr>
            <w:tcW w:w="460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223">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w:t>
              </w:r>
              <w:r>
                <w:rPr>
                  <w:rFonts w:ascii="Arial" w:cs="Arial" w:eastAsia="Arial" w:hAnsi="Arial"/>
                  <w:sz w:val="18"/>
                  <w:szCs w:val="18"/>
                  <w:color w:val="0000EE"/>
                  <w:w w:val="93"/>
                </w:rPr>
                <w:t xml:space="preserve"> to Form 8-K filed on April 25, 2019 (File No. 001-35975))</w:t>
              </w:r>
            </w:hyperlink>
          </w:p>
        </w:tc>
        <w:tc>
          <w:tcPr>
            <w:tcW w:w="5280" w:type="dxa"/>
            <w:vAlign w:val="bottom"/>
            <w:gridSpan w:val="2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10.8.2</w:t>
            </w:r>
          </w:p>
        </w:tc>
        <w:tc>
          <w:tcPr>
            <w:tcW w:w="980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224">
              <w:r>
                <w:rPr>
                  <w:rFonts w:ascii="Arial" w:cs="Arial" w:eastAsia="Arial" w:hAnsi="Arial"/>
                  <w:sz w:val="18"/>
                  <w:szCs w:val="18"/>
                  <w:color w:val="0000EE"/>
                  <w:w w:val="91"/>
                </w:rPr>
                <w:t>Collateral Agency Agreement, dated as of April 25, 2019, among Gogo Intermediate Holdings LLC, Gogo Finance Co. Inc., Gogo Inc.,</w:t>
              </w:r>
            </w:hyperlink>
          </w:p>
        </w:tc>
        <w:tc>
          <w:tcPr>
            <w:tcW w:w="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7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224">
              <w:r>
                <w:rPr>
                  <w:rFonts w:ascii="Arial" w:cs="Arial" w:eastAsia="Arial" w:hAnsi="Arial"/>
                  <w:sz w:val="18"/>
                  <w:szCs w:val="18"/>
                  <w:color w:val="0000EE"/>
                  <w:w w:val="90"/>
                </w:rPr>
                <w:t>the Subsidiary Guarantors party thereto, and U.S. Bank National Association, as trustee and collateral agent (incorporated by reference</w:t>
              </w:r>
            </w:hyperlink>
          </w:p>
        </w:tc>
        <w:tc>
          <w:tcPr>
            <w:tcW w:w="16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3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224">
              <w:r>
                <w:rPr>
                  <w:rFonts w:ascii="Arial" w:cs="Arial" w:eastAsia="Arial" w:hAnsi="Arial"/>
                  <w:sz w:val="18"/>
                  <w:szCs w:val="18"/>
                  <w:color w:val="0000EE"/>
                  <w:w w:val="93"/>
                </w:rPr>
                <w:t>to Exhibit 10.2 to Form 8-K filed on April 25, 2019 (File No. 001-35975))</w:t>
              </w:r>
            </w:hyperlink>
          </w:p>
        </w:tc>
        <w:tc>
          <w:tcPr>
            <w:tcW w:w="4520" w:type="dxa"/>
            <w:vAlign w:val="bottom"/>
            <w:gridSpan w:val="18"/>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10.8.3</w:t>
            </w:r>
          </w:p>
        </w:tc>
        <w:tc>
          <w:tcPr>
            <w:tcW w:w="97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225">
              <w:r>
                <w:rPr>
                  <w:rFonts w:ascii="Arial" w:cs="Arial" w:eastAsia="Arial" w:hAnsi="Arial"/>
                  <w:sz w:val="18"/>
                  <w:szCs w:val="18"/>
                  <w:color w:val="0000EE"/>
                  <w:w w:val="91"/>
                </w:rPr>
                <w:t>Trademark Security Agreement, dated as of April 25, 2019, among Gogo LLC and Gogo Business Aviation LLC, in favor of U.S. Bank</w:t>
              </w:r>
            </w:hyperlink>
          </w:p>
        </w:tc>
        <w:tc>
          <w:tcPr>
            <w:tcW w:w="10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EE"/>
                <w:w w:val="94"/>
              </w:rPr>
            </w:pPr>
            <w:hyperlink r:id="rId225">
              <w:r>
                <w:rPr>
                  <w:rFonts w:ascii="Arial" w:cs="Arial" w:eastAsia="Arial" w:hAnsi="Arial"/>
                  <w:sz w:val="18"/>
                  <w:szCs w:val="18"/>
                  <w:color w:val="0000EE"/>
                  <w:w w:val="94"/>
                </w:rPr>
                <w:t>National Association, as collateral agent (incorporated by reference to Exhibit 10.4 to Form 8-K filed on April 25, 2019 (File No. 001-</w:t>
              </w:r>
            </w:hyperlink>
          </w:p>
        </w:tc>
      </w:tr>
      <w:tr>
        <w:trPr>
          <w:trHeight w:val="196"/>
        </w:trPr>
        <w:tc>
          <w:tcPr>
            <w:tcW w:w="136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25">
              <w:r>
                <w:rPr>
                  <w:rFonts w:ascii="Arial" w:cs="Arial" w:eastAsia="Arial" w:hAnsi="Arial"/>
                  <w:sz w:val="18"/>
                  <w:szCs w:val="18"/>
                  <w:color w:val="0000EE"/>
                  <w:w w:val="86"/>
                </w:rPr>
                <w:t>35975)</w:t>
              </w:r>
              <w:r>
                <w:rPr>
                  <w:rFonts w:ascii="Arial" w:cs="Arial" w:eastAsia="Arial" w:hAnsi="Arial"/>
                  <w:sz w:val="18"/>
                  <w:szCs w:val="18"/>
                  <w:u w:val="single" w:color="auto"/>
                  <w:color w:val="0000EE"/>
                  <w:w w:val="86"/>
                </w:rPr>
                <w:t>)</w:t>
              </w:r>
            </w:hyperlink>
          </w:p>
        </w:tc>
        <w:tc>
          <w:tcPr>
            <w:tcW w:w="10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10.8.4</w:t>
            </w:r>
          </w:p>
        </w:tc>
        <w:tc>
          <w:tcPr>
            <w:tcW w:w="96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26">
              <w:r>
                <w:rPr>
                  <w:rFonts w:ascii="Arial" w:cs="Arial" w:eastAsia="Arial" w:hAnsi="Arial"/>
                  <w:sz w:val="18"/>
                  <w:szCs w:val="18"/>
                  <w:color w:val="0000EE"/>
                  <w:w w:val="91"/>
                </w:rPr>
                <w:t>Trademark Security Agreement, dated August 26, 2019, by Gogo LLC and Gogo Business Aviation LLC in favor of JPMorgan Chase</w:t>
              </w:r>
            </w:hyperlink>
          </w:p>
        </w:tc>
        <w:tc>
          <w:tcPr>
            <w:tcW w:w="22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EE"/>
                <w:w w:val="95"/>
              </w:rPr>
            </w:pPr>
            <w:hyperlink r:id="rId226">
              <w:r>
                <w:rPr>
                  <w:rFonts w:ascii="Arial" w:cs="Arial" w:eastAsia="Arial" w:hAnsi="Arial"/>
                  <w:sz w:val="18"/>
                  <w:szCs w:val="18"/>
                  <w:color w:val="0000EE"/>
                  <w:w w:val="95"/>
                </w:rPr>
                <w:t>Bank, N.A., as Administrative Agent (incorporated by reference to Exhibit 10.4 to Form 8-K filed on August 28, 2019 (File No. 001-</w:t>
              </w:r>
            </w:hyperlink>
          </w:p>
        </w:tc>
      </w:tr>
      <w:tr>
        <w:trPr>
          <w:trHeight w:val="196"/>
        </w:trPr>
        <w:tc>
          <w:tcPr>
            <w:tcW w:w="136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26">
              <w:r>
                <w:rPr>
                  <w:rFonts w:ascii="Arial" w:cs="Arial" w:eastAsia="Arial" w:hAnsi="Arial"/>
                  <w:sz w:val="18"/>
                  <w:szCs w:val="18"/>
                  <w:color w:val="0000EE"/>
                  <w:w w:val="86"/>
                </w:rPr>
                <w:t>35975)</w:t>
              </w:r>
              <w:r>
                <w:rPr>
                  <w:rFonts w:ascii="Arial" w:cs="Arial" w:eastAsia="Arial" w:hAnsi="Arial"/>
                  <w:sz w:val="18"/>
                  <w:szCs w:val="18"/>
                  <w:u w:val="single" w:color="auto"/>
                  <w:color w:val="0000EE"/>
                  <w:w w:val="86"/>
                </w:rPr>
                <w:t>)</w:t>
              </w:r>
            </w:hyperlink>
          </w:p>
        </w:tc>
        <w:tc>
          <w:tcPr>
            <w:tcW w:w="10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10.8.5</w:t>
            </w:r>
          </w:p>
        </w:tc>
        <w:tc>
          <w:tcPr>
            <w:tcW w:w="9880" w:type="dxa"/>
            <w:vAlign w:val="bottom"/>
            <w:gridSpan w:val="30"/>
          </w:tcPr>
          <w:p>
            <w:pPr>
              <w:spacing w:after="0"/>
              <w:rPr>
                <w:rFonts w:ascii="Arial" w:cs="Arial" w:eastAsia="Arial" w:hAnsi="Arial"/>
                <w:sz w:val="18"/>
                <w:szCs w:val="18"/>
                <w:color w:val="0000EE"/>
                <w:w w:val="91"/>
              </w:rPr>
            </w:pPr>
            <w:hyperlink r:id="rId227">
              <w:r>
                <w:rPr>
                  <w:rFonts w:ascii="Arial" w:cs="Arial" w:eastAsia="Arial" w:hAnsi="Arial"/>
                  <w:sz w:val="18"/>
                  <w:szCs w:val="18"/>
                  <w:color w:val="0000EE"/>
                  <w:w w:val="91"/>
                </w:rPr>
                <w:t>Reaffirmation Agreement, dated as of May 7, 2019, among Gogo Intermediate Holdings LLC, Gogo Finance Co. Inc., Gogo Inc. and the</w:t>
              </w:r>
            </w:hyperlink>
          </w:p>
        </w:tc>
      </w:tr>
      <w:tr>
        <w:trPr>
          <w:trHeight w:val="196"/>
        </w:trPr>
        <w:tc>
          <w:tcPr>
            <w:tcW w:w="1360" w:type="dxa"/>
            <w:vAlign w:val="bottom"/>
          </w:tcPr>
          <w:p>
            <w:pPr>
              <w:spacing w:after="0"/>
              <w:rPr>
                <w:sz w:val="17"/>
                <w:szCs w:val="17"/>
                <w:color w:val="auto"/>
              </w:rPr>
            </w:pPr>
          </w:p>
        </w:tc>
        <w:tc>
          <w:tcPr>
            <w:tcW w:w="9840" w:type="dxa"/>
            <w:vAlign w:val="bottom"/>
            <w:tcBorders>
              <w:top w:val="single" w:sz="8" w:color="0000EE"/>
            </w:tcBorders>
            <w:gridSpan w:val="28"/>
          </w:tcPr>
          <w:p>
            <w:pPr>
              <w:spacing w:after="0" w:line="196" w:lineRule="exact"/>
              <w:rPr>
                <w:rFonts w:ascii="Arial" w:cs="Arial" w:eastAsia="Arial" w:hAnsi="Arial"/>
                <w:sz w:val="18"/>
                <w:szCs w:val="18"/>
                <w:color w:val="0000EE"/>
                <w:w w:val="94"/>
              </w:rPr>
            </w:pPr>
            <w:hyperlink r:id="rId227">
              <w:r>
                <w:rPr>
                  <w:rFonts w:ascii="Arial" w:cs="Arial" w:eastAsia="Arial" w:hAnsi="Arial"/>
                  <w:sz w:val="18"/>
                  <w:szCs w:val="18"/>
                  <w:color w:val="0000EE"/>
                  <w:w w:val="94"/>
                </w:rPr>
                <w:t>Subsidiary Guarantors party thereto (incorporated by reference to Exhibit 10.8.17 to Form 10-Q filed on May 9, 2019 (File No. 001-</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27">
              <w:r>
                <w:rPr>
                  <w:rFonts w:ascii="Arial" w:cs="Arial" w:eastAsia="Arial" w:hAnsi="Arial"/>
                  <w:sz w:val="18"/>
                  <w:szCs w:val="18"/>
                  <w:color w:val="0000EE"/>
                  <w:w w:val="86"/>
                </w:rPr>
                <w:t>35975)</w:t>
              </w:r>
              <w:r>
                <w:rPr>
                  <w:rFonts w:ascii="Arial" w:cs="Arial" w:eastAsia="Arial" w:hAnsi="Arial"/>
                  <w:sz w:val="18"/>
                  <w:szCs w:val="18"/>
                  <w:u w:val="single" w:color="auto"/>
                  <w:color w:val="0000EE"/>
                  <w:w w:val="86"/>
                </w:rPr>
                <w:t>)</w:t>
              </w:r>
            </w:hyperlink>
          </w:p>
        </w:tc>
        <w:tc>
          <w:tcPr>
            <w:tcW w:w="10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10.8.6</w:t>
            </w:r>
          </w:p>
        </w:tc>
        <w:tc>
          <w:tcPr>
            <w:tcW w:w="97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28">
              <w:r>
                <w:rPr>
                  <w:rFonts w:ascii="Arial" w:cs="Arial" w:eastAsia="Arial" w:hAnsi="Arial"/>
                  <w:sz w:val="18"/>
                  <w:szCs w:val="18"/>
                  <w:color w:val="0000EE"/>
                  <w:w w:val="91"/>
                </w:rPr>
                <w:t>Additional Secured Debt Designation, dated as of May 7, 2019, between Gogo Intermediate Holdings LLC and Gogo Finance Co. Inc.</w:t>
              </w:r>
            </w:hyperlink>
          </w:p>
        </w:tc>
        <w:tc>
          <w:tcPr>
            <w:tcW w:w="18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7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28">
              <w:r>
                <w:rPr>
                  <w:rFonts w:ascii="Arial" w:cs="Arial" w:eastAsia="Arial" w:hAnsi="Arial"/>
                  <w:sz w:val="18"/>
                  <w:szCs w:val="18"/>
                  <w:color w:val="0000EE"/>
                  <w:w w:val="91"/>
                </w:rPr>
                <w:t>as acknowledged by U.S. Bank National Association (incorporated by reference to Exhibit 10.8.18 to Form 10-Q filed on May 9, 2019</w:t>
              </w:r>
            </w:hyperlink>
          </w:p>
        </w:tc>
        <w:tc>
          <w:tcPr>
            <w:tcW w:w="18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6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228">
              <w:r>
                <w:rPr>
                  <w:rFonts w:ascii="Arial" w:cs="Arial" w:eastAsia="Arial" w:hAnsi="Arial"/>
                  <w:sz w:val="18"/>
                  <w:szCs w:val="18"/>
                  <w:color w:val="0000EE"/>
                  <w:w w:val="92"/>
                </w:rPr>
                <w:t>(File No. 001-35975))</w:t>
              </w:r>
            </w:hyperlink>
          </w:p>
        </w:tc>
        <w:tc>
          <w:tcPr>
            <w:tcW w:w="8280" w:type="dxa"/>
            <w:vAlign w:val="bottom"/>
            <w:gridSpan w:val="28"/>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10.8.7</w:t>
            </w:r>
          </w:p>
        </w:tc>
        <w:tc>
          <w:tcPr>
            <w:tcW w:w="9880" w:type="dxa"/>
            <w:vAlign w:val="bottom"/>
            <w:gridSpan w:val="30"/>
          </w:tcPr>
          <w:p>
            <w:pPr>
              <w:spacing w:after="0" w:line="196" w:lineRule="exact"/>
              <w:rPr>
                <w:rFonts w:ascii="Arial" w:cs="Arial" w:eastAsia="Arial" w:hAnsi="Arial"/>
                <w:sz w:val="18"/>
                <w:szCs w:val="18"/>
                <w:color w:val="0000EE"/>
                <w:w w:val="91"/>
              </w:rPr>
            </w:pPr>
            <w:hyperlink r:id="rId229">
              <w:r>
                <w:rPr>
                  <w:rFonts w:ascii="Arial" w:cs="Arial" w:eastAsia="Arial" w:hAnsi="Arial"/>
                  <w:sz w:val="18"/>
                  <w:szCs w:val="18"/>
                  <w:color w:val="0000EE"/>
                  <w:w w:val="91"/>
                </w:rPr>
                <w:t>Credit Agreement, dated as of August 26, 2019, among Gogo Intermediate Holdings LLC and Gogo Finance Co. Inc., as the Borrowers,</w:t>
              </w:r>
            </w:hyperlink>
          </w:p>
        </w:tc>
      </w:tr>
      <w:tr>
        <w:trPr>
          <w:trHeight w:val="196"/>
        </w:trPr>
        <w:tc>
          <w:tcPr>
            <w:tcW w:w="1360" w:type="dxa"/>
            <w:vAlign w:val="bottom"/>
          </w:tcPr>
          <w:p>
            <w:pPr>
              <w:spacing w:after="0"/>
              <w:rPr>
                <w:sz w:val="17"/>
                <w:szCs w:val="17"/>
                <w:color w:val="auto"/>
              </w:rPr>
            </w:pPr>
          </w:p>
        </w:tc>
        <w:tc>
          <w:tcPr>
            <w:tcW w:w="9800" w:type="dxa"/>
            <w:vAlign w:val="bottom"/>
            <w:tcBorders>
              <w:top w:val="single" w:sz="8" w:color="0000EE"/>
            </w:tcBorders>
            <w:gridSpan w:val="27"/>
          </w:tcPr>
          <w:p>
            <w:pPr>
              <w:spacing w:after="0" w:line="196" w:lineRule="exact"/>
              <w:rPr>
                <w:rFonts w:ascii="Arial" w:cs="Arial" w:eastAsia="Arial" w:hAnsi="Arial"/>
                <w:sz w:val="18"/>
                <w:szCs w:val="18"/>
                <w:color w:val="0000EE"/>
                <w:w w:val="93"/>
              </w:rPr>
            </w:pPr>
            <w:hyperlink r:id="rId229">
              <w:r>
                <w:rPr>
                  <w:rFonts w:ascii="Arial" w:cs="Arial" w:eastAsia="Arial" w:hAnsi="Arial"/>
                  <w:sz w:val="18"/>
                  <w:szCs w:val="18"/>
                  <w:color w:val="0000EE"/>
                  <w:w w:val="93"/>
                </w:rPr>
                <w:t>Gogo Inc., the other loan parties party thereto, the lenders party thereto, JPMorgan Chase Bank, N.A., as Administrative Agent, and</w:t>
              </w:r>
            </w:hyperlink>
          </w:p>
        </w:tc>
        <w:tc>
          <w:tcPr>
            <w:tcW w:w="80" w:type="dxa"/>
            <w:vAlign w:val="bottom"/>
            <w:gridSpan w:val="3"/>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10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7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229">
              <w:r>
                <w:rPr>
                  <w:rFonts w:ascii="Arial" w:cs="Arial" w:eastAsia="Arial" w:hAnsi="Arial"/>
                  <w:sz w:val="18"/>
                  <w:szCs w:val="18"/>
                  <w:color w:val="0000EE"/>
                  <w:w w:val="91"/>
                </w:rPr>
                <w:t>Morgan Stanley Senior Funding, Inc., as Syndication Agent (incorporated by reference to Exhibit 10.1 to Form 8-K filed on August 28,</w:t>
              </w:r>
            </w:hyperlink>
          </w:p>
        </w:tc>
        <w:tc>
          <w:tcPr>
            <w:tcW w:w="1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0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29">
              <w:r>
                <w:rPr>
                  <w:rFonts w:ascii="Arial" w:cs="Arial" w:eastAsia="Arial" w:hAnsi="Arial"/>
                  <w:sz w:val="18"/>
                  <w:szCs w:val="18"/>
                  <w:color w:val="0000EE"/>
                  <w:w w:val="91"/>
                </w:rPr>
                <w:t>2019 (File No. 001-35975))</w:t>
              </w:r>
            </w:hyperlink>
          </w:p>
        </w:tc>
        <w:tc>
          <w:tcPr>
            <w:tcW w:w="7880" w:type="dxa"/>
            <w:vAlign w:val="bottom"/>
            <w:gridSpan w:val="27"/>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10.8.8</w:t>
            </w:r>
          </w:p>
        </w:tc>
        <w:tc>
          <w:tcPr>
            <w:tcW w:w="9880" w:type="dxa"/>
            <w:vAlign w:val="bottom"/>
            <w:gridSpan w:val="30"/>
          </w:tcPr>
          <w:p>
            <w:pPr>
              <w:spacing w:after="0" w:line="196" w:lineRule="exact"/>
              <w:rPr>
                <w:rFonts w:ascii="Arial" w:cs="Arial" w:eastAsia="Arial" w:hAnsi="Arial"/>
                <w:sz w:val="18"/>
                <w:szCs w:val="18"/>
                <w:color w:val="0000EE"/>
                <w:w w:val="93"/>
              </w:rPr>
            </w:pPr>
            <w:hyperlink r:id="rId230">
              <w:r>
                <w:rPr>
                  <w:rFonts w:ascii="Arial" w:cs="Arial" w:eastAsia="Arial" w:hAnsi="Arial"/>
                  <w:sz w:val="18"/>
                  <w:szCs w:val="18"/>
                  <w:color w:val="0000EE"/>
                  <w:w w:val="93"/>
                </w:rPr>
                <w:t>ABL Collateral Agreement, dated as of August 26, 2019, among Gogo Inc., Gogo Intermediate Holdings LLC, Gogo Finance Co. Inc.</w:t>
              </w:r>
            </w:hyperlink>
          </w:p>
        </w:tc>
      </w:tr>
      <w:tr>
        <w:trPr>
          <w:trHeight w:val="20"/>
        </w:trPr>
        <w:tc>
          <w:tcPr>
            <w:tcW w:w="136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100" w:type="dxa"/>
            <w:vAlign w:val="bottom"/>
            <w:gridSpan w:val="5"/>
            <w:shd w:val="clear" w:color="auto" w:fill="0000EE"/>
          </w:tcPr>
          <w:p>
            <w:pPr>
              <w:spacing w:after="0" w:line="20" w:lineRule="exact"/>
              <w:rPr>
                <w:sz w:val="1"/>
                <w:szCs w:val="1"/>
                <w:color w:val="auto"/>
              </w:rPr>
            </w:pPr>
          </w:p>
        </w:tc>
        <w:tc>
          <w:tcPr>
            <w:tcW w:w="36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7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230">
              <w:r>
                <w:rPr>
                  <w:rFonts w:ascii="Arial" w:cs="Arial" w:eastAsia="Arial" w:hAnsi="Arial"/>
                  <w:sz w:val="18"/>
                  <w:szCs w:val="18"/>
                  <w:color w:val="0000EE"/>
                  <w:w w:val="91"/>
                </w:rPr>
                <w:t>and certain of their subsidiaries in favor of JPMorgan Chase Bank, N.A., as Administrative Agent (incorporated by reference to Exhibit</w:t>
              </w:r>
            </w:hyperlink>
          </w:p>
        </w:tc>
        <w:tc>
          <w:tcPr>
            <w:tcW w:w="1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7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230">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r>
                <w:rPr>
                  <w:rFonts w:ascii="Arial" w:cs="Arial" w:eastAsia="Arial" w:hAnsi="Arial"/>
                  <w:sz w:val="18"/>
                  <w:szCs w:val="18"/>
                  <w:color w:val="0000EE"/>
                  <w:w w:val="92"/>
                </w:rPr>
                <w:t xml:space="preserve"> to Form 8-K filed on August 28, 2019 (File No. 001-35975))</w:t>
              </w:r>
            </w:hyperlink>
          </w:p>
        </w:tc>
        <w:tc>
          <w:tcPr>
            <w:tcW w:w="5140" w:type="dxa"/>
            <w:vAlign w:val="bottom"/>
            <w:gridSpan w:val="21"/>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10.8.9</w:t>
            </w:r>
          </w:p>
        </w:tc>
        <w:tc>
          <w:tcPr>
            <w:tcW w:w="9880" w:type="dxa"/>
            <w:vAlign w:val="bottom"/>
            <w:gridSpan w:val="30"/>
          </w:tcPr>
          <w:p>
            <w:pPr>
              <w:spacing w:after="0" w:line="196" w:lineRule="exact"/>
              <w:rPr>
                <w:rFonts w:ascii="Arial" w:cs="Arial" w:eastAsia="Arial" w:hAnsi="Arial"/>
                <w:sz w:val="18"/>
                <w:szCs w:val="18"/>
                <w:color w:val="0000EE"/>
                <w:w w:val="92"/>
              </w:rPr>
            </w:pPr>
            <w:hyperlink r:id="rId231">
              <w:r>
                <w:rPr>
                  <w:rFonts w:ascii="Arial" w:cs="Arial" w:eastAsia="Arial" w:hAnsi="Arial"/>
                  <w:sz w:val="18"/>
                  <w:szCs w:val="18"/>
                  <w:color w:val="0000EE"/>
                  <w:w w:val="92"/>
                </w:rPr>
                <w:t>Crossing Lien Intercreditor Agreement, dated as of August 26, 2019, between U.S. Bank National Association, as Cash Flow Collateral</w:t>
              </w:r>
            </w:hyperlink>
          </w:p>
        </w:tc>
      </w:tr>
      <w:tr>
        <w:trPr>
          <w:trHeight w:val="20"/>
        </w:trPr>
        <w:tc>
          <w:tcPr>
            <w:tcW w:w="136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100" w:type="dxa"/>
            <w:vAlign w:val="bottom"/>
            <w:gridSpan w:val="5"/>
            <w:shd w:val="clear" w:color="auto" w:fill="0000EE"/>
          </w:tcPr>
          <w:p>
            <w:pPr>
              <w:spacing w:after="0" w:line="20" w:lineRule="exact"/>
              <w:rPr>
                <w:sz w:val="1"/>
                <w:szCs w:val="1"/>
                <w:color w:val="auto"/>
              </w:rPr>
            </w:pPr>
          </w:p>
        </w:tc>
        <w:tc>
          <w:tcPr>
            <w:tcW w:w="36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231">
              <w:r>
                <w:rPr>
                  <w:rFonts w:ascii="Arial" w:cs="Arial" w:eastAsia="Arial" w:hAnsi="Arial"/>
                  <w:sz w:val="18"/>
                  <w:szCs w:val="18"/>
                  <w:color w:val="0000EE"/>
                  <w:w w:val="91"/>
                </w:rPr>
                <w:t>Representative, and JPMorgan Chase Bank, N.A., as ABL Agent (incorporated by reference to Exhibit 10.6 to Form 8-K filed on August</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28, 2019 (File No. 001-35975))</w:t>
              </w:r>
            </w:hyperlink>
          </w:p>
        </w:tc>
      </w:tr>
      <w:tr>
        <w:trPr>
          <w:trHeight w:val="20"/>
        </w:trPr>
        <w:tc>
          <w:tcPr>
            <w:tcW w:w="136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Arial" w:cs="Arial" w:eastAsia="Arial" w:hAnsi="Arial"/>
                <w:sz w:val="18"/>
                <w:szCs w:val="18"/>
                <w:color w:val="auto"/>
              </w:rPr>
              <w:t>10.8.10</w:t>
            </w:r>
          </w:p>
        </w:tc>
        <w:tc>
          <w:tcPr>
            <w:tcW w:w="9660" w:type="dxa"/>
            <w:vAlign w:val="bottom"/>
            <w:tcBorders>
              <w:bottom w:val="single" w:sz="8" w:color="0000EE"/>
            </w:tcBorders>
            <w:gridSpan w:val="21"/>
          </w:tcPr>
          <w:p>
            <w:pPr>
              <w:spacing w:after="0"/>
              <w:rPr>
                <w:rFonts w:ascii="Arial" w:cs="Arial" w:eastAsia="Arial" w:hAnsi="Arial"/>
                <w:sz w:val="18"/>
                <w:szCs w:val="18"/>
                <w:color w:val="0000EE"/>
                <w:w w:val="90"/>
              </w:rPr>
            </w:pPr>
            <w:hyperlink r:id="rId232">
              <w:r>
                <w:rPr>
                  <w:rFonts w:ascii="Arial" w:cs="Arial" w:eastAsia="Arial" w:hAnsi="Arial"/>
                  <w:sz w:val="18"/>
                  <w:szCs w:val="18"/>
                  <w:color w:val="0000EE"/>
                  <w:w w:val="90"/>
                </w:rPr>
                <w:t>Amendment to the Credit Agreement, dated as of November 6, 2020, by and among Gogo Intermediate Holdings LLC, Gogo Finance</w:t>
              </w:r>
            </w:hyperlink>
          </w:p>
        </w:tc>
        <w:tc>
          <w:tcPr>
            <w:tcW w:w="220" w:type="dxa"/>
            <w:vAlign w:val="bottom"/>
            <w:gridSpan w:val="9"/>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0"/>
          </w:tcPr>
          <w:p>
            <w:pPr>
              <w:spacing w:after="0" w:line="196" w:lineRule="exact"/>
              <w:rPr>
                <w:rFonts w:ascii="Arial" w:cs="Arial" w:eastAsia="Arial" w:hAnsi="Arial"/>
                <w:sz w:val="18"/>
                <w:szCs w:val="18"/>
                <w:color w:val="0000EE"/>
                <w:w w:val="95"/>
              </w:rPr>
            </w:pPr>
            <w:hyperlink r:id="rId232">
              <w:r>
                <w:rPr>
                  <w:rFonts w:ascii="Arial" w:cs="Arial" w:eastAsia="Arial" w:hAnsi="Arial"/>
                  <w:sz w:val="18"/>
                  <w:szCs w:val="18"/>
                  <w:color w:val="0000EE"/>
                  <w:w w:val="95"/>
                </w:rPr>
                <w:t>Co. Inc., the lenders party thereto and JPMorgan Chase Bank, N.A., as administrative agent (incorporated by reference to Exhibit</w:t>
              </w:r>
            </w:hyperlink>
          </w:p>
        </w:tc>
      </w:tr>
      <w:tr>
        <w:trPr>
          <w:trHeight w:val="196"/>
        </w:trPr>
        <w:tc>
          <w:tcPr>
            <w:tcW w:w="1360" w:type="dxa"/>
            <w:vAlign w:val="bottom"/>
          </w:tcPr>
          <w:p>
            <w:pPr>
              <w:spacing w:after="0"/>
              <w:rPr>
                <w:sz w:val="17"/>
                <w:szCs w:val="17"/>
                <w:color w:val="auto"/>
              </w:rPr>
            </w:pPr>
          </w:p>
        </w:tc>
        <w:tc>
          <w:tcPr>
            <w:tcW w:w="9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32">
              <w:r>
                <w:rPr>
                  <w:rFonts w:ascii="Arial" w:cs="Arial" w:eastAsia="Arial" w:hAnsi="Arial"/>
                  <w:sz w:val="18"/>
                  <w:szCs w:val="18"/>
                  <w:color w:val="0000EE"/>
                </w:rPr>
                <w:t>10.</w:t>
              </w:r>
              <w:r>
                <w:rPr>
                  <w:rFonts w:ascii="Arial" w:cs="Arial" w:eastAsia="Arial" w:hAnsi="Arial"/>
                  <w:sz w:val="18"/>
                  <w:szCs w:val="18"/>
                  <w:u w:val="single" w:color="auto"/>
                  <w:color w:val="0000EE"/>
                </w:rPr>
                <w:t>1.48</w:t>
              </w:r>
              <w:r>
                <w:rPr>
                  <w:rFonts w:ascii="Arial" w:cs="Arial" w:eastAsia="Arial" w:hAnsi="Arial"/>
                  <w:sz w:val="18"/>
                  <w:szCs w:val="18"/>
                  <w:color w:val="0000EE"/>
                </w:rPr>
                <w:t xml:space="preserve"> to Form 10-Q filed on November 9, 2020 </w:t>
              </w:r>
              <w:r>
                <w:rPr>
                  <w:rFonts w:ascii="Arial" w:cs="Arial" w:eastAsia="Arial" w:hAnsi="Arial"/>
                  <w:sz w:val="18"/>
                  <w:szCs w:val="18"/>
                  <w:color w:val="0000EE"/>
                  <w:highlight w:val="white"/>
                </w:rPr>
                <w:t>(File No. 001-35975))</w:t>
              </w:r>
            </w:hyperlink>
          </w:p>
        </w:tc>
        <w:tc>
          <w:tcPr>
            <w:tcW w:w="580" w:type="dxa"/>
            <w:vAlign w:val="bottom"/>
            <w:gridSpan w:val="15"/>
          </w:tcPr>
          <w:p>
            <w:pPr>
              <w:spacing w:after="0"/>
              <w:rPr>
                <w:sz w:val="17"/>
                <w:szCs w:val="17"/>
                <w:color w:val="auto"/>
              </w:rPr>
            </w:pPr>
          </w:p>
        </w:tc>
      </w:tr>
      <w:tr>
        <w:trPr>
          <w:trHeight w:val="453"/>
        </w:trPr>
        <w:tc>
          <w:tcPr>
            <w:tcW w:w="1360" w:type="dxa"/>
            <w:vAlign w:val="bottom"/>
          </w:tcPr>
          <w:p>
            <w:pPr>
              <w:spacing w:after="0"/>
              <w:rPr>
                <w:sz w:val="24"/>
                <w:szCs w:val="24"/>
                <w:color w:val="auto"/>
              </w:rPr>
            </w:pPr>
          </w:p>
        </w:tc>
        <w:tc>
          <w:tcPr>
            <w:tcW w:w="4560" w:type="dxa"/>
            <w:vAlign w:val="bottom"/>
            <w:tcBorders>
              <w:top w:val="single" w:sz="8" w:color="0000EE"/>
            </w:tcBorders>
            <w:gridSpan w:val="7"/>
          </w:tcPr>
          <w:p>
            <w:pPr>
              <w:ind w:left="4120"/>
              <w:spacing w:after="0"/>
              <w:rPr>
                <w:sz w:val="20"/>
                <w:szCs w:val="20"/>
                <w:color w:val="auto"/>
              </w:rPr>
            </w:pPr>
            <w:r>
              <w:rPr>
                <w:rFonts w:ascii="Arial" w:cs="Arial" w:eastAsia="Arial" w:hAnsi="Arial"/>
                <w:sz w:val="18"/>
                <w:szCs w:val="18"/>
                <w:color w:val="auto"/>
              </w:rPr>
              <w:t>124</w:t>
            </w: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10.8.11</w:t>
            </w:r>
          </w:p>
        </w:tc>
        <w:tc>
          <w:tcPr>
            <w:tcW w:w="9300" w:type="dxa"/>
            <w:vAlign w:val="bottom"/>
            <w:tcBorders>
              <w:bottom w:val="single" w:sz="8" w:color="0000EE"/>
            </w:tcBorders>
            <w:gridSpan w:val="12"/>
          </w:tcPr>
          <w:p>
            <w:pPr>
              <w:spacing w:after="0"/>
              <w:rPr>
                <w:rFonts w:ascii="Arial" w:cs="Arial" w:eastAsia="Arial" w:hAnsi="Arial"/>
                <w:sz w:val="18"/>
                <w:szCs w:val="18"/>
                <w:color w:val="0000EE"/>
                <w:w w:val="90"/>
              </w:rPr>
            </w:pPr>
            <w:hyperlink r:id="rId235">
              <w:r>
                <w:rPr>
                  <w:rFonts w:ascii="Arial" w:cs="Arial" w:eastAsia="Arial" w:hAnsi="Arial"/>
                  <w:sz w:val="18"/>
                  <w:szCs w:val="18"/>
                  <w:color w:val="0000EE"/>
                  <w:w w:val="90"/>
                </w:rPr>
                <w:t>Limited Consent, dated as of November 30, 2020, by and between Gogo Intermediate Holdings LLC, Gogo Finance Co. Inc., the</w:t>
              </w:r>
            </w:hyperlink>
          </w:p>
        </w:tc>
        <w:tc>
          <w:tcPr>
            <w:tcW w:w="58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5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35">
              <w:r>
                <w:rPr>
                  <w:rFonts w:ascii="Arial" w:cs="Arial" w:eastAsia="Arial" w:hAnsi="Arial"/>
                  <w:sz w:val="18"/>
                  <w:szCs w:val="18"/>
                  <w:color w:val="0000EE"/>
                  <w:w w:val="90"/>
                </w:rPr>
                <w:t>financial institutions listed on the signature pages thereof, and JPMorgan Chase Bank, N.A., as administrative agent (incorporated by</w:t>
              </w:r>
            </w:hyperlink>
          </w:p>
        </w:tc>
        <w:tc>
          <w:tcPr>
            <w:tcW w:w="30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3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35">
              <w:r>
                <w:rPr>
                  <w:rFonts w:ascii="Arial" w:cs="Arial" w:eastAsia="Arial" w:hAnsi="Arial"/>
                  <w:sz w:val="18"/>
                  <w:szCs w:val="18"/>
                  <w:color w:val="0000EE"/>
                  <w:w w:val="91"/>
                </w:rPr>
                <w:t>reference to Exhibit 10.2 to Form 8-K filed on December 1, 2020 (File No. 001-35975))</w:t>
              </w:r>
            </w:hyperlink>
          </w:p>
        </w:tc>
        <w:tc>
          <w:tcPr>
            <w:tcW w:w="3540" w:type="dxa"/>
            <w:vAlign w:val="bottom"/>
            <w:gridSpan w:val="1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10.8.12</w:t>
            </w:r>
          </w:p>
        </w:tc>
        <w:tc>
          <w:tcPr>
            <w:tcW w:w="988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236">
              <w:r>
                <w:rPr>
                  <w:rFonts w:ascii="Arial" w:cs="Arial" w:eastAsia="Arial" w:hAnsi="Arial"/>
                  <w:sz w:val="18"/>
                  <w:szCs w:val="18"/>
                  <w:color w:val="0000EE"/>
                  <w:w w:val="89"/>
                </w:rPr>
                <w:t>Letter Agreement, dated as of November 6, 2020, by and among Gogo Inc. and the purchasers named therein. (incorporated by reference</w:t>
              </w:r>
            </w:hyperlink>
          </w:p>
        </w:tc>
      </w:tr>
      <w:tr>
        <w:trPr>
          <w:trHeight w:val="196"/>
        </w:trPr>
        <w:tc>
          <w:tcPr>
            <w:tcW w:w="1360" w:type="dxa"/>
            <w:vAlign w:val="bottom"/>
          </w:tcPr>
          <w:p>
            <w:pPr>
              <w:spacing w:after="0"/>
              <w:rPr>
                <w:sz w:val="17"/>
                <w:szCs w:val="17"/>
                <w:color w:val="auto"/>
              </w:rPr>
            </w:pPr>
          </w:p>
        </w:tc>
        <w:tc>
          <w:tcPr>
            <w:tcW w:w="59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236">
              <w:r>
                <w:rPr>
                  <w:rFonts w:ascii="Arial" w:cs="Arial" w:eastAsia="Arial" w:hAnsi="Arial"/>
                  <w:sz w:val="18"/>
                  <w:szCs w:val="18"/>
                  <w:color w:val="0000EE"/>
                  <w:w w:val="92"/>
                </w:rPr>
                <w:t>to Exhibit 10.1.49 to Form 10-Q filed on November 9, 2020 (File No. 001-35975))</w:t>
              </w:r>
            </w:hyperlink>
          </w:p>
        </w:tc>
        <w:tc>
          <w:tcPr>
            <w:tcW w:w="3920" w:type="dxa"/>
            <w:vAlign w:val="bottom"/>
            <w:gridSpan w:val="1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10.8.13</w:t>
            </w:r>
          </w:p>
        </w:tc>
        <w:tc>
          <w:tcPr>
            <w:tcW w:w="9880" w:type="dxa"/>
            <w:vAlign w:val="bottom"/>
            <w:gridSpan w:val="24"/>
          </w:tcPr>
          <w:p>
            <w:pPr>
              <w:spacing w:after="0" w:line="196" w:lineRule="exact"/>
              <w:rPr>
                <w:rFonts w:ascii="Arial" w:cs="Arial" w:eastAsia="Arial" w:hAnsi="Arial"/>
                <w:sz w:val="18"/>
                <w:szCs w:val="18"/>
                <w:color w:val="0000EE"/>
                <w:w w:val="95"/>
              </w:rPr>
            </w:pPr>
            <w:hyperlink r:id="rId237">
              <w:r>
                <w:rPr>
                  <w:rFonts w:ascii="Arial" w:cs="Arial" w:eastAsia="Arial" w:hAnsi="Arial"/>
                  <w:sz w:val="18"/>
                  <w:szCs w:val="18"/>
                  <w:color w:val="0000EE"/>
                  <w:w w:val="95"/>
                </w:rPr>
                <w:t>Purchase Agreement, dated as of November 6, 2020, by and among Gogo Intermediate Holdings LLC, Gogo Finance Co. Inc., the</w:t>
              </w:r>
            </w:hyperlink>
          </w:p>
        </w:tc>
      </w:tr>
      <w:tr>
        <w:trPr>
          <w:trHeight w:val="196"/>
        </w:trPr>
        <w:tc>
          <w:tcPr>
            <w:tcW w:w="1360" w:type="dxa"/>
            <w:vAlign w:val="bottom"/>
          </w:tcPr>
          <w:p>
            <w:pPr>
              <w:spacing w:after="0"/>
              <w:rPr>
                <w:sz w:val="17"/>
                <w:szCs w:val="17"/>
                <w:color w:val="auto"/>
              </w:rPr>
            </w:pPr>
          </w:p>
        </w:tc>
        <w:tc>
          <w:tcPr>
            <w:tcW w:w="9380" w:type="dxa"/>
            <w:vAlign w:val="bottom"/>
            <w:tcBorders>
              <w:top w:val="single" w:sz="8" w:color="0000EE"/>
            </w:tcBorders>
            <w:gridSpan w:val="13"/>
          </w:tcPr>
          <w:p>
            <w:pPr>
              <w:spacing w:after="0" w:line="196" w:lineRule="exact"/>
              <w:rPr>
                <w:rFonts w:ascii="Arial" w:cs="Arial" w:eastAsia="Arial" w:hAnsi="Arial"/>
                <w:sz w:val="18"/>
                <w:szCs w:val="18"/>
                <w:color w:val="0000EE"/>
                <w:w w:val="92"/>
              </w:rPr>
            </w:pPr>
            <w:hyperlink r:id="rId237">
              <w:r>
                <w:rPr>
                  <w:rFonts w:ascii="Arial" w:cs="Arial" w:eastAsia="Arial" w:hAnsi="Arial"/>
                  <w:sz w:val="18"/>
                  <w:szCs w:val="18"/>
                  <w:color w:val="0000EE"/>
                  <w:w w:val="92"/>
                </w:rPr>
                <w:t>guarantors party thereto and the purchasers named therein (incorporated by reference to Exhibit 10.1.50 to Form 10-Q filed on</w:t>
              </w:r>
            </w:hyperlink>
          </w:p>
        </w:tc>
        <w:tc>
          <w:tcPr>
            <w:tcW w:w="50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1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November 9, 2020 (File No. 001-35975))</w:t>
              </w:r>
            </w:hyperlink>
          </w:p>
        </w:tc>
        <w:tc>
          <w:tcPr>
            <w:tcW w:w="780" w:type="dxa"/>
            <w:vAlign w:val="bottom"/>
            <w:gridSpan w:val="13"/>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10.9.1#</w:t>
            </w:r>
          </w:p>
        </w:tc>
        <w:tc>
          <w:tcPr>
            <w:tcW w:w="98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38">
              <w:r>
                <w:rPr>
                  <w:rFonts w:ascii="Arial" w:cs="Arial" w:eastAsia="Arial" w:hAnsi="Arial"/>
                  <w:sz w:val="18"/>
                  <w:szCs w:val="18"/>
                  <w:color w:val="0000EE"/>
                  <w:w w:val="91"/>
                </w:rPr>
                <w:t>Form of Director Deferred Share Unit Agreement for Gogo Inc. Omnibus Incentive Plan (incorporated by reference to Exhibit 10.10.2 to</w:t>
              </w:r>
            </w:hyperlink>
          </w:p>
        </w:tc>
      </w:tr>
      <w:tr>
        <w:trPr>
          <w:trHeight w:val="196"/>
        </w:trPr>
        <w:tc>
          <w:tcPr>
            <w:tcW w:w="1360" w:type="dxa"/>
            <w:vAlign w:val="bottom"/>
          </w:tcPr>
          <w:p>
            <w:pPr>
              <w:spacing w:after="0"/>
              <w:rPr>
                <w:sz w:val="17"/>
                <w:szCs w:val="17"/>
                <w:color w:val="auto"/>
              </w:rPr>
            </w:pPr>
          </w:p>
        </w:tc>
        <w:tc>
          <w:tcPr>
            <w:tcW w:w="42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38">
              <w:r>
                <w:rPr>
                  <w:rFonts w:ascii="Arial" w:cs="Arial" w:eastAsia="Arial" w:hAnsi="Arial"/>
                  <w:sz w:val="18"/>
                  <w:szCs w:val="18"/>
                  <w:color w:val="0000EE"/>
                  <w:w w:val="92"/>
                </w:rPr>
                <w:t>Form 10-K filed on March 14, 2014 (File No. 001-35975))</w:t>
              </w:r>
            </w:hyperlink>
          </w:p>
        </w:tc>
        <w:tc>
          <w:tcPr>
            <w:tcW w:w="5640" w:type="dxa"/>
            <w:vAlign w:val="bottom"/>
            <w:gridSpan w:val="16"/>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10.9.2#</w:t>
            </w:r>
          </w:p>
        </w:tc>
        <w:tc>
          <w:tcPr>
            <w:tcW w:w="98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239">
              <w:r>
                <w:rPr>
                  <w:rFonts w:ascii="Arial" w:cs="Arial" w:eastAsia="Arial" w:hAnsi="Arial"/>
                  <w:sz w:val="18"/>
                  <w:szCs w:val="18"/>
                  <w:color w:val="0000EE"/>
                  <w:w w:val="92"/>
                </w:rPr>
                <w:t>Form of Director Stock Option Agreement for Gogo Inc. Omnibus Incentive Plan (incorporated by reference to Exhibit 10.10.3 to Form</w:t>
              </w:r>
            </w:hyperlink>
          </w:p>
        </w:tc>
        <w:tc>
          <w:tcPr>
            <w:tcW w:w="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239">
              <w:r>
                <w:rPr>
                  <w:rFonts w:ascii="Arial" w:cs="Arial" w:eastAsia="Arial" w:hAnsi="Arial"/>
                  <w:sz w:val="18"/>
                  <w:szCs w:val="18"/>
                  <w:color w:val="0000EE"/>
                  <w:w w:val="92"/>
                </w:rPr>
                <w:t>10-K filed on March 14, 2014 (File No. 001-35975))</w:t>
              </w:r>
            </w:hyperlink>
          </w:p>
        </w:tc>
        <w:tc>
          <w:tcPr>
            <w:tcW w:w="6080" w:type="dxa"/>
            <w:vAlign w:val="bottom"/>
            <w:gridSpan w:val="17"/>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10.9.3#</w:t>
            </w:r>
          </w:p>
        </w:tc>
        <w:tc>
          <w:tcPr>
            <w:tcW w:w="98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240">
              <w:r>
                <w:rPr>
                  <w:rFonts w:ascii="Arial" w:cs="Arial" w:eastAsia="Arial" w:hAnsi="Arial"/>
                  <w:sz w:val="18"/>
                  <w:szCs w:val="18"/>
                  <w:color w:val="0000EE"/>
                  <w:w w:val="92"/>
                </w:rPr>
                <w:t>Director Compensation Policy, effective July 1, 2019 (incorporated by reference to Exhibit 10.9.4 to Form 10-K filed on March 13, 2020</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240">
              <w:r>
                <w:rPr>
                  <w:rFonts w:ascii="Arial" w:cs="Arial" w:eastAsia="Arial" w:hAnsi="Arial"/>
                  <w:sz w:val="18"/>
                  <w:szCs w:val="18"/>
                  <w:color w:val="0000EE"/>
                  <w:w w:val="92"/>
                </w:rPr>
                <w:t>(File No. 001-35975))</w:t>
              </w:r>
            </w:hyperlink>
          </w:p>
        </w:tc>
        <w:tc>
          <w:tcPr>
            <w:tcW w:w="8280" w:type="dxa"/>
            <w:vAlign w:val="bottom"/>
            <w:gridSpan w:val="21"/>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10.9.4#</w:t>
            </w:r>
          </w:p>
        </w:tc>
        <w:tc>
          <w:tcPr>
            <w:tcW w:w="94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41">
              <w:r>
                <w:rPr>
                  <w:rFonts w:ascii="Arial" w:cs="Arial" w:eastAsia="Arial" w:hAnsi="Arial"/>
                  <w:sz w:val="18"/>
                  <w:szCs w:val="18"/>
                  <w:color w:val="0000EE"/>
                  <w:w w:val="91"/>
                </w:rPr>
                <w:t>Form of Director Stock Option Agreement for Amended and Restated Gogo Inc. 2016 Omnibus Incentive Plan (effective April 29,</w:t>
              </w:r>
            </w:hyperlink>
          </w:p>
        </w:tc>
        <w:tc>
          <w:tcPr>
            <w:tcW w:w="460" w:type="dxa"/>
            <w:vAlign w:val="bottom"/>
            <w:gridSpan w:val="10"/>
          </w:tcPr>
          <w:p>
            <w:pPr>
              <w:spacing w:after="0"/>
              <w:rPr>
                <w:sz w:val="17"/>
                <w:szCs w:val="17"/>
                <w:color w:val="auto"/>
              </w:rPr>
            </w:pPr>
          </w:p>
        </w:tc>
      </w:tr>
      <w:tr>
        <w:trPr>
          <w:trHeight w:val="222"/>
        </w:trPr>
        <w:tc>
          <w:tcPr>
            <w:tcW w:w="1360" w:type="dxa"/>
            <w:vAlign w:val="bottom"/>
          </w:tcPr>
          <w:p>
            <w:pPr>
              <w:spacing w:after="0"/>
              <w:rPr>
                <w:sz w:val="19"/>
                <w:szCs w:val="19"/>
                <w:color w:val="auto"/>
              </w:rPr>
            </w:pPr>
          </w:p>
        </w:tc>
        <w:tc>
          <w:tcPr>
            <w:tcW w:w="9880" w:type="dxa"/>
            <w:vAlign w:val="bottom"/>
            <w:gridSpan w:val="24"/>
          </w:tcPr>
          <w:p>
            <w:pPr>
              <w:spacing w:after="0"/>
              <w:rPr>
                <w:rFonts w:ascii="Arial" w:cs="Arial" w:eastAsia="Arial" w:hAnsi="Arial"/>
                <w:sz w:val="18"/>
                <w:szCs w:val="18"/>
                <w:u w:val="single" w:color="auto"/>
                <w:color w:val="0000EE"/>
              </w:rPr>
            </w:pPr>
            <w:hyperlink r:id="rId241">
              <w:r>
                <w:rPr>
                  <w:rFonts w:ascii="Arial" w:cs="Arial" w:eastAsia="Arial" w:hAnsi="Arial"/>
                  <w:sz w:val="18"/>
                  <w:szCs w:val="18"/>
                  <w:u w:val="single" w:color="auto"/>
                  <w:color w:val="0000EE"/>
                </w:rPr>
                <w:t>2020) (incorporated by reference to Exhibit 10.9.1 to Form 10-Q filed on August 10, 2020 (File No. 001-35975))</w:t>
              </w:r>
            </w:hyperlink>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10.9.5#</w:t>
            </w:r>
          </w:p>
        </w:tc>
        <w:tc>
          <w:tcPr>
            <w:tcW w:w="9700" w:type="dxa"/>
            <w:vAlign w:val="bottom"/>
            <w:tcBorders>
              <w:bottom w:val="single" w:sz="8" w:color="0000EE"/>
            </w:tcBorders>
            <w:gridSpan w:val="19"/>
          </w:tcPr>
          <w:p>
            <w:pPr>
              <w:spacing w:after="0" w:line="190" w:lineRule="exact"/>
              <w:rPr>
                <w:rFonts w:ascii="Arial" w:cs="Arial" w:eastAsia="Arial" w:hAnsi="Arial"/>
                <w:sz w:val="18"/>
                <w:szCs w:val="18"/>
                <w:color w:val="0000EE"/>
                <w:w w:val="91"/>
              </w:rPr>
            </w:pPr>
            <w:hyperlink r:id="rId242">
              <w:r>
                <w:rPr>
                  <w:rFonts w:ascii="Arial" w:cs="Arial" w:eastAsia="Arial" w:hAnsi="Arial"/>
                  <w:sz w:val="18"/>
                  <w:szCs w:val="18"/>
                  <w:color w:val="0000EE"/>
                  <w:w w:val="91"/>
                </w:rPr>
                <w:t>Amendment to Non-Employee Director Stock Option Agreements for Amended and Restated Gogo Inc. 2016 Omnibus Incentive Plan</w:t>
              </w:r>
            </w:hyperlink>
          </w:p>
        </w:tc>
        <w:tc>
          <w:tcPr>
            <w:tcW w:w="180" w:type="dxa"/>
            <w:vAlign w:val="bottom"/>
            <w:gridSpan w:val="5"/>
          </w:tcPr>
          <w:p>
            <w:pPr>
              <w:spacing w:after="0"/>
              <w:rPr>
                <w:sz w:val="16"/>
                <w:szCs w:val="16"/>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w w:val="93"/>
              </w:rPr>
            </w:pPr>
            <w:hyperlink r:id="rId242">
              <w:r>
                <w:rPr>
                  <w:rFonts w:ascii="Arial" w:cs="Arial" w:eastAsia="Arial" w:hAnsi="Arial"/>
                  <w:sz w:val="18"/>
                  <w:szCs w:val="18"/>
                  <w:color w:val="0000EE"/>
                  <w:w w:val="93"/>
                </w:rPr>
                <w:t>granted before April 29, 2020 (effective April 29, 2020) (incorporated by reference to Exhibit 10.9.2 to Form 10-Q filed on August 10,</w:t>
              </w:r>
            </w:hyperlink>
          </w:p>
        </w:tc>
      </w:tr>
      <w:tr>
        <w:trPr>
          <w:trHeight w:val="196"/>
        </w:trPr>
        <w:tc>
          <w:tcPr>
            <w:tcW w:w="136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242">
              <w:r>
                <w:rPr>
                  <w:rFonts w:ascii="Arial" w:cs="Arial" w:eastAsia="Arial" w:hAnsi="Arial"/>
                  <w:sz w:val="18"/>
                  <w:szCs w:val="18"/>
                  <w:color w:val="0000EE"/>
                  <w:w w:val="91"/>
                </w:rPr>
                <w:t>2020 (File No. 001-35975))</w:t>
              </w:r>
            </w:hyperlink>
          </w:p>
        </w:tc>
        <w:tc>
          <w:tcPr>
            <w:tcW w:w="7700" w:type="dxa"/>
            <w:vAlign w:val="bottom"/>
            <w:tcBorders>
              <w:top w:val="single" w:sz="8" w:color="0000EE"/>
            </w:tcBorders>
            <w:gridSpan w:val="15"/>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988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243">
              <w:r>
                <w:rPr>
                  <w:rFonts w:ascii="Arial" w:cs="Arial" w:eastAsia="Arial" w:hAnsi="Arial"/>
                  <w:sz w:val="18"/>
                  <w:szCs w:val="18"/>
                  <w:color w:val="0000EE"/>
                  <w:w w:val="89"/>
                </w:rPr>
                <w:t>Amended and Restated Forward Stock Purchase Confirmation, dated as of December 11, 2019, by and between Gogo Inc. and JPMorgan</w:t>
              </w:r>
            </w:hyperlink>
          </w:p>
        </w:tc>
      </w:tr>
      <w:tr>
        <w:trPr>
          <w:trHeight w:val="196"/>
        </w:trPr>
        <w:tc>
          <w:tcPr>
            <w:tcW w:w="136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w w:val="94"/>
              </w:rPr>
            </w:pPr>
            <w:hyperlink r:id="rId243">
              <w:r>
                <w:rPr>
                  <w:rFonts w:ascii="Arial" w:cs="Arial" w:eastAsia="Arial" w:hAnsi="Arial"/>
                  <w:sz w:val="18"/>
                  <w:szCs w:val="18"/>
                  <w:color w:val="0000EE"/>
                  <w:w w:val="94"/>
                </w:rPr>
                <w:t>Chase Bank, National Association (incorporated by reference to Exhibit 10.1 to Form 8-K filed on December 12, 2019 (File No. 001-</w:t>
              </w:r>
            </w:hyperlink>
          </w:p>
        </w:tc>
      </w:tr>
      <w:tr>
        <w:trPr>
          <w:trHeight w:val="196"/>
        </w:trPr>
        <w:tc>
          <w:tcPr>
            <w:tcW w:w="136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43">
              <w:r>
                <w:rPr>
                  <w:rFonts w:ascii="Arial" w:cs="Arial" w:eastAsia="Arial" w:hAnsi="Arial"/>
                  <w:sz w:val="18"/>
                  <w:szCs w:val="18"/>
                  <w:color w:val="0000EE"/>
                  <w:w w:val="86"/>
                </w:rPr>
                <w:t>35975)</w:t>
              </w:r>
              <w:r>
                <w:rPr>
                  <w:rFonts w:ascii="Arial" w:cs="Arial" w:eastAsia="Arial" w:hAnsi="Arial"/>
                  <w:sz w:val="18"/>
                  <w:szCs w:val="18"/>
                  <w:u w:val="single" w:color="auto"/>
                  <w:color w:val="0000EE"/>
                  <w:w w:val="86"/>
                </w:rPr>
                <w:t>)</w:t>
              </w:r>
            </w:hyperlink>
          </w:p>
        </w:tc>
        <w:tc>
          <w:tcPr>
            <w:tcW w:w="7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21.1</w:t>
            </w:r>
          </w:p>
        </w:tc>
        <w:tc>
          <w:tcPr>
            <w:tcW w:w="9880" w:type="dxa"/>
            <w:vAlign w:val="bottom"/>
            <w:gridSpan w:val="24"/>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List of Subsidiaries</w:t>
              </w:r>
            </w:hyperlink>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9880" w:type="dxa"/>
            <w:vAlign w:val="bottom"/>
            <w:gridSpan w:val="24"/>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Consent of Independent Registered Public Accounting Firm – Deloitte &amp; Touche LLP</w:t>
              </w:r>
            </w:hyperlink>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24.1</w:t>
            </w:r>
          </w:p>
        </w:tc>
        <w:tc>
          <w:tcPr>
            <w:tcW w:w="9880" w:type="dxa"/>
            <w:vAlign w:val="bottom"/>
            <w:gridSpan w:val="24"/>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Power of Attorney (included on signature page)</w:t>
              </w:r>
            </w:hyperlink>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9840" w:type="dxa"/>
            <w:vAlign w:val="bottom"/>
            <w:tcBorders>
              <w:bottom w:val="single" w:sz="8" w:color="0000EE"/>
            </w:tcBorders>
            <w:gridSpan w:val="22"/>
          </w:tcPr>
          <w:p>
            <w:pPr>
              <w:spacing w:after="0" w:line="190" w:lineRule="exact"/>
              <w:rPr>
                <w:rFonts w:ascii="Arial" w:cs="Arial" w:eastAsia="Arial" w:hAnsi="Arial"/>
                <w:sz w:val="18"/>
                <w:szCs w:val="18"/>
                <w:color w:val="0000EE"/>
                <w:w w:val="90"/>
              </w:rPr>
            </w:pPr>
            <w:hyperlink w:anchor="page171">
              <w:r>
                <w:rPr>
                  <w:rFonts w:ascii="Arial" w:cs="Arial" w:eastAsia="Arial" w:hAnsi="Arial"/>
                  <w:sz w:val="18"/>
                  <w:szCs w:val="18"/>
                  <w:color w:val="0000EE"/>
                  <w:w w:val="90"/>
                </w:rPr>
                <w:t>Certification of Chief Executive Officer pursuant to Exchange Act Rules 13a-14(a) and 15d-14(a), as adopted pursuant to Section 302 of</w:t>
              </w:r>
            </w:hyperlink>
          </w:p>
        </w:tc>
        <w:tc>
          <w:tcPr>
            <w:tcW w:w="40" w:type="dxa"/>
            <w:vAlign w:val="bottom"/>
            <w:gridSpan w:val="2"/>
          </w:tcPr>
          <w:p>
            <w:pPr>
              <w:spacing w:after="0"/>
              <w:rPr>
                <w:sz w:val="16"/>
                <w:szCs w:val="16"/>
                <w:color w:val="auto"/>
              </w:rPr>
            </w:pPr>
          </w:p>
        </w:tc>
      </w:tr>
      <w:tr>
        <w:trPr>
          <w:trHeight w:val="196"/>
        </w:trPr>
        <w:tc>
          <w:tcPr>
            <w:tcW w:w="1360" w:type="dxa"/>
            <w:vAlign w:val="bottom"/>
          </w:tcPr>
          <w:p>
            <w:pPr>
              <w:spacing w:after="0"/>
              <w:rPr>
                <w:sz w:val="17"/>
                <w:szCs w:val="17"/>
                <w:color w:val="auto"/>
              </w:rPr>
            </w:pPr>
          </w:p>
        </w:tc>
        <w:tc>
          <w:tcPr>
            <w:tcW w:w="23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71">
              <w:r>
                <w:rPr>
                  <w:rFonts w:ascii="Arial" w:cs="Arial" w:eastAsia="Arial" w:hAnsi="Arial"/>
                  <w:sz w:val="18"/>
                  <w:szCs w:val="18"/>
                  <w:color w:val="0000EE"/>
                  <w:w w:val="90"/>
                </w:rPr>
                <w:t>the Sarbanes-Oxley Act of 2002</w:t>
              </w:r>
            </w:hyperlink>
          </w:p>
        </w:tc>
        <w:tc>
          <w:tcPr>
            <w:tcW w:w="7560" w:type="dxa"/>
            <w:vAlign w:val="bottom"/>
            <w:gridSpan w:val="19"/>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880" w:type="dxa"/>
            <w:vAlign w:val="bottom"/>
            <w:gridSpan w:val="24"/>
          </w:tcPr>
          <w:p>
            <w:pPr>
              <w:spacing w:after="0" w:line="196" w:lineRule="exact"/>
              <w:rPr>
                <w:rFonts w:ascii="Arial" w:cs="Arial" w:eastAsia="Arial" w:hAnsi="Arial"/>
                <w:sz w:val="18"/>
                <w:szCs w:val="18"/>
                <w:color w:val="0000EE"/>
                <w:w w:val="91"/>
              </w:rPr>
            </w:pPr>
            <w:hyperlink w:anchor="page172">
              <w:r>
                <w:rPr>
                  <w:rFonts w:ascii="Arial" w:cs="Arial" w:eastAsia="Arial" w:hAnsi="Arial"/>
                  <w:sz w:val="18"/>
                  <w:szCs w:val="18"/>
                  <w:color w:val="0000EE"/>
                  <w:w w:val="91"/>
                </w:rPr>
                <w:t>Certification of Chief Financial Officer pursuant to Exchange Act Rules 13a-14(a) and 15d-14(a), as adopted pursuant to Section 302 of</w:t>
              </w:r>
            </w:hyperlink>
          </w:p>
        </w:tc>
      </w:tr>
      <w:tr>
        <w:trPr>
          <w:trHeight w:val="196"/>
        </w:trPr>
        <w:tc>
          <w:tcPr>
            <w:tcW w:w="13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72">
              <w:r>
                <w:rPr>
                  <w:rFonts w:ascii="Arial" w:cs="Arial" w:eastAsia="Arial" w:hAnsi="Arial"/>
                  <w:sz w:val="18"/>
                  <w:szCs w:val="18"/>
                  <w:color w:val="0000EE"/>
                  <w:w w:val="90"/>
                </w:rPr>
                <w:t>the Sarbanes-Oxley Act of 2002</w:t>
              </w:r>
            </w:hyperlink>
          </w:p>
        </w:tc>
        <w:tc>
          <w:tcPr>
            <w:tcW w:w="7460" w:type="dxa"/>
            <w:vAlign w:val="bottom"/>
            <w:tcBorders>
              <w:top w:val="single" w:sz="8" w:color="0000EE"/>
            </w:tcBorders>
            <w:gridSpan w:val="15"/>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32.1 *</w:t>
            </w:r>
          </w:p>
        </w:tc>
        <w:tc>
          <w:tcPr>
            <w:tcW w:w="9880" w:type="dxa"/>
            <w:vAlign w:val="bottom"/>
            <w:gridSpan w:val="24"/>
          </w:tcPr>
          <w:p>
            <w:pPr>
              <w:spacing w:after="0" w:line="196" w:lineRule="exact"/>
              <w:rPr>
                <w:rFonts w:ascii="Arial" w:cs="Arial" w:eastAsia="Arial" w:hAnsi="Arial"/>
                <w:sz w:val="18"/>
                <w:szCs w:val="18"/>
                <w:color w:val="0000EE"/>
                <w:w w:val="93"/>
              </w:rPr>
            </w:pPr>
            <w:hyperlink w:anchor="page173">
              <w:r>
                <w:rPr>
                  <w:rFonts w:ascii="Arial" w:cs="Arial" w:eastAsia="Arial" w:hAnsi="Arial"/>
                  <w:sz w:val="18"/>
                  <w:szCs w:val="18"/>
                  <w:color w:val="0000EE"/>
                  <w:w w:val="93"/>
                </w:rPr>
                <w:t>Certification of the Chief Executive Officer pursuant to 18 U.S.C. Section 1350, as adopted pursuant to Section 906 of the Sarbanes-</w:t>
              </w:r>
            </w:hyperlink>
          </w:p>
        </w:tc>
      </w:tr>
      <w:tr>
        <w:trPr>
          <w:trHeight w:val="196"/>
        </w:trPr>
        <w:tc>
          <w:tcPr>
            <w:tcW w:w="1360" w:type="dxa"/>
            <w:vAlign w:val="bottom"/>
          </w:tcPr>
          <w:p>
            <w:pPr>
              <w:spacing w:after="0"/>
              <w:rPr>
                <w:sz w:val="17"/>
                <w:szCs w:val="17"/>
                <w:color w:val="auto"/>
              </w:rPr>
            </w:pPr>
          </w:p>
        </w:tc>
        <w:tc>
          <w:tcPr>
            <w:tcW w:w="95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Oxley Act of 2002</w:t>
              </w:r>
            </w:hyperlink>
          </w:p>
        </w:tc>
        <w:tc>
          <w:tcPr>
            <w:tcW w:w="340" w:type="dxa"/>
            <w:vAlign w:val="bottom"/>
            <w:gridSpan w:val="8"/>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160" w:type="dxa"/>
            <w:vAlign w:val="bottom"/>
            <w:gridSpan w:val="13"/>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32.2 *</w:t>
            </w:r>
          </w:p>
        </w:tc>
        <w:tc>
          <w:tcPr>
            <w:tcW w:w="95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74">
              <w:r>
                <w:rPr>
                  <w:rFonts w:ascii="Arial" w:cs="Arial" w:eastAsia="Arial" w:hAnsi="Arial"/>
                  <w:sz w:val="18"/>
                  <w:szCs w:val="18"/>
                  <w:color w:val="0000EE"/>
                  <w:w w:val="90"/>
                </w:rPr>
                <w:t>Certification of the Chief Financial Officer pursuant to 18 U.S.C. Section 1350, as adopted pursuant to Section 906 of the Sarbanes-</w:t>
              </w:r>
            </w:hyperlink>
          </w:p>
        </w:tc>
        <w:tc>
          <w:tcPr>
            <w:tcW w:w="38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4"/>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Oxley Act of 2002</w:t>
              </w:r>
            </w:hyperlink>
          </w:p>
        </w:tc>
      </w:tr>
      <w:tr>
        <w:trPr>
          <w:trHeight w:val="20"/>
        </w:trPr>
        <w:tc>
          <w:tcPr>
            <w:tcW w:w="13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540" w:type="dxa"/>
            <w:vAlign w:val="bottom"/>
            <w:gridSpan w:val="22"/>
          </w:tcPr>
          <w:p>
            <w:pPr>
              <w:spacing w:after="0" w:line="20" w:lineRule="exact"/>
              <w:rPr>
                <w:sz w:val="1"/>
                <w:szCs w:val="1"/>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24"/>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2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2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24"/>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2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2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gridSpan w:val="2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ind w:left="1360" w:right="60" w:hanging="1352"/>
        <w:spacing w:after="0" w:line="281" w:lineRule="auto"/>
        <w:tabs>
          <w:tab w:leader="none" w:pos="13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10-K), irrespective of any general incorporation</w:t>
      </w:r>
    </w:p>
    <w:p>
      <w:pPr>
        <w:spacing w:after="0" w:line="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language contained in such filing.</w:t>
      </w:r>
    </w:p>
    <w:p>
      <w:pPr>
        <w:spacing w:after="0" w:line="9" w:lineRule="exact"/>
        <w:rPr>
          <w:sz w:val="20"/>
          <w:szCs w:val="20"/>
          <w:color w:val="auto"/>
        </w:rPr>
      </w:pPr>
    </w:p>
    <w:p>
      <w:pPr>
        <w:ind w:left="1360" w:right="40" w:hanging="1352"/>
        <w:spacing w:after="0" w:line="250" w:lineRule="auto"/>
        <w:tabs>
          <w:tab w:leader="none" w:pos="1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Certain schedules and other similar attachments to such agreement have been omitted pursuant to Item 601(a)(5) of Regulation S-K. The Company will furnish a copy of such omitted documents to the SEC upon request.</w:t>
      </w:r>
    </w:p>
    <w:p>
      <w:pPr>
        <w:ind w:left="1360" w:hanging="1352"/>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agreement was assigned to Intelsat in the Transaction.</w:t>
      </w:r>
    </w:p>
    <w:p>
      <w:pPr>
        <w:spacing w:after="0" w:line="9" w:lineRule="exact"/>
        <w:rPr>
          <w:sz w:val="20"/>
          <w:szCs w:val="20"/>
          <w:color w:val="auto"/>
        </w:rPr>
      </w:pPr>
    </w:p>
    <w:p>
      <w:pPr>
        <w:ind w:left="1360" w:hanging="1352"/>
        <w:spacing w:after="0"/>
        <w:tabs>
          <w:tab w:leader="none" w:pos="1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5480" w:right="2380" w:hanging="5472"/>
        <w:spacing w:after="0" w:line="761" w:lineRule="auto"/>
        <w:tabs>
          <w:tab w:leader="none" w:pos="13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provisions of this exhibit have been omitted pursuant to Item 601 (b)(10)(iv) of Regulation S-K.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6" w:name="page127"/>
    <w:bookmarkEnd w:id="126"/>
    <w:p>
      <w:pPr>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Gogo Inc. (the registrant) has duly caused this report to be signed on its behalf by the undersigned, thereunto duly authorized, on March 11, 2021.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0" w:type="dxa"/>
            <w:vAlign w:val="bottom"/>
          </w:tcPr>
          <w:p>
            <w:pPr>
              <w:spacing w:after="0"/>
              <w:rPr>
                <w:sz w:val="20"/>
                <w:szCs w:val="20"/>
                <w:color w:val="auto"/>
              </w:rPr>
            </w:pPr>
            <w:r>
              <w:rPr>
                <w:rFonts w:ascii="Arial" w:cs="Arial" w:eastAsia="Arial" w:hAnsi="Arial"/>
                <w:sz w:val="15"/>
                <w:szCs w:val="15"/>
                <w:color w:val="auto"/>
              </w:rPr>
              <w:t>Gogo Inc.</w:t>
            </w:r>
          </w:p>
        </w:tc>
        <w:tc>
          <w:tcPr>
            <w:tcW w:w="2840" w:type="dxa"/>
            <w:vAlign w:val="bottom"/>
          </w:tcPr>
          <w:p>
            <w:pPr>
              <w:spacing w:after="0"/>
              <w:rPr>
                <w:sz w:val="14"/>
                <w:szCs w:val="14"/>
                <w:color w:val="auto"/>
              </w:rPr>
            </w:pPr>
          </w:p>
        </w:tc>
      </w:tr>
      <w:tr>
        <w:trPr>
          <w:trHeight w:val="175"/>
        </w:trPr>
        <w:tc>
          <w:tcPr>
            <w:tcW w:w="900" w:type="dxa"/>
            <w:vAlign w:val="bottom"/>
          </w:tcPr>
          <w:p>
            <w:pPr>
              <w:spacing w:after="0"/>
              <w:rPr>
                <w:sz w:val="20"/>
                <w:szCs w:val="20"/>
                <w:color w:val="auto"/>
              </w:rPr>
            </w:pPr>
            <w:r>
              <w:rPr>
                <w:rFonts w:ascii="Arial" w:cs="Arial" w:eastAsia="Arial" w:hAnsi="Arial"/>
                <w:sz w:val="15"/>
                <w:szCs w:val="15"/>
                <w:color w:val="auto"/>
              </w:rPr>
              <w:t>By:</w:t>
            </w:r>
          </w:p>
        </w:tc>
        <w:tc>
          <w:tcPr>
            <w:tcW w:w="28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Oakleigh Thorne</w:t>
            </w:r>
          </w:p>
        </w:tc>
      </w:tr>
      <w:tr>
        <w:trPr>
          <w:trHeight w:val="142"/>
        </w:trPr>
        <w:tc>
          <w:tcPr>
            <w:tcW w:w="900" w:type="dxa"/>
            <w:vAlign w:val="bottom"/>
          </w:tcPr>
          <w:p>
            <w:pPr>
              <w:spacing w:after="0" w:line="142" w:lineRule="exact"/>
              <w:rPr>
                <w:sz w:val="20"/>
                <w:szCs w:val="20"/>
                <w:color w:val="auto"/>
              </w:rPr>
            </w:pPr>
            <w:r>
              <w:rPr>
                <w:rFonts w:ascii="Arial" w:cs="Arial" w:eastAsia="Arial" w:hAnsi="Arial"/>
                <w:sz w:val="15"/>
                <w:szCs w:val="15"/>
                <w:color w:val="auto"/>
              </w:rPr>
              <w:t>Name:</w:t>
            </w:r>
          </w:p>
        </w:tc>
        <w:tc>
          <w:tcPr>
            <w:tcW w:w="2840" w:type="dxa"/>
            <w:vAlign w:val="bottom"/>
          </w:tcPr>
          <w:p>
            <w:pPr>
              <w:spacing w:after="0" w:line="142" w:lineRule="exact"/>
              <w:rPr>
                <w:sz w:val="20"/>
                <w:szCs w:val="20"/>
                <w:color w:val="auto"/>
              </w:rPr>
            </w:pPr>
            <w:r>
              <w:rPr>
                <w:rFonts w:ascii="Arial" w:cs="Arial" w:eastAsia="Arial" w:hAnsi="Arial"/>
                <w:sz w:val="15"/>
                <w:szCs w:val="15"/>
                <w:color w:val="auto"/>
              </w:rPr>
              <w:t>Oakleigh Thorne</w:t>
            </w:r>
          </w:p>
        </w:tc>
      </w:tr>
      <w:tr>
        <w:trPr>
          <w:trHeight w:val="162"/>
        </w:trPr>
        <w:tc>
          <w:tcPr>
            <w:tcW w:w="900" w:type="dxa"/>
            <w:vAlign w:val="bottom"/>
          </w:tcPr>
          <w:p>
            <w:pPr>
              <w:spacing w:after="0" w:line="162" w:lineRule="exact"/>
              <w:rPr>
                <w:sz w:val="20"/>
                <w:szCs w:val="20"/>
                <w:color w:val="auto"/>
              </w:rPr>
            </w:pPr>
            <w:r>
              <w:rPr>
                <w:rFonts w:ascii="Arial" w:cs="Arial" w:eastAsia="Arial" w:hAnsi="Arial"/>
                <w:sz w:val="15"/>
                <w:szCs w:val="15"/>
                <w:color w:val="auto"/>
              </w:rPr>
              <w:t>Title:</w:t>
            </w:r>
          </w:p>
        </w:tc>
        <w:tc>
          <w:tcPr>
            <w:tcW w:w="2840" w:type="dxa"/>
            <w:vAlign w:val="bottom"/>
          </w:tcPr>
          <w:p>
            <w:pPr>
              <w:spacing w:after="0" w:line="162" w:lineRule="exact"/>
              <w:rPr>
                <w:sz w:val="20"/>
                <w:szCs w:val="20"/>
                <w:color w:val="auto"/>
              </w:rPr>
            </w:pPr>
            <w:r>
              <w:rPr>
                <w:rFonts w:ascii="Arial" w:cs="Arial" w:eastAsia="Arial" w:hAnsi="Arial"/>
                <w:sz w:val="15"/>
                <w:szCs w:val="15"/>
                <w:color w:val="auto"/>
              </w:rPr>
              <w:t>President and Chief Executive Officer and</w:t>
            </w:r>
          </w:p>
        </w:tc>
      </w:tr>
      <w:tr>
        <w:trPr>
          <w:trHeight w:val="162"/>
        </w:trPr>
        <w:tc>
          <w:tcPr>
            <w:tcW w:w="900" w:type="dxa"/>
            <w:vAlign w:val="bottom"/>
          </w:tcPr>
          <w:p>
            <w:pPr>
              <w:spacing w:after="0"/>
              <w:rPr>
                <w:sz w:val="14"/>
                <w:szCs w:val="14"/>
                <w:color w:val="auto"/>
              </w:rPr>
            </w:pPr>
          </w:p>
        </w:tc>
        <w:tc>
          <w:tcPr>
            <w:tcW w:w="2840" w:type="dxa"/>
            <w:vAlign w:val="bottom"/>
          </w:tcPr>
          <w:p>
            <w:pPr>
              <w:spacing w:after="0" w:line="162" w:lineRule="exact"/>
              <w:rPr>
                <w:sz w:val="20"/>
                <w:szCs w:val="20"/>
                <w:color w:val="auto"/>
              </w:rPr>
            </w:pPr>
            <w:r>
              <w:rPr>
                <w:rFonts w:ascii="Arial" w:cs="Arial" w:eastAsia="Arial" w:hAnsi="Arial"/>
                <w:sz w:val="15"/>
                <w:szCs w:val="15"/>
                <w:color w:val="auto"/>
              </w:rPr>
              <w:t>Chairman of the Board</w:t>
            </w:r>
          </w:p>
        </w:tc>
      </w:tr>
      <w:tr>
        <w:trPr>
          <w:trHeight w:val="194"/>
        </w:trPr>
        <w:tc>
          <w:tcPr>
            <w:tcW w:w="90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Arial" w:cs="Arial" w:eastAsia="Arial" w:hAnsi="Arial"/>
                <w:sz w:val="15"/>
                <w:szCs w:val="15"/>
                <w:color w:val="auto"/>
              </w:rPr>
              <w:t>(Principal Executive Officer)</w:t>
            </w:r>
          </w:p>
        </w:tc>
      </w:tr>
    </w:tbl>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Barry Rowan and Marguerite M. Elias, and each of them, his or her true and lawful attorneys-in-fact and agents, with full power to act separately and full power of substitution and resubstitution, for him or her and in his or her name, place and stead, in any and all capacities, to sign any and all amendments to this Annual Report on Form 10-K, and to file the same, with all exhibits thereto, and all other documents in connection therewith, with the Securities and Exchange Commission, granting unto said attorney-in-facts and agents, and each of them, full power and authority to do and perform each and every act and thing requisite and necessary to be done in and about the premises, as fully to all intents and purposes as they or he or she might or could do in person, hereby ratifying and confirming all that said attorneys-in-fact and agents or either of them or his or their substitute or substitutes may lawfully do or cause to be done by virtue hereof.</w:t>
      </w:r>
    </w:p>
    <w:p>
      <w:pPr>
        <w:spacing w:after="0" w:line="165"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 For the avoidance of doubt, whenever two or more powers of attorney granting the powers specified herein are valid, the agents appointed on each shall act separately unless otherwise specified.</w:t>
      </w:r>
    </w:p>
    <w:p>
      <w:pPr>
        <w:spacing w:after="0" w:line="117"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Gogo Inc. and in the capacities indicated, on March 11, 2021.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00" w:type="dxa"/>
            <w:vAlign w:val="bottom"/>
            <w:gridSpan w:val="3"/>
          </w:tcPr>
          <w:p>
            <w:pPr>
              <w:ind w:left="1940"/>
              <w:spacing w:after="0"/>
              <w:rPr>
                <w:sz w:val="20"/>
                <w:szCs w:val="20"/>
                <w:color w:val="auto"/>
              </w:rPr>
            </w:pPr>
            <w:r>
              <w:rPr>
                <w:rFonts w:ascii="Arial" w:cs="Arial" w:eastAsia="Arial" w:hAnsi="Arial"/>
                <w:sz w:val="15"/>
                <w:szCs w:val="15"/>
                <w:b w:val="1"/>
                <w:bCs w:val="1"/>
                <w:color w:val="auto"/>
              </w:rPr>
              <w:t>Signature</w:t>
            </w:r>
          </w:p>
        </w:tc>
        <w:tc>
          <w:tcPr>
            <w:tcW w:w="4260" w:type="dxa"/>
            <w:vAlign w:val="bottom"/>
            <w:gridSpan w:val="3"/>
          </w:tcPr>
          <w:p>
            <w:pPr>
              <w:ind w:left="3340"/>
              <w:spacing w:after="0"/>
              <w:rPr>
                <w:sz w:val="20"/>
                <w:szCs w:val="20"/>
                <w:color w:val="auto"/>
              </w:rPr>
            </w:pPr>
            <w:r>
              <w:rPr>
                <w:rFonts w:ascii="Arial" w:cs="Arial" w:eastAsia="Arial" w:hAnsi="Arial"/>
                <w:sz w:val="15"/>
                <w:szCs w:val="15"/>
                <w:b w:val="1"/>
                <w:bCs w:val="1"/>
                <w:color w:val="auto"/>
              </w:rPr>
              <w:t>Title</w:t>
            </w:r>
          </w:p>
        </w:tc>
      </w:tr>
      <w:tr>
        <w:trPr>
          <w:trHeight w:val="20"/>
        </w:trPr>
        <w:tc>
          <w:tcPr>
            <w:tcW w:w="1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Oakleigh Thorne</w:t>
            </w:r>
          </w:p>
        </w:tc>
        <w:tc>
          <w:tcPr>
            <w:tcW w:w="6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4260" w:type="dxa"/>
            <w:vAlign w:val="bottom"/>
            <w:gridSpan w:val="3"/>
          </w:tcPr>
          <w:p>
            <w:pPr>
              <w:ind w:left="240"/>
              <w:spacing w:after="0"/>
              <w:rPr>
                <w:sz w:val="20"/>
                <w:szCs w:val="20"/>
                <w:color w:val="auto"/>
              </w:rPr>
            </w:pPr>
            <w:r>
              <w:rPr>
                <w:rFonts w:ascii="Arial" w:cs="Arial" w:eastAsia="Arial" w:hAnsi="Arial"/>
                <w:sz w:val="15"/>
                <w:szCs w:val="15"/>
                <w:color w:val="auto"/>
                <w:w w:val="92"/>
              </w:rPr>
              <w:t>President and Chief Executive Officer and Chairman of the Board</w:t>
            </w:r>
          </w:p>
        </w:tc>
      </w:tr>
      <w:tr>
        <w:trPr>
          <w:trHeight w:val="188"/>
        </w:trPr>
        <w:tc>
          <w:tcPr>
            <w:tcW w:w="4500" w:type="dxa"/>
            <w:vAlign w:val="bottom"/>
            <w:gridSpan w:val="3"/>
          </w:tcPr>
          <w:p>
            <w:pPr>
              <w:spacing w:after="0"/>
              <w:rPr>
                <w:sz w:val="20"/>
                <w:szCs w:val="20"/>
                <w:color w:val="auto"/>
              </w:rPr>
            </w:pPr>
            <w:r>
              <w:rPr>
                <w:rFonts w:ascii="Arial" w:cs="Arial" w:eastAsia="Arial" w:hAnsi="Arial"/>
                <w:sz w:val="15"/>
                <w:szCs w:val="15"/>
                <w:color w:val="auto"/>
              </w:rPr>
              <w:t>Oakleigh Thorne</w:t>
            </w:r>
          </w:p>
        </w:tc>
        <w:tc>
          <w:tcPr>
            <w:tcW w:w="4260" w:type="dxa"/>
            <w:vAlign w:val="bottom"/>
            <w:gridSpan w:val="3"/>
          </w:tcPr>
          <w:p>
            <w:pPr>
              <w:ind w:left="240"/>
              <w:spacing w:after="0"/>
              <w:rPr>
                <w:sz w:val="20"/>
                <w:szCs w:val="20"/>
                <w:color w:val="auto"/>
              </w:rPr>
            </w:pPr>
            <w:r>
              <w:rPr>
                <w:rFonts w:ascii="Arial" w:cs="Arial" w:eastAsia="Arial" w:hAnsi="Arial"/>
                <w:sz w:val="15"/>
                <w:szCs w:val="15"/>
                <w:color w:val="auto"/>
              </w:rPr>
              <w:t>(Principal Executive Officer)</w:t>
            </w:r>
          </w:p>
        </w:tc>
      </w:tr>
      <w:tr>
        <w:trPr>
          <w:trHeight w:val="21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Barry Rowan</w:t>
            </w:r>
          </w:p>
        </w:tc>
        <w:tc>
          <w:tcPr>
            <w:tcW w:w="4260" w:type="dxa"/>
            <w:vAlign w:val="bottom"/>
            <w:gridSpan w:val="3"/>
          </w:tcPr>
          <w:p>
            <w:pPr>
              <w:ind w:left="240"/>
              <w:spacing w:after="0"/>
              <w:rPr>
                <w:sz w:val="20"/>
                <w:szCs w:val="20"/>
                <w:color w:val="auto"/>
              </w:rPr>
            </w:pPr>
            <w:r>
              <w:rPr>
                <w:rFonts w:ascii="Arial" w:cs="Arial" w:eastAsia="Arial" w:hAnsi="Arial"/>
                <w:sz w:val="15"/>
                <w:szCs w:val="15"/>
                <w:color w:val="auto"/>
              </w:rPr>
              <w:t>Executive Vice President and Chief Financial Officer</w:t>
            </w:r>
          </w:p>
        </w:tc>
      </w:tr>
      <w:tr>
        <w:trPr>
          <w:trHeight w:val="188"/>
        </w:trPr>
        <w:tc>
          <w:tcPr>
            <w:tcW w:w="4500" w:type="dxa"/>
            <w:vAlign w:val="bottom"/>
            <w:gridSpan w:val="3"/>
          </w:tcPr>
          <w:p>
            <w:pPr>
              <w:spacing w:after="0"/>
              <w:rPr>
                <w:sz w:val="20"/>
                <w:szCs w:val="20"/>
                <w:color w:val="auto"/>
              </w:rPr>
            </w:pPr>
            <w:r>
              <w:rPr>
                <w:rFonts w:ascii="Arial" w:cs="Arial" w:eastAsia="Arial" w:hAnsi="Arial"/>
                <w:sz w:val="15"/>
                <w:szCs w:val="15"/>
                <w:color w:val="auto"/>
              </w:rPr>
              <w:t>Barry Rowan</w:t>
            </w:r>
          </w:p>
        </w:tc>
        <w:tc>
          <w:tcPr>
            <w:tcW w:w="4260" w:type="dxa"/>
            <w:vAlign w:val="bottom"/>
            <w:gridSpan w:val="3"/>
          </w:tcPr>
          <w:p>
            <w:pPr>
              <w:ind w:left="240"/>
              <w:spacing w:after="0"/>
              <w:rPr>
                <w:sz w:val="20"/>
                <w:szCs w:val="20"/>
                <w:color w:val="auto"/>
              </w:rPr>
            </w:pPr>
            <w:r>
              <w:rPr>
                <w:rFonts w:ascii="Arial" w:cs="Arial" w:eastAsia="Arial" w:hAnsi="Arial"/>
                <w:sz w:val="15"/>
                <w:szCs w:val="15"/>
                <w:color w:val="auto"/>
              </w:rPr>
              <w:t>(Principal Financial Officer)</w:t>
            </w:r>
          </w:p>
        </w:tc>
      </w:tr>
      <w:tr>
        <w:trPr>
          <w:trHeight w:val="21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Michael P. Bayer</w:t>
            </w:r>
          </w:p>
        </w:tc>
        <w:tc>
          <w:tcPr>
            <w:tcW w:w="4260" w:type="dxa"/>
            <w:vAlign w:val="bottom"/>
            <w:gridSpan w:val="3"/>
          </w:tcPr>
          <w:p>
            <w:pPr>
              <w:ind w:left="240"/>
              <w:spacing w:after="0"/>
              <w:rPr>
                <w:sz w:val="20"/>
                <w:szCs w:val="20"/>
                <w:color w:val="auto"/>
              </w:rPr>
            </w:pPr>
            <w:r>
              <w:rPr>
                <w:rFonts w:ascii="Arial" w:cs="Arial" w:eastAsia="Arial" w:hAnsi="Arial"/>
                <w:sz w:val="15"/>
                <w:szCs w:val="15"/>
                <w:color w:val="auto"/>
                <w:w w:val="96"/>
              </w:rPr>
              <w:t>Senior Vice President, Controller and Chief Accounting Officer</w:t>
            </w:r>
          </w:p>
        </w:tc>
      </w:tr>
      <w:tr>
        <w:trPr>
          <w:trHeight w:val="188"/>
        </w:trPr>
        <w:tc>
          <w:tcPr>
            <w:tcW w:w="4500" w:type="dxa"/>
            <w:vAlign w:val="bottom"/>
            <w:gridSpan w:val="3"/>
          </w:tcPr>
          <w:p>
            <w:pPr>
              <w:spacing w:after="0"/>
              <w:rPr>
                <w:sz w:val="20"/>
                <w:szCs w:val="20"/>
                <w:color w:val="auto"/>
              </w:rPr>
            </w:pPr>
            <w:r>
              <w:rPr>
                <w:rFonts w:ascii="Arial" w:cs="Arial" w:eastAsia="Arial" w:hAnsi="Arial"/>
                <w:sz w:val="15"/>
                <w:szCs w:val="15"/>
                <w:color w:val="auto"/>
              </w:rPr>
              <w:t>Michael P. Bayer</w:t>
            </w:r>
          </w:p>
        </w:tc>
        <w:tc>
          <w:tcPr>
            <w:tcW w:w="4260" w:type="dxa"/>
            <w:vAlign w:val="bottom"/>
            <w:gridSpan w:val="3"/>
          </w:tcPr>
          <w:p>
            <w:pPr>
              <w:ind w:left="240"/>
              <w:spacing w:after="0"/>
              <w:rPr>
                <w:sz w:val="20"/>
                <w:szCs w:val="20"/>
                <w:color w:val="auto"/>
              </w:rPr>
            </w:pPr>
            <w:r>
              <w:rPr>
                <w:rFonts w:ascii="Arial" w:cs="Arial" w:eastAsia="Arial" w:hAnsi="Arial"/>
                <w:sz w:val="15"/>
                <w:szCs w:val="15"/>
                <w:color w:val="auto"/>
              </w:rPr>
              <w:t>(Principal Accounting Officer)</w:t>
            </w:r>
          </w:p>
        </w:tc>
      </w:tr>
      <w:tr>
        <w:trPr>
          <w:trHeight w:val="21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Robert L. Crandall</w:t>
            </w:r>
          </w:p>
        </w:tc>
        <w:tc>
          <w:tcPr>
            <w:tcW w:w="4260" w:type="dxa"/>
            <w:vAlign w:val="bottom"/>
            <w:gridSpan w:val="3"/>
          </w:tcPr>
          <w:p>
            <w:pPr>
              <w:ind w:left="240"/>
              <w:spacing w:after="0"/>
              <w:rPr>
                <w:sz w:val="20"/>
                <w:szCs w:val="20"/>
                <w:color w:val="auto"/>
              </w:rPr>
            </w:pPr>
            <w:r>
              <w:rPr>
                <w:rFonts w:ascii="Arial" w:cs="Arial" w:eastAsia="Arial" w:hAnsi="Arial"/>
                <w:sz w:val="15"/>
                <w:szCs w:val="15"/>
                <w:color w:val="auto"/>
              </w:rPr>
              <w:t>Director</w:t>
            </w:r>
          </w:p>
        </w:tc>
      </w:tr>
      <w:tr>
        <w:trPr>
          <w:trHeight w:val="188"/>
        </w:trPr>
        <w:tc>
          <w:tcPr>
            <w:tcW w:w="4500" w:type="dxa"/>
            <w:vAlign w:val="bottom"/>
            <w:gridSpan w:val="3"/>
          </w:tcPr>
          <w:p>
            <w:pPr>
              <w:spacing w:after="0"/>
              <w:rPr>
                <w:sz w:val="20"/>
                <w:szCs w:val="20"/>
                <w:color w:val="auto"/>
              </w:rPr>
            </w:pPr>
            <w:r>
              <w:rPr>
                <w:rFonts w:ascii="Arial" w:cs="Arial" w:eastAsia="Arial" w:hAnsi="Arial"/>
                <w:sz w:val="15"/>
                <w:szCs w:val="15"/>
                <w:color w:val="auto"/>
              </w:rPr>
              <w:t>Robert L. Crandall</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Hugh W. Jones</w:t>
            </w:r>
          </w:p>
        </w:tc>
        <w:tc>
          <w:tcPr>
            <w:tcW w:w="4260" w:type="dxa"/>
            <w:vAlign w:val="bottom"/>
            <w:gridSpan w:val="3"/>
          </w:tcPr>
          <w:p>
            <w:pPr>
              <w:ind w:left="240"/>
              <w:spacing w:after="0"/>
              <w:rPr>
                <w:sz w:val="20"/>
                <w:szCs w:val="20"/>
                <w:color w:val="auto"/>
              </w:rPr>
            </w:pPr>
            <w:r>
              <w:rPr>
                <w:rFonts w:ascii="Arial" w:cs="Arial" w:eastAsia="Arial" w:hAnsi="Arial"/>
                <w:sz w:val="15"/>
                <w:szCs w:val="15"/>
                <w:color w:val="auto"/>
              </w:rPr>
              <w:t>Lead Independent Director</w:t>
            </w:r>
          </w:p>
        </w:tc>
      </w:tr>
      <w:tr>
        <w:trPr>
          <w:trHeight w:val="188"/>
        </w:trPr>
        <w:tc>
          <w:tcPr>
            <w:tcW w:w="4500" w:type="dxa"/>
            <w:vAlign w:val="bottom"/>
            <w:gridSpan w:val="3"/>
          </w:tcPr>
          <w:p>
            <w:pPr>
              <w:spacing w:after="0"/>
              <w:rPr>
                <w:sz w:val="20"/>
                <w:szCs w:val="20"/>
                <w:color w:val="auto"/>
              </w:rPr>
            </w:pPr>
            <w:r>
              <w:rPr>
                <w:rFonts w:ascii="Arial" w:cs="Arial" w:eastAsia="Arial" w:hAnsi="Arial"/>
                <w:sz w:val="15"/>
                <w:szCs w:val="15"/>
                <w:color w:val="auto"/>
              </w:rPr>
              <w:t>Hugh W. Jones</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Michele Coleman Mayes</w:t>
            </w:r>
          </w:p>
        </w:tc>
        <w:tc>
          <w:tcPr>
            <w:tcW w:w="4260" w:type="dxa"/>
            <w:vAlign w:val="bottom"/>
            <w:gridSpan w:val="3"/>
          </w:tcPr>
          <w:p>
            <w:pPr>
              <w:ind w:left="240"/>
              <w:spacing w:after="0"/>
              <w:rPr>
                <w:sz w:val="20"/>
                <w:szCs w:val="20"/>
                <w:color w:val="auto"/>
              </w:rPr>
            </w:pPr>
            <w:r>
              <w:rPr>
                <w:rFonts w:ascii="Arial" w:cs="Arial" w:eastAsia="Arial" w:hAnsi="Arial"/>
                <w:sz w:val="15"/>
                <w:szCs w:val="15"/>
                <w:color w:val="auto"/>
              </w:rPr>
              <w:t>Director</w:t>
            </w:r>
          </w:p>
        </w:tc>
      </w:tr>
      <w:tr>
        <w:trPr>
          <w:trHeight w:val="188"/>
        </w:trPr>
        <w:tc>
          <w:tcPr>
            <w:tcW w:w="4500" w:type="dxa"/>
            <w:vAlign w:val="bottom"/>
            <w:gridSpan w:val="3"/>
          </w:tcPr>
          <w:p>
            <w:pPr>
              <w:spacing w:after="0"/>
              <w:rPr>
                <w:sz w:val="20"/>
                <w:szCs w:val="20"/>
                <w:color w:val="auto"/>
              </w:rPr>
            </w:pPr>
            <w:r>
              <w:rPr>
                <w:rFonts w:ascii="Arial" w:cs="Arial" w:eastAsia="Arial" w:hAnsi="Arial"/>
                <w:sz w:val="15"/>
                <w:szCs w:val="15"/>
                <w:color w:val="auto"/>
              </w:rPr>
              <w:t>Michele Coleman Mayes</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Robert H. Mundheim</w:t>
            </w:r>
          </w:p>
        </w:tc>
        <w:tc>
          <w:tcPr>
            <w:tcW w:w="4260" w:type="dxa"/>
            <w:vAlign w:val="bottom"/>
            <w:gridSpan w:val="3"/>
          </w:tcPr>
          <w:p>
            <w:pPr>
              <w:ind w:left="240"/>
              <w:spacing w:after="0"/>
              <w:rPr>
                <w:sz w:val="20"/>
                <w:szCs w:val="20"/>
                <w:color w:val="auto"/>
              </w:rPr>
            </w:pPr>
            <w:r>
              <w:rPr>
                <w:rFonts w:ascii="Arial" w:cs="Arial" w:eastAsia="Arial" w:hAnsi="Arial"/>
                <w:sz w:val="15"/>
                <w:szCs w:val="15"/>
                <w:color w:val="auto"/>
              </w:rPr>
              <w:t>Director</w:t>
            </w:r>
          </w:p>
        </w:tc>
      </w:tr>
      <w:tr>
        <w:trPr>
          <w:trHeight w:val="188"/>
        </w:trPr>
        <w:tc>
          <w:tcPr>
            <w:tcW w:w="4500" w:type="dxa"/>
            <w:vAlign w:val="bottom"/>
            <w:gridSpan w:val="3"/>
          </w:tcPr>
          <w:p>
            <w:pPr>
              <w:spacing w:after="0"/>
              <w:rPr>
                <w:sz w:val="20"/>
                <w:szCs w:val="20"/>
                <w:color w:val="auto"/>
              </w:rPr>
            </w:pPr>
            <w:r>
              <w:rPr>
                <w:rFonts w:ascii="Arial" w:cs="Arial" w:eastAsia="Arial" w:hAnsi="Arial"/>
                <w:sz w:val="15"/>
                <w:szCs w:val="15"/>
                <w:color w:val="auto"/>
              </w:rPr>
              <w:t>Robert H. Mundheim</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Christopher D. Payne</w:t>
            </w:r>
          </w:p>
        </w:tc>
        <w:tc>
          <w:tcPr>
            <w:tcW w:w="4260" w:type="dxa"/>
            <w:vAlign w:val="bottom"/>
            <w:gridSpan w:val="3"/>
          </w:tcPr>
          <w:p>
            <w:pPr>
              <w:ind w:left="240"/>
              <w:spacing w:after="0"/>
              <w:rPr>
                <w:sz w:val="20"/>
                <w:szCs w:val="20"/>
                <w:color w:val="auto"/>
              </w:rPr>
            </w:pPr>
            <w:r>
              <w:rPr>
                <w:rFonts w:ascii="Arial" w:cs="Arial" w:eastAsia="Arial" w:hAnsi="Arial"/>
                <w:sz w:val="15"/>
                <w:szCs w:val="15"/>
                <w:color w:val="auto"/>
              </w:rPr>
              <w:t>Director</w:t>
            </w:r>
          </w:p>
        </w:tc>
      </w:tr>
      <w:tr>
        <w:trPr>
          <w:trHeight w:val="188"/>
        </w:trPr>
        <w:tc>
          <w:tcPr>
            <w:tcW w:w="4500" w:type="dxa"/>
            <w:vAlign w:val="bottom"/>
            <w:gridSpan w:val="3"/>
          </w:tcPr>
          <w:p>
            <w:pPr>
              <w:spacing w:after="0"/>
              <w:rPr>
                <w:sz w:val="20"/>
                <w:szCs w:val="20"/>
                <w:color w:val="auto"/>
              </w:rPr>
            </w:pPr>
            <w:r>
              <w:rPr>
                <w:rFonts w:ascii="Arial" w:cs="Arial" w:eastAsia="Arial" w:hAnsi="Arial"/>
                <w:sz w:val="15"/>
                <w:szCs w:val="15"/>
                <w:color w:val="auto"/>
              </w:rPr>
              <w:t>Christopher D. Payne</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Charles C. Townsend</w:t>
            </w:r>
          </w:p>
        </w:tc>
        <w:tc>
          <w:tcPr>
            <w:tcW w:w="4260" w:type="dxa"/>
            <w:vAlign w:val="bottom"/>
            <w:gridSpan w:val="3"/>
          </w:tcPr>
          <w:p>
            <w:pPr>
              <w:ind w:left="240"/>
              <w:spacing w:after="0"/>
              <w:rPr>
                <w:sz w:val="20"/>
                <w:szCs w:val="20"/>
                <w:color w:val="auto"/>
              </w:rPr>
            </w:pPr>
            <w:r>
              <w:rPr>
                <w:rFonts w:ascii="Arial" w:cs="Arial" w:eastAsia="Arial" w:hAnsi="Arial"/>
                <w:sz w:val="15"/>
                <w:szCs w:val="15"/>
                <w:color w:val="auto"/>
              </w:rPr>
              <w:t>Director</w:t>
            </w:r>
          </w:p>
        </w:tc>
      </w:tr>
      <w:tr>
        <w:trPr>
          <w:trHeight w:val="188"/>
        </w:trPr>
        <w:tc>
          <w:tcPr>
            <w:tcW w:w="4500" w:type="dxa"/>
            <w:vAlign w:val="bottom"/>
            <w:gridSpan w:val="3"/>
          </w:tcPr>
          <w:p>
            <w:pPr>
              <w:spacing w:after="0"/>
              <w:rPr>
                <w:sz w:val="20"/>
                <w:szCs w:val="20"/>
                <w:color w:val="auto"/>
              </w:rPr>
            </w:pPr>
            <w:r>
              <w:rPr>
                <w:rFonts w:ascii="Arial" w:cs="Arial" w:eastAsia="Arial" w:hAnsi="Arial"/>
                <w:sz w:val="15"/>
                <w:szCs w:val="15"/>
                <w:color w:val="auto"/>
              </w:rPr>
              <w:t>Charles C. Townsend</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1"/>
        </w:trPr>
        <w:tc>
          <w:tcPr>
            <w:tcW w:w="450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Harris N. Williams</w:t>
            </w:r>
          </w:p>
        </w:tc>
        <w:tc>
          <w:tcPr>
            <w:tcW w:w="4260" w:type="dxa"/>
            <w:vAlign w:val="bottom"/>
            <w:gridSpan w:val="3"/>
          </w:tcPr>
          <w:p>
            <w:pPr>
              <w:ind w:left="240"/>
              <w:spacing w:after="0"/>
              <w:rPr>
                <w:sz w:val="20"/>
                <w:szCs w:val="20"/>
                <w:color w:val="auto"/>
              </w:rPr>
            </w:pPr>
            <w:r>
              <w:rPr>
                <w:rFonts w:ascii="Arial" w:cs="Arial" w:eastAsia="Arial" w:hAnsi="Arial"/>
                <w:sz w:val="15"/>
                <w:szCs w:val="15"/>
                <w:color w:val="auto"/>
              </w:rPr>
              <w:t>Director</w:t>
            </w:r>
          </w:p>
        </w:tc>
      </w:tr>
      <w:tr>
        <w:trPr>
          <w:trHeight w:val="188"/>
        </w:trPr>
        <w:tc>
          <w:tcPr>
            <w:tcW w:w="4500" w:type="dxa"/>
            <w:vAlign w:val="bottom"/>
            <w:gridSpan w:val="3"/>
          </w:tcPr>
          <w:p>
            <w:pPr>
              <w:spacing w:after="0"/>
              <w:rPr>
                <w:sz w:val="20"/>
                <w:szCs w:val="20"/>
                <w:color w:val="auto"/>
              </w:rPr>
            </w:pPr>
            <w:r>
              <w:rPr>
                <w:rFonts w:ascii="Arial" w:cs="Arial" w:eastAsia="Arial" w:hAnsi="Arial"/>
                <w:sz w:val="15"/>
                <w:szCs w:val="15"/>
                <w:color w:val="auto"/>
              </w:rPr>
              <w:t>Harris N. Williams</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440"/>
        </w:trPr>
        <w:tc>
          <w:tcPr>
            <w:tcW w:w="1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40" w:type="dxa"/>
            <w:vAlign w:val="bottom"/>
          </w:tcPr>
          <w:p>
            <w:pPr>
              <w:ind w:left="980"/>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4.10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 AND 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Gogo Inc. (“we” or the “Company”) has two classes of securities registered under Section 12 of the Securities Exchange Act of 1934, as amended (the “Exchange Act”): (i) common stock, par value $0.0001 per share (the “common stock”), and (ii) preferred stock purchase rights (the “Rights”).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Our authorized capital stock consists of 500,000,000 shares of common stock and 100,000,000 shares of preferred stock, par value $0.01 per share.</w:t>
      </w:r>
    </w:p>
    <w:p>
      <w:pPr>
        <w:spacing w:after="0" w:line="237"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The following descriptions of our capital stock and provisions of our third amended and restated certificate of incorporation (the “amended and restated certificate of incorporation”), amended and restated bylaws, (the “amended and restated bylaws”), and the Section 382 Rights Agreement, dated as of September 23, 2020, between the Company and Computershare Trust Company, N.A., as rights agent (the “Rights Agreement”) are summaries of their material terms and provisions. This description is summarized from, and qualified in its entirety by reference to, our amended and restated certificate of incorporation, our amended and restated bylaws, and the Rights Agreement, which have been publicly filed with the SEC.</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Holders of common stock are entitled to: cast one vote for each share held of record on all matters submitted to a vote of the stockholders; receive, on a pro rata basis, dividends and distributions, if any, that the board of directors may declare out of legally available funds, subject to preferences that may be applicable to preferred stock, if any, then outstanding; and upon our liquidation, dissolution or winding up, share equally and ratably in any assets remaining after the payment of all debt and other liabilities, subject to the prior rights, if any, of holders of any outstanding shares of preferred stock. Any dividends declared on our common stock will not be cumulative.</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holders of our common stock do not have any preemptive, cumulative voting, subscription, conversion, redemption or sinking fund rights. Our common stock is not subject to future calls or assessments by us. Except as otherwise required by law, holders of common stock are not entitled to vote on any amendment or certificate of designation relating to the terms of any series of preferred stock if the holders of the affected series are entitled to vote on such amendment or certificate of designation under the certificate of incorporation.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Our board of directors has the authority to issue preferred stock in one or more series and to fix the number of shares constituting any such series and the voting rights, designations, preferences and qualifications, limitations and restrictions of the shares constituting any series, without any further vote or action by our stockholders. The issuance of preferred stock by our board of directors could adversely affect the rights of holders of common stock.</w:t>
      </w:r>
    </w:p>
    <w:p>
      <w:pPr>
        <w:spacing w:after="0" w:line="1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will fix or designate the rights, preferences, privileges and restrictions, including dividend rights, voting rights, terms of redemption, retirement and sinking fund provisions and liquidation preferences, if any, of a series of preferred stock through a certificate of designation adopted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1006543470v4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provisions of our amended and restated certificate of incorporation and amended and restated bylaws and of the Delaware General Corporation Law summarized below may have an anti-takeover effect and may delay, defer or prevent a tender offer or takeover attempt that you might consider in your best interest, including an attempt that might result in your receipt of a premium over the market price for your shares. These provisions are also designed, in part, to encourage persons seeking to acquire control of us to first negotiate with our board of directors, which could result in an improvement of their terms. As a result, stockholders who might desire to participate in such a transaction may not have an opportunity to do so.</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Classified Board of Directors</w:t>
      </w:r>
      <w:r>
        <w:rPr>
          <w:rFonts w:ascii="Arial" w:cs="Arial" w:eastAsia="Arial" w:hAnsi="Arial"/>
          <w:sz w:val="17"/>
          <w:szCs w:val="17"/>
          <w:color w:val="auto"/>
        </w:rPr>
        <w:t>. Our board of directors is divided into three classes, class I, class II and class III, with members of each class serving</w:t>
      </w:r>
      <w:r>
        <w:rPr>
          <w:rFonts w:ascii="Arial" w:cs="Arial" w:eastAsia="Arial" w:hAnsi="Arial"/>
          <w:sz w:val="17"/>
          <w:szCs w:val="17"/>
          <w:i w:val="1"/>
          <w:iCs w:val="1"/>
          <w:color w:val="auto"/>
        </w:rPr>
        <w:t xml:space="preserve"> </w:t>
      </w:r>
      <w:r>
        <w:rPr>
          <w:rFonts w:ascii="Arial" w:cs="Arial" w:eastAsia="Arial" w:hAnsi="Arial"/>
          <w:sz w:val="17"/>
          <w:szCs w:val="17"/>
          <w:color w:val="auto"/>
        </w:rPr>
        <w:t>staggered three-year terms. Our amended and restated certificate of incorporation provides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Our amended and restated certificate of incorporation and our amended and restated bylaws also provide that our directors may be removed only for cause by the affirmative vote of the holders of at least a majority of our voting stock, and that any vacancy on our board of directors, including a vacancy resulting from an enlargement of our board of directors, may be filled only by vote of a majority of our directors then in office. Our classified board of directors could have the effect of delaying or discouraging an acquisition of us or a change in our management.</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Special Meetings of Stockholders</w:t>
      </w:r>
      <w:r>
        <w:rPr>
          <w:rFonts w:ascii="Arial" w:cs="Arial" w:eastAsia="Arial" w:hAnsi="Arial"/>
          <w:sz w:val="18"/>
          <w:szCs w:val="18"/>
          <w:color w:val="auto"/>
        </w:rPr>
        <w:t>. Our amended and restated bylaws provide that a special meeting of stockholders may be called only by the chairman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or by a resolution adopted by a majority of our board of directors. Stockholders are not permitted to call a special meeting of stockholders, to require that the chairman call such a special meeting, or to require that our board of directors request the calling of a special meeting of stockholders, which may delay the ability of our stockholders to force consideration of a proposal or for holders controlling a majority of our capital stock to take any action, including the removal of directors.</w:t>
      </w:r>
    </w:p>
    <w:p>
      <w:pPr>
        <w:spacing w:after="0" w:line="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No Stockholder Action by Written Consent</w:t>
      </w:r>
      <w:r>
        <w:rPr>
          <w:rFonts w:ascii="Arial" w:cs="Arial" w:eastAsia="Arial" w:hAnsi="Arial"/>
          <w:sz w:val="17"/>
          <w:szCs w:val="17"/>
          <w:color w:val="auto"/>
        </w:rPr>
        <w:t>. Our amended and restated certificate of incorporation provides that stockholder action may be taken only at an</w:t>
      </w:r>
      <w:r>
        <w:rPr>
          <w:rFonts w:ascii="Arial" w:cs="Arial" w:eastAsia="Arial" w:hAnsi="Arial"/>
          <w:sz w:val="17"/>
          <w:szCs w:val="17"/>
          <w:i w:val="1"/>
          <w:iCs w:val="1"/>
          <w:color w:val="auto"/>
        </w:rPr>
        <w:t xml:space="preserve"> </w:t>
      </w:r>
      <w:r>
        <w:rPr>
          <w:rFonts w:ascii="Arial" w:cs="Arial" w:eastAsia="Arial" w:hAnsi="Arial"/>
          <w:sz w:val="17"/>
          <w:szCs w:val="17"/>
          <w:color w:val="auto"/>
        </w:rPr>
        <w:t>annual meeting or special meeting of stockholders and may not be taken by written consent in lieu of a meeting, unless the action to be taken by written consent of stockholders and the taking of this action by written consent has been expressly approved in advance by the board of directors. Failure to satisfy any of the requirements for a stockholder meeting could delay, prevent or invalidate stockholder action.</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Stockholder Advance Notice Procedure</w:t>
      </w:r>
      <w:r>
        <w:rPr>
          <w:rFonts w:ascii="Arial" w:cs="Arial" w:eastAsia="Arial" w:hAnsi="Arial"/>
          <w:sz w:val="17"/>
          <w:szCs w:val="17"/>
          <w:color w:val="auto"/>
        </w:rPr>
        <w:t>. Our amended and restated bylaws establish an advance notice procedure for stockholders to make nominations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election as directors or to bring other business before an annual meeting of our stockholders. The amended and restated bylaws provide that any stockholder wishing to nominate persons for election as directors at, or bring other business before, an annual meeting must deliver to our secretary a written notice of the stockholder’s intention to do so.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 To be timely, the stockholder’s notice must be delivered to or mailed and received by us not less than 90 days nor more than 120 days before the anniversary date of the preceding annual meeting, except that if the annual meeting is set for a date that is not within 30 days before or 60 days after such anniversary date, we must receive the notice not later than the close of business on the fifth day following the day on which we provide the notice or public disclosure of the date of the meeting. The notice must include the following information:</w:t>
      </w:r>
    </w:p>
    <w:p>
      <w:pPr>
        <w:spacing w:after="0" w:line="77" w:lineRule="exact"/>
        <w:rPr>
          <w:sz w:val="20"/>
          <w:szCs w:val="20"/>
          <w:color w:val="auto"/>
        </w:rPr>
      </w:pPr>
    </w:p>
    <w:p>
      <w:pPr>
        <w:ind w:left="920" w:right="660" w:hanging="453"/>
        <w:spacing w:after="0" w:line="277" w:lineRule="auto"/>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name and address of the stockholder who intends to make the nomination and the name and address of the person or persons to be nominated or the nature of the business to be proposed;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0" w:name="page131"/>
    <w:bookmarkEnd w:id="130"/>
    <w:p>
      <w:pPr>
        <w:ind w:left="920" w:hanging="453"/>
        <w:spacing w:after="0" w:line="308" w:lineRule="auto"/>
        <w:tabs>
          <w:tab w:leader="none" w:pos="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representation that the stockholder is a holder of record of our capital stock entitled to vote at such meeting and intends to appear in person or by proxy at the meeting to nominate the person or persons or to introduce the business specified in the notice;</w:t>
      </w:r>
    </w:p>
    <w:p>
      <w:pPr>
        <w:spacing w:after="0" w:line="38" w:lineRule="exact"/>
        <w:rPr>
          <w:rFonts w:ascii="Arial" w:cs="Arial" w:eastAsia="Arial" w:hAnsi="Arial"/>
          <w:sz w:val="17"/>
          <w:szCs w:val="17"/>
          <w:color w:val="auto"/>
        </w:rPr>
      </w:pPr>
    </w:p>
    <w:p>
      <w:pPr>
        <w:ind w:left="920" w:right="120" w:hanging="453"/>
        <w:spacing w:after="0" w:line="277" w:lineRule="auto"/>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applicable, a description of all arrangements or understandings between the stockholder and each nominee and any other person or persons, naming such person or persons, pursuant to which the nomination is to be made by the stockholder;</w:t>
      </w:r>
    </w:p>
    <w:p>
      <w:pPr>
        <w:spacing w:after="0" w:line="62" w:lineRule="exact"/>
        <w:rPr>
          <w:rFonts w:ascii="Arial" w:cs="Arial" w:eastAsia="Arial" w:hAnsi="Arial"/>
          <w:sz w:val="18"/>
          <w:szCs w:val="18"/>
          <w:color w:val="auto"/>
        </w:rPr>
      </w:pPr>
    </w:p>
    <w:p>
      <w:pPr>
        <w:ind w:left="920" w:right="40" w:hanging="453"/>
        <w:spacing w:after="0" w:line="263" w:lineRule="auto"/>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other information regarding each nominee or each matter of business to be proposed by such stockholder as would be required to be included in a proxy statement filed under the SEC’s proxy rules if the nominee had been nominated, or intended to be nominated, or the matter had been proposed, or intended to be proposed, by the board of directors;</w:t>
      </w:r>
    </w:p>
    <w:p>
      <w:pPr>
        <w:spacing w:after="0" w:line="75" w:lineRule="exact"/>
        <w:rPr>
          <w:rFonts w:ascii="Arial" w:cs="Arial" w:eastAsia="Arial" w:hAnsi="Arial"/>
          <w:sz w:val="18"/>
          <w:szCs w:val="18"/>
          <w:color w:val="auto"/>
        </w:rPr>
      </w:pPr>
    </w:p>
    <w:p>
      <w:pPr>
        <w:ind w:left="920" w:hanging="453"/>
        <w:spacing w:after="0"/>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applicable, the consent of each nominee to serve as a director if elected; and</w:t>
      </w:r>
    </w:p>
    <w:p>
      <w:pPr>
        <w:spacing w:after="0" w:line="117" w:lineRule="exact"/>
        <w:rPr>
          <w:rFonts w:ascii="Arial" w:cs="Arial" w:eastAsia="Arial" w:hAnsi="Arial"/>
          <w:sz w:val="18"/>
          <w:szCs w:val="18"/>
          <w:color w:val="auto"/>
        </w:rPr>
      </w:pPr>
    </w:p>
    <w:p>
      <w:pPr>
        <w:ind w:left="920" w:hanging="453"/>
        <w:spacing w:after="0"/>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other information that the board of directors may request in its discretion.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Ownership by Foreign Entities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Communications Act of 1934 (the “Communications Act”) and Federal Communications Commission (“FCC”) regulations impose restrictions on foreign ownership of FCC licensees. These requirements generally forbid more than 20% ownership or control of an FCC licensee by non-U.S. citizens directly and more than 25% ownership of a licensee indirectly (e.g., through a parent company) by non-U.S. citizens. Since we serve as a holding company for our FCC licensee subsidiary, AC BidCo LLC, we are effectively restricted from having more than 25% of our stock owned or voted directly or indirectly by foreign individuals or entities, including corporations, partnerships or limited liability companies. The FCC may, in certain circumstances and upon application for prior approval by the FCC, authorize foreign ownership in the licensee’s parent in excess of these percentages if the FCC finds it to be in the public interest. Our amended and restated certificate of incorporation and amended and restated bylaws include provisions that permit our board of directors to take certain actions in order to comply with FCC regulations regarding foreign ownership, including but not limited to, a right to redeem shares of common stock from non-U.S. citizens.</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the extent necessary to comply with the Communications Act and FCC rules and policies, our board of directors may: (i) redeem shares of our common stock sufficient to eliminate any violation of FCC rules and regulations on the terms and conditions set forth in our amended and restated certificate of incorporation; (ii) take any action it believes necessary to prohibit the ownership or voting of more than 25% of our outstanding capital stock in the aggregate by or for the account of non-United States citizens or their representatives or by a foreign government or representative thereof or by any entity organized under the laws of a foreign country (collectively, “Aliens”), or by any other entity (a) that is subject to or deemed to be subject to control by Aliens on a de jure or de facto basis or (b) owned by, or held for the benefit of Aliens in a manner that would cause Gogo Inc. or AC BidCo LLC to be in violation of the Communications Act or FCC regulations; (iii) prohibit any transfer of our stock which we believe could cause more than 25% of our outstanding capital stock in the aggregate to be owned or voted by or for persons or entities identified in the foregoing clause (i); and (iv) prohibit the ownership, voting or transfer of any portion of our outstanding capital stock to the extent the ownership, voting or transfer of such portion would cause Gogo Inc. or AC BidCo LLC to violate or would otherwise result in violation of any provision of the Communications Act or FCC regulations.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amended and restated certificate of incorporation contains provisions permitted under Delaware General Corporation Law relating to the liability of directors. These provisions eliminate a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personal liability for monetary damages resulting from a breach of fiduciary duty, except in circumstances involving:</w:t>
      </w:r>
    </w:p>
    <w:p>
      <w:pPr>
        <w:spacing w:after="0" w:line="117" w:lineRule="exact"/>
        <w:rPr>
          <w:sz w:val="20"/>
          <w:szCs w:val="20"/>
          <w:color w:val="auto"/>
        </w:rPr>
      </w:pPr>
    </w:p>
    <w:p>
      <w:pPr>
        <w:ind w:left="920" w:hanging="453"/>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breach of the director’s duty of loyalty;</w:t>
      </w:r>
    </w:p>
    <w:p>
      <w:pPr>
        <w:spacing w:after="0" w:line="117" w:lineRule="exact"/>
        <w:rPr>
          <w:rFonts w:ascii="Arial" w:cs="Arial" w:eastAsia="Arial" w:hAnsi="Arial"/>
          <w:sz w:val="18"/>
          <w:szCs w:val="18"/>
          <w:color w:val="auto"/>
        </w:rPr>
      </w:pPr>
    </w:p>
    <w:p>
      <w:pPr>
        <w:ind w:left="920" w:hanging="453"/>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117" w:lineRule="exact"/>
        <w:rPr>
          <w:rFonts w:ascii="Arial" w:cs="Arial" w:eastAsia="Arial" w:hAnsi="Arial"/>
          <w:sz w:val="18"/>
          <w:szCs w:val="18"/>
          <w:color w:val="auto"/>
        </w:rPr>
      </w:pPr>
    </w:p>
    <w:p>
      <w:pPr>
        <w:ind w:left="920" w:hanging="453"/>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(unlawful dividends); or</w:t>
      </w:r>
    </w:p>
    <w:p>
      <w:pPr>
        <w:spacing w:after="0" w:line="117" w:lineRule="exact"/>
        <w:rPr>
          <w:rFonts w:ascii="Arial" w:cs="Arial" w:eastAsia="Arial" w:hAnsi="Arial"/>
          <w:sz w:val="18"/>
          <w:szCs w:val="18"/>
          <w:color w:val="auto"/>
        </w:rPr>
      </w:pPr>
    </w:p>
    <w:p>
      <w:pPr>
        <w:ind w:left="920" w:hanging="453"/>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1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principal effect of the limitation on liability provision is that a stockholder will be unable to prosecute an action for monetary damages against a director unless the stockholder can demonstrate a basis for liability for which indemnification is not available under the Delaware General Corporation Law. These provisions, however, should not limit or eliminate our rights or any stockholder’s rights to seek non-monetary relief, such as an injunction or rescission, in the event of a breach of director’s fiduciary duty. These provisions will not alter a director’s liability under federal securities laws. The inclusion of this provision in our amended and restated certificate of incorporation may discourage or deter stockholders or management from bringing a lawsuit against directors for a breach of their fiduciary duties, even though such an action, if successful, might otherwise have benefited us and our stockholders.</w:t>
      </w:r>
    </w:p>
    <w:p>
      <w:pPr>
        <w:spacing w:after="0" w:line="19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amended and restated bylaws require us to indemnify and advance expenses to our directors and officers to the fullest extent not prohibited by the Delaware General Corporation Law and other applicable law, except in the case of a proceeding instituted by the director without the approval of our board of directors. Our amended and restated bylaws provide that we are required to indemnify our directors and executive officers, to the fullest extent permitted by law, for all judgments, fines, settlements, legal fees and other expenses incurred in 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had no reasonable cause to believe his or her conduct was unlawful.</w:t>
      </w:r>
    </w:p>
    <w:p>
      <w:pPr>
        <w:spacing w:after="0" w:line="16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have also entered into an indemnification agreement with each of our directors and executive officers. The indemnification agreement provides our directors and executive officers with contractual rights to the indemnification and expense advancement rights provided under our amended and restated bylaws, as well as contractual rights to additional indemnification as provided in the indemnification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 Purchase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Date; Exercisability; Expiration</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Initially, the Rights will be attached to all common stock certificates (or other evidence of book-entry or other uncertificated ownership) and no separate certificates evidencing the Rights (“Right Certificates”) will be issued. Until the Distribution Date (as defined below), the Rights will be transferred with and only with the common stock. As long as the Rights are attached to the common stock, the Company will issue one Right with each new share of common stock so that all such common stock will have Rights attached (subject to certain limited exceptions).</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Rights will separate and begin trading separately from the common stock, and Right Certificates will be caused to evidence the Rights, on the earlier to occur of (i) the Close of Business (as such term is defined in the Rights Agreement) on the tenth day following a public announcement, or the public</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2" w:name="page133"/>
    <w:bookmarkEnd w:id="132"/>
    <w:p>
      <w:pPr>
        <w:ind w:right="60"/>
        <w:spacing w:after="0" w:line="290" w:lineRule="auto"/>
        <w:rPr>
          <w:sz w:val="20"/>
          <w:szCs w:val="20"/>
          <w:color w:val="auto"/>
        </w:rPr>
      </w:pPr>
      <w:r>
        <w:rPr>
          <w:rFonts w:ascii="Arial" w:cs="Arial" w:eastAsia="Arial" w:hAnsi="Arial"/>
          <w:sz w:val="16"/>
          <w:szCs w:val="16"/>
          <w:color w:val="auto"/>
        </w:rPr>
        <w:t>disclosure of facts indicating, that a person or group of affiliated or associated persons has acquired Beneficial Ownership of 4.9% or more of the outstanding common stock (an “Acquiring Person”) (or, in the event the board of directors determines to effect an exchange in accordance with Section 24 of the Rights Agreement and the board of directors determines that a later date is advisable, then such later date) and (ii) the Close of Business on the tenth Business Day (as such term is defined in the Rights Agreement) (or such later date as may be determined by action of the board of directors prior to such time as any person becomes an Acquiring Person) following the commencement of a tender offer or exchange offer the consummation of which would result in the Beneficial Ownership by a person or group of 4.9% or more of the outstanding common stock (the earlier of such dates, the “Distribution Date”). As soon as practicable after the Distribution Date, unless the Rights are recorded in book-entry or other uncertificated form, the Company will prepare and cause the Right Certificates to be sent to each record holder of common stock as of the Distribution Date.</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 “Acquiring Person” will not include (i) the Company, (ii) any Subsidiary (as such term is defined in the Rights Agreement) of the Company, (iii) any employee benefit plan of the Company or of any Subsidiary of the Company, (iv) any entity holding shares of common stock for or pursuant to the terms of any such employee benefit plan, (v) any officer, director or employee of the Company or any of its Subsidiaries solely in respect of such person’s status or authority as such or (vi) any “Grandfathered Stockholder” – i.e., a 4.9% or greater stockholder at the time the Rights Agreement was entered into. However, if a Grandfathered Stockholder becomes, after such time, the Beneficial Owner of any additional shares of common stock (regardless of whether, thereafter or as a result thereof, there is an increase, decrease or no change in the percentage of shares of common stock then outstanding Beneficially Owned (as such term is defined in the Rights Agreement) by such Grandfathered Stockholder) then such Grandfathered Stockholder shall be deemed to be an Acquiring Person unless, upon such acquisition of Beneficial Ownership of additional shares of common stock, such person is not the Beneficial Owner of 4.9% or more of the shares of common stock then outstanding. In addition, upon the first decrease of a Grandfathered Stockholder’s Beneficial Ownership below 4.9%, such Grandfathered Stockholder will no longer be deemed to be a Grandfathered Stockholder. In the event that after the time of the first public announcement of the Rights Agreement, any agreement, arrangement or understanding pursuant to which any Grandfathered Stockholder is deemed to be the Beneficial Owner of shares of common stock expires, is settled in whole or in part, terminates or no longer confers any benefit to or imposes any obligation on the Grandfathered Stockholder, any direct or indirect replacement, extension or substitution of such agreement, arrangement or understanding with respect to the same or different shares of common stock that confers Beneficial Ownership of shares of common stock shall be considered the acquisition of Beneficial Ownership of additional shares of common stock by the Grandfathered Stockholder and render such Grandfathered Stockholder an Acquiring Person for purposes of the Rights Agreement unless, upon such acquisition of Beneficial Ownership of additional shares of common stock, such person is not the Beneficial Owner of 4.9% or more of the shares of common stock then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“Beneficial Ownership” is defined in the Rights Agreement to include any securities (i) which a person or any of such person’s Affiliates or Associates</w:t>
      </w:r>
    </w:p>
    <w:p>
      <w:pPr>
        <w:spacing w:after="0" w:line="35" w:lineRule="exact"/>
        <w:rPr>
          <w:sz w:val="20"/>
          <w:szCs w:val="20"/>
          <w:color w:val="auto"/>
        </w:rPr>
      </w:pPr>
    </w:p>
    <w:p>
      <w:pPr>
        <w:ind w:firstLine="8"/>
        <w:spacing w:after="0" w:line="287" w:lineRule="auto"/>
        <w:tabs>
          <w:tab w:leader="none" w:pos="245"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actually owns (directly or indirectly) or would be deemed to actually or constructively own for purposes of Section 382 of the Code or the Treasury Regulations (as such terms are defined in the Rights Agreement) promulgated thereunder, including any coordinated acquisition of securities by any persons who have a formal or informal understanding with respect to such acquisition (to the extent ownership of such securities would be attributed to such persons under Section 382 of the Code and the Treasury Regulations promulgated thereunder), (b) beneficially owns, directly or indirectly, within the meaning of Rules 13d-3 or 13d-5 promulgated under the Exchange Act or (c) has the right or obligation to acquire, pursuant to any agreement, arrangement or understanding (except under limited circumstances) or (ii) which are the subject of, or reference securities for, or that underlie, certain derivative positions of any person or any of such person’s Affiliates or Associates; </w:t>
      </w:r>
      <w:r>
        <w:rPr>
          <w:rFonts w:ascii="Arial" w:cs="Arial" w:eastAsia="Arial" w:hAnsi="Arial"/>
          <w:sz w:val="16"/>
          <w:szCs w:val="16"/>
          <w:i w:val="1"/>
          <w:iCs w:val="1"/>
          <w:color w:val="auto"/>
        </w:rPr>
        <w:t>provided</w:t>
      </w:r>
      <w:r>
        <w:rPr>
          <w:rFonts w:ascii="Arial" w:cs="Arial" w:eastAsia="Arial" w:hAnsi="Arial"/>
          <w:sz w:val="16"/>
          <w:szCs w:val="16"/>
          <w:color w:val="auto"/>
        </w:rPr>
        <w:t>, that a person shall not be deemed to be the Beneficial Owner of, or to Beneficially Own, securities tendered pursuant to a tender or exchange offer made pursuant to, and in accordance with, the applicable rules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regulations promulgated under the Exchange Act until such tendered securities are accepted for purchase or exchange.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Rights are not exercisable until the Distribution Date. The Rights will expire on the earliest to occur of (i) the Close of Business on the day following the certification of the voting results of the Company’s 2021 annual meeting of stockholders, if at such stockholder meeting or any other meeting of stockholders of the Company duly held prior to such meeting, a proposal to ratify the Rights Agreement has not been passed by the requisite vote of the Company’s stockholders, (ii) the date on which the board of directors determines in its sole discretion that (x) the Rights Agreement is no longer necessary for the preservation of material valuable NOLs or Tax Attributes or (y) the NOLs and Tax Attributes have been fully utilized and may no longer be carried forward and (iii) the Close of Business on September 23, 2023 (the “Final Expiration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 Persons and Transactions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board of directors may, in its sole and absolute discretion, determine that a person is exempt from the Rights Agreement (an “Exempt Person”), so long as such determination is made prior to such time as such person becomes an Acquiring Person. Any person will cease to be an Exempt Person if the board of directors makes a contrary determination with respect to such person regardless of the reason therefor. In addition, the board of directors may, in its sole and absolute discretion, exempt any transaction from triggering the Rights Agreement, so long as the determination in respect of such exemption is made prior to such time as any person becomes an Acquiring Person. Any person, together with all Affiliates and Associates of such person, who proposes to acquire 4.9% or more of the outstanding common stock may apply to the board of directors in advance for an exemption in accordance with and pursuant to the terms of the Rights Agreement.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Flip-in Event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a person or group becomes an Acquiring Person at any time after the date of the Rights Agreement (with certain limited exceptions), the Rights will become exercisable for common stock having a value equal to two times the exercise price of the Right. From and after the announcement that any person has become an Acquiring Person, if the Rights evidenced by a Right Certificate are or were acquired or Beneficially Owned by an Acquiring Person or any Associate or Affiliate of an Acquiring Person, such Rights shall become void, and any holder of such Rights shall thereafter have no right to exercise such Rights. If the board of directors so elects, the Company may deliver upon payment of the exercise price of a Right an amount of cash, securities or other property equivalent in value to the common stock issuable upon exercise of a Right.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any time after any person becomes an Acquiring Person, the board of directors may exchange the Rights (other than Rights owned by any person which have become void), in whole or in part, at an exchange ratio of one share of common stock per Right (subject to adjustment). The Company may issue, transfer or deposit such common stock (or other property as permitted under the Rights Agreement) to or into a trust or other entity created upon such terms as the board of directors may determine and may direct that all holders of Rights receive such common stock or other property only from the trust or other entity. In the event that the board of directors determines, before the Distribution Date, to effect an exchange, the board of directors may delay the occurrence of the Distribution Date to such time as it deems advisable.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Flip-over Event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at any time after a person becomes an Acquiring Person, (i) the Company consolidates with, or merges with, any other person (or any person consolidates with, or merges with, the Company) and, in connection with such consolidation or merger, all or part of the shares of common stock are or will be changed into or exchanged for stock or other securities of any other person or cash or any other property or (ii) 50% or more of the Company’s consolidated assets or Earning Power (as defined in the Rights Agreement) is sold,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4" w:name="page135"/>
    <w:bookmarkEnd w:id="134"/>
    <w:p>
      <w:pPr>
        <w:spacing w:after="0" w:line="263" w:lineRule="auto"/>
        <w:rPr>
          <w:sz w:val="20"/>
          <w:szCs w:val="20"/>
          <w:color w:val="auto"/>
        </w:rPr>
      </w:pPr>
      <w:r>
        <w:rPr>
          <w:rFonts w:ascii="Arial" w:cs="Arial" w:eastAsia="Arial" w:hAnsi="Arial"/>
          <w:sz w:val="18"/>
          <w:szCs w:val="18"/>
          <w:color w:val="auto"/>
        </w:rPr>
        <w:t>then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At any time prior to the earlier to occur of (i) the Stock Acquisition Date (as defined in the Rights Agreement) and (ii) the Final Expiration Date, the board of directors may redeem the Rights in whole, but not in part, at a price of $0.001 per Right (the “Redemption Price”).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terms of the Rights may be amended by the board of directors without the consent of the holders of the Rights, except that at any time after the Close of Business on the tenth day following the Stock Acquisition Date (or, if the tenth day following the Stock Acquisition Date occurs before the Record Date, the Close of Business on the Record Date), no such amendment may adversely affect the interests of the holders of the Rights (other than the Acquiring person and its Affiliates and Associates).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Each one-thousandth of a Preferred Share will entitle the holder thereof to the same dividends and liquidation rights as if the holder held one share of common stock and will be treated the same as a share of common stock in the event of a merger, consolidation or other share exchange.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Holders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Until a Right is exercised, the holder thereof, as such, will have no rights as a stockholder of the Company, including, without limitation, the right to vote or to receive dividends.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rights agent for the Rights is Computershare Trust Company, N.A.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and the Rights are traded on The NASDAQ Global Select Market under the trading symbol “GOGO.”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49" w:right="339" w:bottom="1440" w:gutter="0" w:footer="0" w:header="0"/>
        </w:sectPr>
      </w:pPr>
    </w:p>
    <w:bookmarkStart w:id="135" w:name="page136"/>
    <w:bookmarkEnd w:id="135"/>
    <w:p>
      <w:pPr>
        <w:ind w:left="10060"/>
        <w:spacing w:after="0"/>
        <w:rPr>
          <w:sz w:val="20"/>
          <w:szCs w:val="20"/>
          <w:color w:val="auto"/>
        </w:rPr>
      </w:pPr>
      <w:r>
        <w:rPr>
          <w:rFonts w:ascii="Arial" w:cs="Arial" w:eastAsia="Arial" w:hAnsi="Arial"/>
          <w:sz w:val="18"/>
          <w:szCs w:val="18"/>
          <w:b w:val="1"/>
          <w:bCs w:val="1"/>
          <w:color w:val="auto"/>
        </w:rPr>
        <w:t>Exhibit 10.1.5</w:t>
      </w:r>
    </w:p>
    <w:p>
      <w:pPr>
        <w:spacing w:after="0" w:line="253" w:lineRule="exact"/>
        <w:rPr>
          <w:sz w:val="20"/>
          <w:szCs w:val="20"/>
          <w:color w:val="auto"/>
        </w:rPr>
      </w:pPr>
    </w:p>
    <w:p>
      <w:pPr>
        <w:jc w:val="center"/>
        <w:spacing w:after="0" w:line="246" w:lineRule="auto"/>
        <w:rPr>
          <w:sz w:val="20"/>
          <w:szCs w:val="20"/>
          <w:color w:val="auto"/>
        </w:rPr>
      </w:pPr>
      <w:r>
        <w:rPr>
          <w:rFonts w:ascii="Arial" w:cs="Arial" w:eastAsia="Arial" w:hAnsi="Arial"/>
          <w:sz w:val="20"/>
          <w:szCs w:val="20"/>
          <w:b w:val="1"/>
          <w:bCs w:val="1"/>
          <w:color w:val="auto"/>
        </w:rPr>
        <w:t>THE USE OF THE FOLLOWING NOTATION IN THIS EXHIBIT INDICATES THAT THE CONFIDENTIAL PORTION HAS BEEN OMITTED PURSUANT TO ITEM 601(b)(10)(iv) WHEREBY CERTAIN IDENTIFIED INFORMATION HAS BEEN EXCLUDED BECAUSE IT IS BOTH NOT MATERIAL AND WOULD LIKELY CAUSE COMPETITIVE HARM TO THE REGISTRANT IF PUBLICLY DISCLOSED: [***]</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Execution Copy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SERVICES AGREEMENT</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THIS MASTER SERVICES AGREEMENT (this “Agreement”) is made and entered into as of this November 25, 2019 (the “Effective Date”) by and between </w:t>
      </w:r>
      <w:r>
        <w:rPr>
          <w:rFonts w:ascii="Arial" w:cs="Arial" w:eastAsia="Arial" w:hAnsi="Arial"/>
          <w:sz w:val="20"/>
          <w:szCs w:val="20"/>
          <w:b w:val="1"/>
          <w:bCs w:val="1"/>
          <w:color w:val="auto"/>
        </w:rPr>
        <w:t>Gogo Business Aviation LLC</w:t>
      </w:r>
      <w:r>
        <w:rPr>
          <w:rFonts w:ascii="Arial" w:cs="Arial" w:eastAsia="Arial" w:hAnsi="Arial"/>
          <w:sz w:val="20"/>
          <w:szCs w:val="20"/>
          <w:color w:val="auto"/>
        </w:rPr>
        <w:t xml:space="preserve">, a Delaware limited liability company, having offices at 105 Edgeview Drive, Broomfield, CO 80021, and its Affiliates (collectively referred to as “Gogo”), and </w:t>
      </w:r>
      <w:r>
        <w:rPr>
          <w:rFonts w:ascii="Arial" w:cs="Arial" w:eastAsia="Arial" w:hAnsi="Arial"/>
          <w:sz w:val="20"/>
          <w:szCs w:val="20"/>
          <w:b w:val="1"/>
          <w:bCs w:val="1"/>
          <w:color w:val="auto"/>
        </w:rPr>
        <w:t>Airspan Networks Inc.,</w:t>
      </w:r>
      <w:r>
        <w:rPr>
          <w:rFonts w:ascii="Arial" w:cs="Arial" w:eastAsia="Arial" w:hAnsi="Arial"/>
          <w:sz w:val="20"/>
          <w:szCs w:val="20"/>
          <w:color w:val="auto"/>
        </w:rPr>
        <w:t xml:space="preserve"> a Delaware corporation, having its principal offices at 777 Yamato Road, Suite 310, Boca Raton FL 33431 (“Airspan”).</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WITNESSETH</w:t>
      </w:r>
      <w:r>
        <w:rPr>
          <w:rFonts w:ascii="Arial" w:cs="Arial" w:eastAsia="Arial" w:hAnsi="Arial"/>
          <w:sz w:val="20"/>
          <w:szCs w:val="20"/>
          <w:color w:val="auto"/>
        </w:rPr>
        <w:t>:</w:t>
      </w:r>
    </w:p>
    <w:p>
      <w:pPr>
        <w:spacing w:after="0" w:line="108" w:lineRule="exact"/>
        <w:rPr>
          <w:sz w:val="20"/>
          <w:szCs w:val="20"/>
          <w:color w:val="auto"/>
        </w:rPr>
      </w:pPr>
    </w:p>
    <w:p>
      <w:pPr>
        <w:ind w:left="760" w:right="1560"/>
        <w:spacing w:after="0" w:line="35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Gogo and its Affiliates desire from time to time to engage Airspan to perform certain services; and</w:t>
      </w:r>
      <w:r>
        <w:rPr>
          <w:rFonts w:ascii="Arial" w:cs="Arial" w:eastAsia="Arial" w:hAnsi="Arial"/>
          <w:sz w:val="20"/>
          <w:szCs w:val="20"/>
          <w:b w:val="1"/>
          <w:bCs w:val="1"/>
          <w:color w:val="auto"/>
        </w:rPr>
        <w:t xml:space="preserve"> WHEREAS, </w:t>
      </w:r>
      <w:r>
        <w:rPr>
          <w:rFonts w:ascii="Arial" w:cs="Arial" w:eastAsia="Arial" w:hAnsi="Arial"/>
          <w:sz w:val="20"/>
          <w:szCs w:val="20"/>
          <w:color w:val="auto"/>
        </w:rPr>
        <w:t>Airspan desires to perform such services for Gogo and its Affiliates.</w:t>
      </w:r>
    </w:p>
    <w:p>
      <w:pPr>
        <w:ind w:firstLine="749"/>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and the mutual covenants and agreements contained herein, the receipt</w:t>
      </w:r>
      <w:r>
        <w:rPr>
          <w:rFonts w:ascii="Arial" w:cs="Arial" w:eastAsia="Arial" w:hAnsi="Arial"/>
          <w:sz w:val="20"/>
          <w:szCs w:val="20"/>
          <w:b w:val="1"/>
          <w:bCs w:val="1"/>
          <w:color w:val="auto"/>
        </w:rPr>
        <w:t xml:space="preserve"> </w:t>
      </w:r>
      <w:r>
        <w:rPr>
          <w:rFonts w:ascii="Arial" w:cs="Arial" w:eastAsia="Arial" w:hAnsi="Arial"/>
          <w:sz w:val="20"/>
          <w:szCs w:val="20"/>
          <w:color w:val="auto"/>
        </w:rPr>
        <w:t>and sufficiency of which are acknowledged, the Parties hereto hereby agree as follows:</w:t>
      </w:r>
    </w:p>
    <w:p>
      <w:pPr>
        <w:spacing w:after="0" w:line="55" w:lineRule="exact"/>
        <w:rPr>
          <w:sz w:val="20"/>
          <w:szCs w:val="20"/>
          <w:color w:val="auto"/>
        </w:rPr>
      </w:pPr>
    </w:p>
    <w:p>
      <w:pPr>
        <w:ind w:left="760" w:hanging="752"/>
        <w:spacing w:after="0"/>
        <w:tabs>
          <w:tab w:leader="none" w:pos="760" w:val="left"/>
        </w:tabs>
        <w:numPr>
          <w:ilvl w:val="0"/>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 xml:space="preserve">. </w:t>
      </w:r>
      <w:r>
        <w:rPr>
          <w:rFonts w:ascii="Arial" w:cs="Arial" w:eastAsia="Arial" w:hAnsi="Arial"/>
          <w:sz w:val="20"/>
          <w:szCs w:val="20"/>
          <w:color w:val="auto"/>
        </w:rPr>
        <w:t>As used herein, the following terms shall have the following respective meanings:</w:t>
      </w:r>
    </w:p>
    <w:p>
      <w:pPr>
        <w:spacing w:after="0" w:line="114"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“Affiliate” means an entity, which directly or indirectly, owns or Controls, is owned or is Controlled by or is under common ownership or Control with, another entity.</w:t>
      </w:r>
    </w:p>
    <w:p>
      <w:pPr>
        <w:spacing w:after="0" w:line="69" w:lineRule="exact"/>
        <w:rPr>
          <w:sz w:val="20"/>
          <w:szCs w:val="20"/>
          <w:color w:val="auto"/>
        </w:rPr>
      </w:pPr>
    </w:p>
    <w:p>
      <w:pPr>
        <w:jc w:val="both"/>
        <w:ind w:left="760" w:hanging="741"/>
        <w:spacing w:after="0" w:line="269" w:lineRule="auto"/>
        <w:tabs>
          <w:tab w:leader="none" w:pos="7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color w:val="auto"/>
        </w:rPr>
        <w:t>“Airspan Background IP” means Background Intellectual Property owned, controlled, or provided by Airspan or its Affiliates and used or provided in connection with the Services set forth in this Agreement. Airspan Background IP does not include works of authorship created specifically for Gogo or that embody Confidential Information of Gogo or Gogo Background IP.</w:t>
      </w:r>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“ATG” means air-to-ground.</w:t>
      </w:r>
    </w:p>
    <w:p>
      <w:pPr>
        <w:spacing w:after="0" w:line="108" w:lineRule="exact"/>
        <w:rPr>
          <w:sz w:val="20"/>
          <w:szCs w:val="20"/>
          <w:color w:val="auto"/>
        </w:rPr>
      </w:pPr>
    </w:p>
    <w:p>
      <w:pPr>
        <w:jc w:val="both"/>
        <w:ind w:left="760" w:hanging="741"/>
        <w:spacing w:after="0" w:line="244" w:lineRule="auto"/>
        <w:tabs>
          <w:tab w:leader="none" w:pos="7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“Background Intellectual Property” means all ideas, processes, discoveries, inventions, writings, know-how, designs, techniques, methods, formulae, algorithms, models, source code, procedures and other knowledge or information, which are owned, controlled, or developed by a Party which have been originated, developed or purchased by such Party or its Affiliates, or by third parties that are under contract to such Party or its Affiliates prior to or outside of the scope of the development to be performed under this Agreement.</w:t>
      </w:r>
    </w:p>
    <w:p>
      <w:pPr>
        <w:spacing w:after="0" w:line="86" w:lineRule="exact"/>
        <w:rPr>
          <w:sz w:val="20"/>
          <w:szCs w:val="20"/>
          <w:color w:val="auto"/>
        </w:rPr>
      </w:pPr>
    </w:p>
    <w:p>
      <w:pPr>
        <w:jc w:val="both"/>
        <w:ind w:left="760" w:hanging="741"/>
        <w:spacing w:after="0" w:line="272" w:lineRule="auto"/>
        <w:tabs>
          <w:tab w:leader="none" w:pos="7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color w:val="auto"/>
        </w:rPr>
        <w:t>“Change of Control Transaction” means a single transaction or series of related transactions with a third party (or group of third parties acting in concert, collectively) (“Buyer”) resulting directly or indirectly in (a) the acquisition, merger, transfer, or assignment, by operation of law or otherwise, of Control of the business or assets of Airspan, (b) the sale, lease, transfer, or other disposition of Control of the business or assets of Airspan relating to this transaction, including any transaction transferring the economic value of such assets to another entity (excluding the grant of security interests in connection with a banking or other loan facility taken by Airspan), (c) the sale of equity securities or rights to acquire equity securities of Airspan in an amount such that such entity would be Controlled by persons other than those holding Control prior to such transaction, and (d) any of the foregoing with respect to the business, equity securities (or rights to acquire equity securities), or assets of Airspan that are relating to or used in connection with the Products and services to be provided under this Agreement or any SOW.</w:t>
      </w:r>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“Civil Aviation” means all non-military aviation, including both private and commercial aviation.</w:t>
      </w:r>
    </w:p>
    <w:p>
      <w:pPr>
        <w:spacing w:after="0" w:line="108"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color w:val="auto"/>
        </w:rPr>
        <w:t>“Commercial Release” means the date that Gogo initiates internet communications services on an ATG network based on and using the Products in a full live production implementation.</w:t>
      </w:r>
    </w:p>
    <w:p>
      <w:pPr>
        <w:spacing w:after="0" w:line="69" w:lineRule="exact"/>
        <w:rPr>
          <w:sz w:val="20"/>
          <w:szCs w:val="20"/>
          <w:color w:val="auto"/>
        </w:rPr>
      </w:pPr>
    </w:p>
    <w:p>
      <w:pPr>
        <w:jc w:val="both"/>
        <w:ind w:left="760" w:right="20" w:hanging="741"/>
        <w:spacing w:after="0" w:line="260" w:lineRule="auto"/>
        <w:tabs>
          <w:tab w:leader="none" w:pos="7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“Competitor” means any entity in the cockpit or cabin avionics business in Civil Aviation (</w:t>
      </w:r>
      <w:r>
        <w:rPr>
          <w:rFonts w:ascii="Arial" w:cs="Arial" w:eastAsia="Arial" w:hAnsi="Arial"/>
          <w:sz w:val="20"/>
          <w:szCs w:val="20"/>
          <w:i w:val="1"/>
          <w:iCs w:val="1"/>
          <w:color w:val="auto"/>
        </w:rPr>
        <w:t>e.g.</w:t>
      </w:r>
      <w:r>
        <w:rPr>
          <w:rFonts w:ascii="Arial" w:cs="Arial" w:eastAsia="Arial" w:hAnsi="Arial"/>
          <w:sz w:val="20"/>
          <w:szCs w:val="20"/>
          <w:color w:val="auto"/>
        </w:rPr>
        <w:t>, Collins Aerospace, Honeywell, and SatCom Direct) or any Affiliate of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6" w:name="page137"/>
    <w:bookmarkEnd w:id="136"/>
    <w:p>
      <w:pPr>
        <w:ind w:left="1030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ind w:left="760" w:hanging="741"/>
        <w:spacing w:after="0" w:line="244" w:lineRule="auto"/>
        <w:tabs>
          <w:tab w:leader="none" w:pos="7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color w:val="auto"/>
        </w:rPr>
        <w:t>“Confidential Information” means all non-public information in any form or medium whether or not owned by the Party disclosing such information (“Discloser”) provided or disclosed to the other Party (“Recipient”), including the existence of this Agreement and any business relationship between the Parties. Discloser will use reasonable efforts to mark written disclosures as confidential, and to provide written summaries of any Confidential Information provided in non-written form, but failure to do so will not affect the confidential nature of the information provided.</w:t>
      </w:r>
    </w:p>
    <w:p>
      <w:pPr>
        <w:spacing w:after="0" w:line="86" w:lineRule="exact"/>
        <w:rPr>
          <w:sz w:val="20"/>
          <w:szCs w:val="20"/>
          <w:color w:val="auto"/>
        </w:rPr>
      </w:pPr>
    </w:p>
    <w:p>
      <w:pPr>
        <w:jc w:val="both"/>
        <w:ind w:left="760" w:hanging="741"/>
        <w:spacing w:after="0" w:line="282" w:lineRule="auto"/>
        <w:tabs>
          <w:tab w:leader="none" w:pos="74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color w:val="auto"/>
        </w:rPr>
        <w:t>“Control” (including with correlative meanings, the terms “Controlling,” “Controlled by” and “under common Control with”) means the possession directly or indirectly of the power to direct or cause the direction of the management and policies of an entity, whether through the ownership of voting securities, by trust, management agreement, contract or otherwise; provided, however, that beneficial ownership of fifty percent (50%) or more of the voting securities of an entity will be deemed to be Control of such entity.</w:t>
      </w:r>
    </w:p>
    <w:p>
      <w:pPr>
        <w:spacing w:after="0" w:line="53"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“Data Security Breach” means a breach by Airspan of its obligations as set forth in the applicable SOW or in Section 6 herein that</w:t>
      </w:r>
    </w:p>
    <w:p>
      <w:pPr>
        <w:spacing w:after="0" w:line="16" w:lineRule="exact"/>
        <w:rPr>
          <w:sz w:val="20"/>
          <w:szCs w:val="20"/>
          <w:color w:val="auto"/>
        </w:rPr>
      </w:pPr>
    </w:p>
    <w:p>
      <w:pPr>
        <w:jc w:val="both"/>
        <w:ind w:left="760" w:hanging="10"/>
        <w:spacing w:after="0" w:line="266" w:lineRule="auto"/>
        <w:tabs>
          <w:tab w:leader="none" w:pos="1033"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results in the loss or misuse of unencrypted Personally Identifiable Information by Airspan (unless decryption thereof is enabled by Airspan’s grossly negligent act or omission); (b) results in the unauthorized and/or unlawful Processing, disclosure, access,</w:t>
      </w:r>
    </w:p>
    <w:p>
      <w:pPr>
        <w:ind w:left="760" w:right="20"/>
        <w:spacing w:after="0" w:line="244" w:lineRule="auto"/>
        <w:rPr>
          <w:sz w:val="20"/>
          <w:szCs w:val="20"/>
          <w:color w:val="auto"/>
        </w:rPr>
      </w:pPr>
      <w:r>
        <w:rPr>
          <w:rFonts w:ascii="Arial" w:cs="Arial" w:eastAsia="Arial" w:hAnsi="Arial"/>
          <w:sz w:val="20"/>
          <w:szCs w:val="20"/>
          <w:color w:val="auto"/>
        </w:rPr>
        <w:t>alteration, corruption, transfer, sale or rental, destruction, or use of Personally Identifiable Information by Airspan; or (c) compromises the security, confidentiality, or integrity of Personally Identifiable Information.</w:t>
      </w:r>
    </w:p>
    <w:p>
      <w:pPr>
        <w:spacing w:after="0" w:line="83" w:lineRule="exact"/>
        <w:rPr>
          <w:sz w:val="20"/>
          <w:szCs w:val="20"/>
          <w:color w:val="auto"/>
        </w:rPr>
      </w:pPr>
    </w:p>
    <w:p>
      <w:pPr>
        <w:jc w:val="both"/>
        <w:ind w:left="760" w:hanging="741"/>
        <w:spacing w:after="0" w:line="269" w:lineRule="auto"/>
        <w:tabs>
          <w:tab w:leader="none" w:pos="7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9"/>
          <w:szCs w:val="19"/>
          <w:color w:val="auto"/>
        </w:rPr>
        <w:t>“Deliverables” means any and all documents, designs, specifications, computer programs (in both object code and source code formats), computer systems, data, documentation and other tangible materials authored or prepared by Airspan and delivered to Gogo pursuant to a Statement of Work, including any Airspan Background IP incorporated therein, and</w:t>
      </w:r>
    </w:p>
    <w:p>
      <w:pPr>
        <w:spacing w:after="0" w:line="170"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20"/>
          <w:szCs w:val="20"/>
          <w:color w:val="auto"/>
        </w:rPr>
        <w:t>“Aircraft Deliverables” means any Deliverables used in the aircraft based subsystems of the ATG solution which includes, but is not limited to, [***]. Aircraft Deliverables do not include [***].</w:t>
      </w:r>
    </w:p>
    <w:p>
      <w:pPr>
        <w:spacing w:after="0" w:line="177" w:lineRule="exact"/>
        <w:rPr>
          <w:sz w:val="20"/>
          <w:szCs w:val="20"/>
          <w:color w:val="auto"/>
        </w:rPr>
      </w:pPr>
    </w:p>
    <w:p>
      <w:pPr>
        <w:jc w:val="both"/>
        <w:ind w:left="760" w:right="20" w:hanging="741"/>
        <w:spacing w:after="0" w:line="260" w:lineRule="auto"/>
        <w:tabs>
          <w:tab w:leader="none" w:pos="7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20"/>
          <w:szCs w:val="20"/>
          <w:color w:val="auto"/>
        </w:rPr>
        <w:t>“Ground Station Deliverables” means any Deliverables used exclusively to enable the operation of the ATG ground base station subsystem which includes, but is not limited to, [***].</w:t>
      </w:r>
    </w:p>
    <w:p>
      <w:pPr>
        <w:spacing w:after="0" w:line="177"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0"/>
          <w:szCs w:val="20"/>
          <w:color w:val="auto"/>
        </w:rPr>
        <w:t>“Evaluation SOW” means the ATG Evaluation Statement of Work ATG System Architecture and Specification Definition dated May 31, 2019.</w:t>
      </w:r>
    </w:p>
    <w:p>
      <w:pPr>
        <w:spacing w:after="0" w:line="69"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20"/>
          <w:szCs w:val="20"/>
          <w:color w:val="auto"/>
        </w:rPr>
        <w:t>“Gogo Background IP” means Background Intellectual Property owned, controlled, or provided by Gogo or its Affiliates and used or provided in connection with the Services set forth in this Agreement, including any modifications or customizations thereto whether created by Gogo, Airspan or any third party.</w:t>
      </w:r>
    </w:p>
    <w:p>
      <w:pPr>
        <w:spacing w:after="0" w:line="78"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20"/>
          <w:szCs w:val="20"/>
          <w:color w:val="auto"/>
        </w:rPr>
        <w:t>“IPRs” means all U.S. and foreign copyrights, patents, trademarks and other intellectual property rights, whether registered or unregistered.</w:t>
      </w:r>
    </w:p>
    <w:p>
      <w:pPr>
        <w:spacing w:after="0" w:line="6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jc w:val="both"/>
        <w:ind w:left="760" w:right="20" w:hanging="741"/>
        <w:spacing w:after="0" w:line="260" w:lineRule="auto"/>
        <w:tabs>
          <w:tab w:leader="none" w:pos="74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20"/>
          <w:szCs w:val="20"/>
          <w:color w:val="auto"/>
        </w:rPr>
        <w:t>“North America” means the continent of North America including, but not limited to, the United States (including its territories and possessions), Canada, Mexico and the Caribbean.</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8"/>
          <w:szCs w:val="18"/>
          <w:color w:val="auto"/>
        </w:rPr>
        <w:t>“Party” means either of Airspan or Gogo and “Parties” means both Airspan and Gogo.</w:t>
      </w:r>
    </w:p>
    <w:p>
      <w:pPr>
        <w:spacing w:after="0" w:line="216" w:lineRule="exact"/>
        <w:rPr>
          <w:sz w:val="20"/>
          <w:szCs w:val="20"/>
          <w:color w:val="auto"/>
        </w:rPr>
      </w:pPr>
    </w:p>
    <w:p>
      <w:pPr>
        <w:jc w:val="both"/>
        <w:ind w:left="760" w:hanging="741"/>
        <w:spacing w:after="0" w:line="244" w:lineRule="auto"/>
        <w:tabs>
          <w:tab w:leader="none" w:pos="7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color w:val="auto"/>
        </w:rPr>
        <w:t>“Personally Identifiable Information” or “PII” means: (i) any information that identifies or can be used to identify an individual, such as first and last name, social security number or other government issued number or identifier, date of birth, home or other physical address, e-mail address or other online contact information, telephone number, biometric data, mother’s maiden name, or other personally identifiable information; or (ii) any “non-public personal information” as that term is defined in the Gramm-Leach-Bliley Act found at 15 U.S.C. Subchapter 1, §6809(4).</w:t>
      </w:r>
    </w:p>
    <w:p>
      <w:pPr>
        <w:spacing w:after="0" w:line="86" w:lineRule="exact"/>
        <w:rPr>
          <w:sz w:val="20"/>
          <w:szCs w:val="20"/>
          <w:color w:val="auto"/>
        </w:rPr>
      </w:pPr>
    </w:p>
    <w:p>
      <w:pPr>
        <w:jc w:val="both"/>
        <w:ind w:left="760" w:right="20" w:hanging="741"/>
        <w:spacing w:after="0" w:line="260" w:lineRule="auto"/>
        <w:tabs>
          <w:tab w:leader="none" w:pos="7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0"/>
          <w:szCs w:val="20"/>
          <w:color w:val="auto"/>
        </w:rPr>
        <w:t>“Processing” or “Process” means any operation or set of operations that is performed upon Personally Identifiable Information, whether or not by automatic means, including, without limitation, collection, recording, organization,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37" w:name="page138"/>
    <w:bookmarkEnd w:id="137"/>
    <w:p>
      <w:pPr>
        <w:ind w:left="1030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ind w:left="760" w:right="20"/>
        <w:spacing w:after="0" w:line="260" w:lineRule="auto"/>
        <w:rPr>
          <w:sz w:val="20"/>
          <w:szCs w:val="20"/>
          <w:color w:val="auto"/>
        </w:rPr>
      </w:pPr>
      <w:r>
        <w:rPr>
          <w:rFonts w:ascii="Arial" w:cs="Arial" w:eastAsia="Arial" w:hAnsi="Arial"/>
          <w:sz w:val="20"/>
          <w:szCs w:val="20"/>
          <w:color w:val="auto"/>
        </w:rPr>
        <w:t>storage, access, adaptation, alteration, retrieval, consultation, use, disclosure, dissemination, making available, alignment, combination, blocking, deleting, erasure, or destruction.</w:t>
      </w:r>
    </w:p>
    <w:p>
      <w:pPr>
        <w:spacing w:after="0" w:line="69" w:lineRule="exact"/>
        <w:rPr>
          <w:sz w:val="20"/>
          <w:szCs w:val="20"/>
          <w:color w:val="auto"/>
        </w:rPr>
      </w:pPr>
    </w:p>
    <w:p>
      <w:pPr>
        <w:jc w:val="both"/>
        <w:ind w:left="760" w:hanging="741"/>
        <w:spacing w:after="0" w:line="246" w:lineRule="auto"/>
        <w:tabs>
          <w:tab w:leader="none" w:pos="74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20"/>
          <w:szCs w:val="20"/>
          <w:color w:val="auto"/>
        </w:rPr>
        <w:t>“Products” means the aircraft ATG communication system (and components thereof) which includes, but is not limited to, ground base station components, the airborne line replaceable unit (LRU) with airborne modem and antenna subsystem as further described in the SRS, including all hardware, software, system architectures, technical specifications, and documentation developed under any SOW.</w:t>
      </w:r>
    </w:p>
    <w:p>
      <w:pPr>
        <w:spacing w:after="0" w:line="83"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20"/>
          <w:szCs w:val="20"/>
          <w:color w:val="auto"/>
        </w:rPr>
        <w:t>[***]</w:t>
      </w:r>
    </w:p>
    <w:p>
      <w:pPr>
        <w:spacing w:after="0" w:line="108"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20"/>
          <w:szCs w:val="20"/>
          <w:color w:val="auto"/>
        </w:rPr>
        <w:t>“Services” means certain strategic project services, support services and other services, which shall, from time to time, be rendered by Airspan for Gogo pursuant to a Statement of Work.</w:t>
      </w:r>
    </w:p>
    <w:p>
      <w:pPr>
        <w:spacing w:after="0" w:line="6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color w:val="auto"/>
        </w:rPr>
        <w:t>“Specification” means specifications for Services and Deliverables to be provided in a Statement of Work.</w:t>
      </w:r>
    </w:p>
    <w:p>
      <w:pPr>
        <w:spacing w:after="0" w:line="108" w:lineRule="exact"/>
        <w:rPr>
          <w:sz w:val="20"/>
          <w:szCs w:val="20"/>
          <w:color w:val="auto"/>
        </w:rPr>
      </w:pPr>
    </w:p>
    <w:p>
      <w:pPr>
        <w:jc w:val="both"/>
        <w:ind w:left="760" w:hanging="741"/>
        <w:spacing w:after="0" w:line="246" w:lineRule="auto"/>
        <w:tabs>
          <w:tab w:leader="none" w:pos="74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20"/>
          <w:szCs w:val="20"/>
          <w:color w:val="auto"/>
        </w:rPr>
        <w:t>“Statement of Work” or “SOW” means any transaction document (whether or not identified as a SOW) in which a project outline is agreed to by Airspan and Gogo in accordance with the terms and conditions of this Agreement, and preferably in the form attached hereto as Exhibit A. Statements of Work shall be executed by the Parties and shall form a part of this Agreement. The Evaluation SOW shall be deemed a “Statement of Work.”</w:t>
      </w:r>
    </w:p>
    <w:p>
      <w:pPr>
        <w:spacing w:after="0" w:line="83"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20"/>
          <w:szCs w:val="20"/>
          <w:color w:val="auto"/>
        </w:rPr>
        <w:t>“System Requirements Specification” or “SRS” means the document setting forth the specification of system requirements attached to any Statement of Work.</w:t>
      </w:r>
    </w:p>
    <w:p>
      <w:pPr>
        <w:spacing w:after="0" w:line="69"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20"/>
          <w:szCs w:val="20"/>
          <w:color w:val="auto"/>
        </w:rPr>
        <w:t>“Third Party Materials” means any third party hardware, computer programs, specifications, documents, intellectual property rights or any other third party materials.</w:t>
      </w:r>
    </w:p>
    <w:p>
      <w:pPr>
        <w:spacing w:after="0" w:line="69"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20"/>
          <w:szCs w:val="20"/>
          <w:color w:val="auto"/>
        </w:rPr>
        <w:t>“Work Product” means Deliverables created under a Statement of Work (excluding any Airspan Background IP or Third Party Materials incorporated in the Deliverables).</w:t>
      </w:r>
    </w:p>
    <w:p>
      <w:pPr>
        <w:spacing w:after="0" w:line="63" w:lineRule="exact"/>
        <w:rPr>
          <w:sz w:val="20"/>
          <w:szCs w:val="20"/>
          <w:color w:val="auto"/>
        </w:rPr>
      </w:pPr>
    </w:p>
    <w:p>
      <w:pPr>
        <w:ind w:left="760" w:hanging="752"/>
        <w:spacing w:after="0"/>
        <w:tabs>
          <w:tab w:leader="none" w:pos="760"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SERVICES</w:t>
      </w:r>
      <w:r>
        <w:rPr>
          <w:rFonts w:ascii="Arial" w:cs="Arial" w:eastAsia="Arial" w:hAnsi="Arial"/>
          <w:sz w:val="20"/>
          <w:szCs w:val="20"/>
          <w:b w:val="1"/>
          <w:bCs w:val="1"/>
          <w:color w:val="auto"/>
        </w:rPr>
        <w:t>.</w:t>
      </w:r>
    </w:p>
    <w:p>
      <w:pPr>
        <w:spacing w:after="0" w:line="114"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u w:val="single" w:color="auto"/>
          <w:color w:val="auto"/>
        </w:rPr>
        <w:t>Procedures for Engagement of Services</w:t>
      </w:r>
      <w:r>
        <w:rPr>
          <w:rFonts w:ascii="Arial" w:cs="Arial" w:eastAsia="Arial" w:hAnsi="Arial"/>
          <w:sz w:val="16"/>
          <w:szCs w:val="16"/>
          <w:color w:val="auto"/>
        </w:rPr>
        <w:t>.</w:t>
      </w:r>
    </w:p>
    <w:p>
      <w:pPr>
        <w:spacing w:after="0" w:line="108" w:lineRule="exact"/>
        <w:rPr>
          <w:sz w:val="20"/>
          <w:szCs w:val="20"/>
          <w:color w:val="auto"/>
        </w:rPr>
      </w:pPr>
    </w:p>
    <w:p>
      <w:pPr>
        <w:jc w:val="both"/>
        <w:ind w:left="1500" w:hanging="750"/>
        <w:spacing w:after="0" w:line="259" w:lineRule="auto"/>
        <w:tabs>
          <w:tab w:leader="none" w:pos="15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Services to be rendered by Airspan for Gogo pursuant to this Agreement shall be engaged in the following manner. From time to time during the term of this Agreement, Gogo and Airspan may enter into Statements of Work. Each SOW shall include a complete and detailed description of the project, which Gogo wishes Airspan to undertake. For the avoidance of doubt, Airspan shall not perform any Services except under an executed SOW and Gogo shall be under no obligation to pay for any services performed or expenses incurred by Airspan unless such Services or expenses were performed or incurred on the written instructions of Gogo’s Project Manager.</w:t>
      </w:r>
    </w:p>
    <w:p>
      <w:pPr>
        <w:spacing w:after="0" w:line="70" w:lineRule="exact"/>
        <w:rPr>
          <w:rFonts w:ascii="Arial" w:cs="Arial" w:eastAsia="Arial" w:hAnsi="Arial"/>
          <w:sz w:val="19"/>
          <w:szCs w:val="19"/>
          <w:color w:val="auto"/>
        </w:rPr>
      </w:pPr>
    </w:p>
    <w:p>
      <w:pPr>
        <w:jc w:val="both"/>
        <w:ind w:left="1500" w:hanging="750"/>
        <w:spacing w:after="0" w:line="250" w:lineRule="auto"/>
        <w:tabs>
          <w:tab w:leader="none" w:pos="15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Upon execution of a SOW: (i) the services described therein shall be deemed “Services” for the purposes of this Agreement, and (ii) Airspan’s provision thereof shall be subject to, and governed by, the terms and conditions of this Agreement.</w:t>
      </w:r>
    </w:p>
    <w:p>
      <w:pPr>
        <w:spacing w:after="0" w:line="7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Personnel</w:t>
      </w:r>
      <w:r>
        <w:rPr>
          <w:rFonts w:ascii="Arial" w:cs="Arial" w:eastAsia="Arial" w:hAnsi="Arial"/>
          <w:sz w:val="16"/>
          <w:szCs w:val="16"/>
          <w:color w:val="auto"/>
        </w:rPr>
        <w:t>.</w:t>
      </w:r>
    </w:p>
    <w:p>
      <w:pPr>
        <w:spacing w:after="0" w:line="108" w:lineRule="exact"/>
        <w:rPr>
          <w:sz w:val="20"/>
          <w:szCs w:val="20"/>
          <w:color w:val="auto"/>
        </w:rPr>
      </w:pPr>
    </w:p>
    <w:p>
      <w:pPr>
        <w:jc w:val="both"/>
        <w:ind w:left="1500" w:hanging="750"/>
        <w:spacing w:after="0" w:line="250" w:lineRule="auto"/>
        <w:tabs>
          <w:tab w:leader="none" w:pos="15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While at a Gogo facility, Airspan’s personnel and subcontractors shall comply with reasonable requests and standard procedures and policies of Gogo. Airspan’s personnel and subcontractors will conduct themselves in a businesslike manner.</w:t>
      </w:r>
    </w:p>
    <w:p>
      <w:pPr>
        <w:spacing w:after="0" w:line="77" w:lineRule="exact"/>
        <w:rPr>
          <w:rFonts w:ascii="Arial" w:cs="Arial" w:eastAsia="Arial" w:hAnsi="Arial"/>
          <w:sz w:val="20"/>
          <w:szCs w:val="20"/>
          <w:color w:val="auto"/>
        </w:rPr>
      </w:pPr>
    </w:p>
    <w:p>
      <w:pPr>
        <w:jc w:val="both"/>
        <w:ind w:left="1500" w:hanging="750"/>
        <w:spacing w:after="0" w:line="259" w:lineRule="auto"/>
        <w:tabs>
          <w:tab w:leader="none" w:pos="15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If Gogo determines in good faith that a particular Airspan employee or agent (i) is not conducting him or herself in accordance with Section 2.2(a), or (ii) is not performing the Services as described in this Agreement and the applicable SOW, Gogo may provide Airspan with notice thereof and Airspan shall remove and replace such individual. Gogo reserves the right to deny access to its premises to any such individual. Unless authorized in writing by Gogo, all Airspan personnel performing the Services at or near Gogo’s facilities shall be based in that vicinity, and Gogo shall not be responsible for any travel, mileage or living expenses with respect to such personnel.</w:t>
      </w:r>
    </w:p>
    <w:p>
      <w:pPr>
        <w:spacing w:after="0" w:line="70" w:lineRule="exact"/>
        <w:rPr>
          <w:rFonts w:ascii="Arial" w:cs="Arial" w:eastAsia="Arial" w:hAnsi="Arial"/>
          <w:sz w:val="19"/>
          <w:szCs w:val="19"/>
          <w:color w:val="auto"/>
        </w:rPr>
      </w:pPr>
    </w:p>
    <w:p>
      <w:pPr>
        <w:jc w:val="both"/>
        <w:ind w:left="1500" w:hanging="750"/>
        <w:spacing w:after="0" w:line="250" w:lineRule="auto"/>
        <w:tabs>
          <w:tab w:leader="none" w:pos="15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Each Party shall designate one project manager (each, a “Project Manager”) for each SOW, who shall be responsible for providing timely management decisions as required relating to such SOW. Any Project Manager may be replaced from time to time by the designating Party upon written notice to the other Party.</w:t>
      </w:r>
    </w:p>
    <w:p>
      <w:pPr>
        <w:spacing w:after="0" w:line="200" w:lineRule="exact"/>
        <w:rPr>
          <w:rFonts w:ascii="Arial" w:cs="Arial" w:eastAsia="Arial" w:hAnsi="Arial"/>
          <w:sz w:val="20"/>
          <w:szCs w:val="20"/>
          <w:color w:val="auto"/>
        </w:rPr>
      </w:pPr>
    </w:p>
    <w:p>
      <w:pPr>
        <w:spacing w:after="0" w:line="323" w:lineRule="exact"/>
        <w:rPr>
          <w:rFonts w:ascii="Arial" w:cs="Arial" w:eastAsia="Arial" w:hAnsi="Arial"/>
          <w:sz w:val="20"/>
          <w:szCs w:val="20"/>
          <w:color w:val="auto"/>
        </w:rPr>
      </w:pPr>
    </w:p>
    <w:p>
      <w:pPr>
        <w:ind w:left="5580" w:hanging="121"/>
        <w:spacing w:after="0"/>
        <w:tabs>
          <w:tab w:leader="none" w:pos="5580" w:val="left"/>
        </w:tabs>
        <w:numPr>
          <w:ilvl w:val="1"/>
          <w:numId w:val="79"/>
        </w:numPr>
        <w:rPr>
          <w:rFonts w:ascii="Arial" w:cs="Arial" w:eastAsia="Arial" w:hAnsi="Arial"/>
          <w:sz w:val="20"/>
          <w:szCs w:val="20"/>
          <w:color w:val="auto"/>
        </w:rPr>
      </w:pPr>
      <w:r>
        <w:rPr>
          <w:rFonts w:ascii="Arial" w:cs="Arial" w:eastAsia="Arial" w:hAnsi="Arial"/>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4"/>
          <w:szCs w:val="14"/>
          <w:b w:val="1"/>
          <w:bCs w:val="1"/>
          <w:i w:val="1"/>
          <w:iCs w:val="1"/>
          <w:color w:val="auto"/>
        </w:rPr>
        <w:t>Execution Copy</w:t>
      </w:r>
    </w:p>
    <w:p>
      <w:pPr>
        <w:spacing w:after="0" w:line="13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u w:val="single" w:color="auto"/>
          <w:color w:val="auto"/>
        </w:rPr>
        <w:t>Replacement of Personnel</w:t>
      </w:r>
      <w:r>
        <w:rPr>
          <w:rFonts w:ascii="Arial" w:cs="Arial" w:eastAsia="Arial" w:hAnsi="Arial"/>
          <w:sz w:val="16"/>
          <w:szCs w:val="16"/>
          <w:color w:val="auto"/>
        </w:rPr>
        <w:t>.</w:t>
      </w:r>
    </w:p>
    <w:p>
      <w:pPr>
        <w:spacing w:after="0" w:line="108" w:lineRule="exact"/>
        <w:rPr>
          <w:sz w:val="20"/>
          <w:szCs w:val="20"/>
          <w:color w:val="auto"/>
        </w:rPr>
      </w:pPr>
    </w:p>
    <w:p>
      <w:pPr>
        <w:jc w:val="both"/>
        <w:ind w:left="1500" w:hanging="750"/>
        <w:spacing w:after="0" w:line="263" w:lineRule="auto"/>
        <w:tabs>
          <w:tab w:leader="none" w:pos="15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any Airspan employee or subcontractor performing Services hereunder is replaced for the reasons set forth in Section 2.2(b) or by Airspan other than at Gogo’s direction, the choice of replacement personnel shall be subject to Gogo’s approval, and Airspan shall not charge Gogo for the expenses incurred in transitioning the performance of Services to such replacement, which (for daily charged Services) will never be less than one working day.</w:t>
      </w:r>
    </w:p>
    <w:p>
      <w:pPr>
        <w:spacing w:after="0" w:line="68" w:lineRule="exact"/>
        <w:rPr>
          <w:rFonts w:ascii="Arial" w:cs="Arial" w:eastAsia="Arial" w:hAnsi="Arial"/>
          <w:sz w:val="19"/>
          <w:szCs w:val="19"/>
          <w:color w:val="auto"/>
        </w:rPr>
      </w:pPr>
    </w:p>
    <w:p>
      <w:pPr>
        <w:jc w:val="both"/>
        <w:ind w:left="1500" w:hanging="750"/>
        <w:spacing w:after="0" w:line="243" w:lineRule="auto"/>
        <w:tabs>
          <w:tab w:leader="none" w:pos="1500" w:val="left"/>
        </w:tabs>
        <w:numPr>
          <w:ilvl w:val="0"/>
          <w:numId w:val="80"/>
        </w:numPr>
        <w:rPr>
          <w:rFonts w:ascii="Arial" w:cs="Arial" w:eastAsia="Arial" w:hAnsi="Arial"/>
          <w:sz w:val="20"/>
          <w:szCs w:val="20"/>
          <w:color w:val="auto"/>
        </w:rPr>
      </w:pPr>
      <w:r>
        <w:rPr>
          <w:rFonts w:ascii="Arial" w:cs="Arial" w:eastAsia="Arial" w:hAnsi="Arial"/>
          <w:sz w:val="20"/>
          <w:szCs w:val="20"/>
          <w:color w:val="auto"/>
        </w:rPr>
        <w:t>If Gogo requests in writing that any Airspan employee or subcontractor be replaced for the reasons set forth in Section 2.2(b)(ii) within two weeks after such employee or subcontractor begins performing Services hereunder, Airspan shall have a reasonable opportunity to address Gogo’s concerns. Thereafter, if Airspan replaces such employee or subcontractor as requested, then Airspan shall not charge Gogo for any Services already performed by such replaced employee or subcontractor after Airspan’s receipt of Gogo’s written request for replacement where the Service has to be reperformed.</w:t>
      </w:r>
    </w:p>
    <w:p>
      <w:pPr>
        <w:spacing w:after="0" w:line="88"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u w:val="single" w:color="auto"/>
          <w:color w:val="auto"/>
        </w:rPr>
        <w:t>Subcontractors</w:t>
      </w:r>
      <w:r>
        <w:rPr>
          <w:rFonts w:ascii="Arial" w:cs="Arial" w:eastAsia="Arial" w:hAnsi="Arial"/>
          <w:sz w:val="20"/>
          <w:szCs w:val="20"/>
          <w:color w:val="auto"/>
        </w:rPr>
        <w:t>. Airspan may not use subcontractors to perform the Services without Gogo’s prior written consent;</w:t>
      </w:r>
      <w:r>
        <w:rPr>
          <w:rFonts w:ascii="Arial" w:cs="Arial" w:eastAsia="Arial" w:hAnsi="Arial"/>
          <w:sz w:val="20"/>
          <w:szCs w:val="20"/>
          <w:u w:val="single" w:color="auto"/>
          <w:color w:val="auto"/>
        </w:rPr>
        <w:t xml:space="preserve"> provided</w:t>
      </w:r>
      <w:r>
        <w:rPr>
          <w:rFonts w:ascii="Arial" w:cs="Arial" w:eastAsia="Arial" w:hAnsi="Arial"/>
          <w:sz w:val="20"/>
          <w:szCs w:val="20"/>
          <w:color w:val="auto"/>
        </w:rPr>
        <w:t>,</w:t>
      </w:r>
      <w:r>
        <w:rPr>
          <w:rFonts w:ascii="Arial" w:cs="Arial" w:eastAsia="Arial" w:hAnsi="Arial"/>
          <w:sz w:val="20"/>
          <w:szCs w:val="20"/>
          <w:u w:val="single" w:color="auto"/>
          <w:color w:val="auto"/>
        </w:rPr>
        <w:t xml:space="preserve"> however</w:t>
      </w:r>
      <w:r>
        <w:rPr>
          <w:rFonts w:ascii="Arial" w:cs="Arial" w:eastAsia="Arial" w:hAnsi="Arial"/>
          <w:sz w:val="20"/>
          <w:szCs w:val="20"/>
          <w:color w:val="auto"/>
        </w:rPr>
        <w:t>, Airspan shall remain responsible for the performance of the Services, for all of its obligations hereunder, and for all liabilities incurred by a subcontractor.</w:t>
      </w:r>
    </w:p>
    <w:p>
      <w:pPr>
        <w:spacing w:after="0" w:line="78" w:lineRule="exact"/>
        <w:rPr>
          <w:sz w:val="20"/>
          <w:szCs w:val="20"/>
          <w:color w:val="auto"/>
        </w:rPr>
      </w:pPr>
    </w:p>
    <w:p>
      <w:pPr>
        <w:jc w:val="both"/>
        <w:ind w:left="760" w:right="20" w:hanging="741"/>
        <w:spacing w:after="0" w:line="260" w:lineRule="auto"/>
        <w:tabs>
          <w:tab w:leader="none" w:pos="7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20"/>
          <w:szCs w:val="20"/>
          <w:u w:val="single" w:color="auto"/>
          <w:color w:val="auto"/>
        </w:rPr>
        <w:t>Gogo Affiliates</w:t>
      </w:r>
      <w:r>
        <w:rPr>
          <w:rFonts w:ascii="Arial" w:cs="Arial" w:eastAsia="Arial" w:hAnsi="Arial"/>
          <w:sz w:val="20"/>
          <w:szCs w:val="20"/>
          <w:color w:val="auto"/>
        </w:rPr>
        <w:t>. During the term of this Agreement, if any Gogo Affiliate desires to engage Airspan to perform Services hereunder,</w:t>
      </w:r>
      <w:r>
        <w:rPr>
          <w:rFonts w:ascii="Arial" w:cs="Arial" w:eastAsia="Arial" w:hAnsi="Arial"/>
          <w:sz w:val="20"/>
          <w:szCs w:val="20"/>
          <w:u w:val="single" w:color="auto"/>
          <w:color w:val="auto"/>
        </w:rPr>
        <w:t xml:space="preserve"> </w:t>
      </w:r>
      <w:r>
        <w:rPr>
          <w:rFonts w:ascii="Arial" w:cs="Arial" w:eastAsia="Arial" w:hAnsi="Arial"/>
          <w:sz w:val="20"/>
          <w:szCs w:val="20"/>
          <w:color w:val="auto"/>
        </w:rPr>
        <w:t>such Gogo Affiliate may enter into a SOW hereunder.</w:t>
      </w:r>
    </w:p>
    <w:p>
      <w:pPr>
        <w:spacing w:after="0" w:line="69" w:lineRule="exact"/>
        <w:rPr>
          <w:sz w:val="20"/>
          <w:szCs w:val="20"/>
          <w:color w:val="auto"/>
        </w:rPr>
      </w:pPr>
    </w:p>
    <w:p>
      <w:pPr>
        <w:jc w:val="both"/>
        <w:ind w:left="760" w:hanging="741"/>
        <w:spacing w:after="0" w:line="263" w:lineRule="auto"/>
        <w:tabs>
          <w:tab w:leader="none" w:pos="74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9"/>
          <w:szCs w:val="19"/>
          <w:u w:val="single" w:color="auto"/>
          <w:color w:val="auto"/>
        </w:rPr>
        <w:t>Schedule</w:t>
      </w:r>
      <w:r>
        <w:rPr>
          <w:rFonts w:ascii="Arial" w:cs="Arial" w:eastAsia="Arial" w:hAnsi="Arial"/>
          <w:sz w:val="19"/>
          <w:szCs w:val="19"/>
          <w:color w:val="auto"/>
        </w:rPr>
        <w:t>. A SOW may contain a time schedule for completion of the Services required thereunder (the “Schedule”). Unless such</w:t>
      </w:r>
      <w:r>
        <w:rPr>
          <w:rFonts w:ascii="Arial" w:cs="Arial" w:eastAsia="Arial" w:hAnsi="Arial"/>
          <w:sz w:val="19"/>
          <w:szCs w:val="19"/>
          <w:u w:val="single" w:color="auto"/>
          <w:color w:val="auto"/>
        </w:rPr>
        <w:t xml:space="preserve"> </w:t>
      </w:r>
      <w:r>
        <w:rPr>
          <w:rFonts w:ascii="Arial" w:cs="Arial" w:eastAsia="Arial" w:hAnsi="Arial"/>
          <w:sz w:val="19"/>
          <w:szCs w:val="19"/>
          <w:color w:val="auto"/>
        </w:rPr>
        <w:t>time schedule is specified in a SOW as an “estimate” or “target,” Gogo and Airspan expressly acknowledge and agree that, subject to Section 2.8, all Schedules are firm or fixed performance dates, and Airspan shall complete such Services in accordance with the Schedule. Any changes to the Schedule shall be made in accordance with Section 2.7.</w:t>
      </w:r>
    </w:p>
    <w:p>
      <w:pPr>
        <w:spacing w:after="0" w:line="68" w:lineRule="exact"/>
        <w:rPr>
          <w:sz w:val="20"/>
          <w:szCs w:val="20"/>
          <w:color w:val="auto"/>
        </w:rPr>
      </w:pPr>
    </w:p>
    <w:p>
      <w:pPr>
        <w:jc w:val="both"/>
        <w:ind w:left="760" w:hanging="741"/>
        <w:spacing w:after="0" w:line="256" w:lineRule="auto"/>
        <w:tabs>
          <w:tab w:leader="none" w:pos="7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u w:val="single" w:color="auto"/>
          <w:color w:val="auto"/>
        </w:rPr>
        <w:t>Changes to SOW</w:t>
      </w:r>
      <w:r>
        <w:rPr>
          <w:rFonts w:ascii="Arial" w:cs="Arial" w:eastAsia="Arial" w:hAnsi="Arial"/>
          <w:sz w:val="19"/>
          <w:szCs w:val="19"/>
          <w:color w:val="auto"/>
        </w:rPr>
        <w:t>. Each Party may request changes that affect the scope, duration or any other aspect of the Services relating to any</w:t>
      </w:r>
      <w:r>
        <w:rPr>
          <w:rFonts w:ascii="Arial" w:cs="Arial" w:eastAsia="Arial" w:hAnsi="Arial"/>
          <w:sz w:val="19"/>
          <w:szCs w:val="19"/>
          <w:u w:val="single" w:color="auto"/>
          <w:color w:val="auto"/>
        </w:rPr>
        <w:t xml:space="preserve"> </w:t>
      </w:r>
      <w:r>
        <w:rPr>
          <w:rFonts w:ascii="Arial" w:cs="Arial" w:eastAsia="Arial" w:hAnsi="Arial"/>
          <w:sz w:val="19"/>
          <w:szCs w:val="19"/>
          <w:color w:val="auto"/>
        </w:rPr>
        <w:t>SOW, including changes in the Specifications and Deliverables. Each Party also may request a change in the Schedule without changing the scope of the applicable SOW. The designated Project Manager of the requesting Party will review the proposed change and determine whether to submit it to the other Party. If a Party requests any such change, Airspan shall notify Gogo if it believes that an adjustment in the fees to be paid to Airspan with respect to the applicable SOW, or an adjustment to the applicable Schedule, is required. The Parties’ Project Managers shall then negotiate in good faith a reasonable and equitable adjustment in each or any of the applicable fees, Deliverables, Services, Schedule or Specifications. Airspan shall continue to perform pursuant to the existing SOW, and neither Party shall be bound by any change requested by the other Party, until such change has been accepted in writing by the other Party.</w:t>
      </w:r>
    </w:p>
    <w:p>
      <w:pPr>
        <w:spacing w:after="0" w:line="76" w:lineRule="exact"/>
        <w:rPr>
          <w:sz w:val="20"/>
          <w:szCs w:val="20"/>
          <w:color w:val="auto"/>
        </w:rPr>
      </w:pPr>
    </w:p>
    <w:p>
      <w:pPr>
        <w:jc w:val="both"/>
        <w:ind w:left="760" w:hanging="741"/>
        <w:spacing w:after="0" w:line="246" w:lineRule="auto"/>
        <w:tabs>
          <w:tab w:leader="none" w:pos="74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20"/>
          <w:szCs w:val="20"/>
          <w:u w:val="single" w:color="auto"/>
          <w:color w:val="auto"/>
        </w:rPr>
        <w:t>Gogo’s Obligations</w:t>
      </w:r>
      <w:r>
        <w:rPr>
          <w:rFonts w:ascii="Arial" w:cs="Arial" w:eastAsia="Arial" w:hAnsi="Arial"/>
          <w:sz w:val="20"/>
          <w:szCs w:val="20"/>
          <w:color w:val="auto"/>
        </w:rPr>
        <w:t>. Gogo’s obligations in connection with a particular engagement, if any, shall be set forth in the applicable</w:t>
      </w:r>
      <w:r>
        <w:rPr>
          <w:rFonts w:ascii="Arial" w:cs="Arial" w:eastAsia="Arial" w:hAnsi="Arial"/>
          <w:sz w:val="20"/>
          <w:szCs w:val="20"/>
          <w:u w:val="single" w:color="auto"/>
          <w:color w:val="auto"/>
        </w:rPr>
        <w:t xml:space="preserve"> </w:t>
      </w:r>
      <w:r>
        <w:rPr>
          <w:rFonts w:ascii="Arial" w:cs="Arial" w:eastAsia="Arial" w:hAnsi="Arial"/>
          <w:sz w:val="20"/>
          <w:szCs w:val="20"/>
          <w:color w:val="auto"/>
        </w:rPr>
        <w:t>SOW. Gogo shall cooperate with Airspan in the performance of the Services hereunder. Gogo acknowledges and agrees that Airspan’s performance is dependent in part upon the timely and effective satisfaction of Gogo’s responsibilities in connection with the Services.</w:t>
      </w:r>
    </w:p>
    <w:p>
      <w:pPr>
        <w:spacing w:after="0" w:line="83"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8"/>
          <w:szCs w:val="18"/>
          <w:u w:val="single" w:color="auto"/>
          <w:color w:val="auto"/>
        </w:rPr>
        <w:t>Proprietary Rights</w:t>
      </w:r>
      <w:r>
        <w:rPr>
          <w:rFonts w:ascii="Arial" w:cs="Arial" w:eastAsia="Arial" w:hAnsi="Arial"/>
          <w:sz w:val="18"/>
          <w:szCs w:val="18"/>
          <w:color w:val="auto"/>
        </w:rPr>
        <w:t>.</w:t>
      </w:r>
    </w:p>
    <w:p>
      <w:pPr>
        <w:spacing w:after="0" w:line="108" w:lineRule="exact"/>
        <w:rPr>
          <w:sz w:val="20"/>
          <w:szCs w:val="20"/>
          <w:color w:val="auto"/>
        </w:rPr>
      </w:pPr>
    </w:p>
    <w:p>
      <w:pPr>
        <w:ind w:left="1500" w:hanging="750"/>
        <w:spacing w:after="0"/>
        <w:tabs>
          <w:tab w:leader="none" w:pos="15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jc w:val="both"/>
        <w:ind w:left="2240" w:hanging="747"/>
        <w:spacing w:after="0" w:line="255" w:lineRule="auto"/>
        <w:tabs>
          <w:tab w:leader="none" w:pos="224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Ownership of Work Product in</w:t>
      </w:r>
      <w:r>
        <w:rPr>
          <w:rFonts w:ascii="Arial" w:cs="Arial" w:eastAsia="Arial" w:hAnsi="Arial"/>
          <w:sz w:val="19"/>
          <w:szCs w:val="19"/>
          <w:color w:val="auto"/>
        </w:rPr>
        <w:t xml:space="preserve"> [***]. Unless otherwise provided in the applicable Statement of Work, Gogo will own all Work Product in [***] and IPRs in such Work Product, and all such Work Product will constitute Confidential Information of Gogo and will be considered work made for hire owned by Gogo. If any such Work Product is not, by operation of law or otherwise, considered a work made for hire (or if ownership of all right, title and interest of the intellectual property rights therein will not otherwise automatically vest exclusively in Gogo), Airspan hereby assigns and agrees to assign, by way of present assignment of existing and future rights, without further consideration, all its right, title and interest in and to such Work Product (including, without limitation, all IPRs therein), to Gogo, effective immediately upon the creation of such Work Product. Gogo, its successors and assigns, will have the right to obtain and hold in its or their own name copyrights, registrations and any other protection available in the foregoing. Airspan shall</w:t>
      </w:r>
    </w:p>
    <w:p>
      <w:pPr>
        <w:spacing w:after="0" w:line="200" w:lineRule="exact"/>
        <w:rPr>
          <w:rFonts w:ascii="Arial" w:cs="Arial" w:eastAsia="Arial" w:hAnsi="Arial"/>
          <w:sz w:val="19"/>
          <w:szCs w:val="19"/>
          <w:color w:val="auto"/>
        </w:rPr>
      </w:pPr>
    </w:p>
    <w:p>
      <w:pPr>
        <w:spacing w:after="0" w:line="327" w:lineRule="exact"/>
        <w:rPr>
          <w:rFonts w:ascii="Arial" w:cs="Arial" w:eastAsia="Arial" w:hAnsi="Arial"/>
          <w:sz w:val="19"/>
          <w:szCs w:val="19"/>
          <w:color w:val="auto"/>
        </w:rPr>
      </w:pPr>
    </w:p>
    <w:p>
      <w:pPr>
        <w:ind w:left="5580" w:hanging="121"/>
        <w:spacing w:after="0"/>
        <w:tabs>
          <w:tab w:leader="none" w:pos="5580" w:val="left"/>
        </w:tabs>
        <w:numPr>
          <w:ilvl w:val="2"/>
          <w:numId w:val="81"/>
        </w:numPr>
        <w:rPr>
          <w:rFonts w:ascii="Arial" w:cs="Arial" w:eastAsia="Arial" w:hAnsi="Arial"/>
          <w:sz w:val="20"/>
          <w:szCs w:val="20"/>
          <w:color w:val="auto"/>
        </w:rPr>
      </w:pPr>
      <w:r>
        <w:rPr>
          <w:rFonts w:ascii="Arial" w:cs="Arial" w:eastAsia="Arial" w:hAnsi="Arial"/>
          <w:sz w:val="20"/>
          <w:szCs w:val="2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39" w:name="page140"/>
    <w:bookmarkEnd w:id="139"/>
    <w:p>
      <w:pPr>
        <w:ind w:left="955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ind w:left="1490" w:right="20"/>
        <w:spacing w:after="0" w:line="291" w:lineRule="auto"/>
        <w:rPr>
          <w:sz w:val="20"/>
          <w:szCs w:val="20"/>
          <w:color w:val="auto"/>
        </w:rPr>
      </w:pPr>
      <w:r>
        <w:rPr>
          <w:rFonts w:ascii="Arial" w:cs="Arial" w:eastAsia="Arial" w:hAnsi="Arial"/>
          <w:sz w:val="18"/>
          <w:szCs w:val="18"/>
          <w:color w:val="auto"/>
        </w:rPr>
        <w:t>have the right and Gogo hereby grants Airspan a license to exploit the IPRs in any such Work Product in connection with any work carried out under a Statement of Work including the right to sublicense any subcontractor and supplier to the extent that Airspan requires to perform its obligations under this Agreement.</w:t>
      </w:r>
    </w:p>
    <w:p>
      <w:pPr>
        <w:spacing w:after="0" w:line="44" w:lineRule="exact"/>
        <w:rPr>
          <w:sz w:val="20"/>
          <w:szCs w:val="20"/>
          <w:color w:val="auto"/>
        </w:rPr>
      </w:pPr>
    </w:p>
    <w:p>
      <w:pPr>
        <w:jc w:val="both"/>
        <w:ind w:left="1490" w:hanging="747"/>
        <w:spacing w:after="0" w:line="232" w:lineRule="exact"/>
        <w:tabs>
          <w:tab w:leader="none" w:pos="1490"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License to Airspan Background IP,</w:t>
      </w:r>
      <w:r>
        <w:rPr>
          <w:rFonts w:ascii="Arial" w:cs="Arial" w:eastAsia="Arial" w:hAnsi="Arial"/>
          <w:sz w:val="19"/>
          <w:szCs w:val="19"/>
          <w:color w:val="auto"/>
        </w:rPr>
        <w:t xml:space="preserve"> [***]. Subject to any restrictions, reservations and other limitations set forth in Section 2.9(a)(iii) or the applicable Statement of Work, Airspan hereby grants to Gogo a worldwide, royalty-free (except as set forth in Section 2.9(a)(iii)), irrevocable, sublicensable, transferable, perpetual license to use, reproduce, practice, adapt, modify, commercialize, make, have made, use, keep, offer to sell, sell, import, and otherwise implement any Airspan Background IP [***]. The license granted in this Section 2.9(a)(ii) is (1) exclusive [***] and (2) non</w:t>
      </w:r>
      <w:r>
        <w:rPr>
          <w:rFonts w:ascii="MS PGothic" w:cs="MS PGothic" w:eastAsia="MS PGothic" w:hAnsi="MS PGothic"/>
          <w:sz w:val="19"/>
          <w:szCs w:val="19"/>
          <w:color w:val="auto"/>
        </w:rPr>
        <w:t>‑</w:t>
      </w:r>
      <w:r>
        <w:rPr>
          <w:rFonts w:ascii="Arial" w:cs="Arial" w:eastAsia="Arial" w:hAnsi="Arial"/>
          <w:sz w:val="19"/>
          <w:szCs w:val="19"/>
          <w:color w:val="auto"/>
        </w:rPr>
        <w:t>exclusive in all other respects. The exclusivity provided for above shall not prevent Airspan from carrying out or subcontracting with any third party to carry out any work required under a Statement of Work or from performing Airspan’s obligations under this Agreement. Except as set forth herein and as is necessary for Gogo to exercise its rights in and to the Services and [***] hereunder, nothing in this Agreement will be deemed to grant to, or confer upon Gogo, expressly or by implication, any rights or license to the Airspan Background IP.</w:t>
      </w:r>
    </w:p>
    <w:p>
      <w:pPr>
        <w:spacing w:after="0" w:line="196" w:lineRule="exact"/>
        <w:rPr>
          <w:rFonts w:ascii="Arial" w:cs="Arial" w:eastAsia="Arial" w:hAnsi="Arial"/>
          <w:sz w:val="19"/>
          <w:szCs w:val="19"/>
          <w:color w:val="auto"/>
        </w:rPr>
      </w:pPr>
    </w:p>
    <w:p>
      <w:pPr>
        <w:jc w:val="both"/>
        <w:ind w:left="1490" w:hanging="747"/>
        <w:spacing w:after="0" w:line="269" w:lineRule="auto"/>
        <w:tabs>
          <w:tab w:leader="none" w:pos="149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Restrictions on Gogo’s Use of Airspan Background IP,</w:t>
      </w:r>
      <w:r>
        <w:rPr>
          <w:rFonts w:ascii="Arial" w:cs="Arial" w:eastAsia="Arial" w:hAnsi="Arial"/>
          <w:sz w:val="18"/>
          <w:szCs w:val="18"/>
          <w:color w:val="auto"/>
        </w:rPr>
        <w:t xml:space="preserve"> [***]. Except as expressly permitted hereunder, Gogo will not: (a) reverse engineer, decompile or disassemble any software in the Airspan Background IP, [***], or any portion thereof that is provided by Airspan only in object code; (b) except as set forth in Section 2.9(a)(iii)(d), below, sublicense, lease, rent, loan or otherwise transfer (except pursuant to Section 12.1) the Airspan Background IP, [***] to any third party other than as part of, or in conjunction with, the commercialization of products purchased from Airspan and incorporating such Airspan Background IP, [***]in accordance with Section 2.9(a)(ii) above; (c) except as set forth in Section 2.9(a)(iii)(d), below, modify, alter, translate or create derivative works of the Airspan Background IP, [***]; or (d) unless and until this Agreement is terminated by Gogo under Sections 7.2(a), 7.2(b), or 7.2(e) or by Airspan under Section 7.2(c) of this Agreement, or the Supply and Product Support Agreement, dated November 25, 2019 (“PSA”) is terminated by Gogo under Sections 8.1(b), 8.1(d) or 8.1(e) of the PSA, Gogo will not exercise its rights under Section 2.9(a)(ii) to adapt, modify, commercialize, make, have made, use, keep, offer to sell, sell, import, and otherwise implement, further develop, or manufacture (or have manufactured) the [***], Airspan Background IP, [***], provided, however that in the event this Agreement is terminated by Gogo under Section 7.2(a) or 7.2(e) of this Agreement, or the PSA is terminated by Gogo under Sections 8.1(d) or 8.1(e) of the PSA, Gogo will pay Airspan a royalty on each third party product containing Airspan Background IP, [***]that Gogo purchases from any party other than Airspan in the amount of [***] of the price set forth in Exhibit B of the PSA for substantially similar Product immediately prior to the event leading to termination of this Agreement.</w:t>
      </w:r>
    </w:p>
    <w:p>
      <w:pPr>
        <w:spacing w:after="0" w:line="171" w:lineRule="exact"/>
        <w:rPr>
          <w:rFonts w:ascii="Arial" w:cs="Arial" w:eastAsia="Arial" w:hAnsi="Arial"/>
          <w:sz w:val="18"/>
          <w:szCs w:val="18"/>
          <w:color w:val="auto"/>
        </w:rPr>
      </w:pPr>
    </w:p>
    <w:p>
      <w:pPr>
        <w:jc w:val="both"/>
        <w:ind w:left="1490" w:hanging="747"/>
        <w:spacing w:after="0" w:line="244" w:lineRule="auto"/>
        <w:tabs>
          <w:tab w:leader="none" w:pos="1490"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License to Third-Party Materials</w:t>
      </w:r>
      <w:r>
        <w:rPr>
          <w:rFonts w:ascii="Arial" w:cs="Arial" w:eastAsia="Arial" w:hAnsi="Arial"/>
          <w:sz w:val="20"/>
          <w:szCs w:val="20"/>
          <w:color w:val="auto"/>
        </w:rPr>
        <w:t>. If any Third Party Materials are used in connection with or included in any Deliverables, Airspan will obtain a license from the relevant third parties to allow Gogo to include, use, reproduce and practice such Third Party Materials and to commercialize products purchased from Airspan and incorporating such Third Party Materials substantially the same as the license to Airspan Background IP set forth in Section 2.9(a)(ii).</w:t>
      </w:r>
    </w:p>
    <w:p>
      <w:pPr>
        <w:spacing w:after="0" w:line="86" w:lineRule="exact"/>
        <w:rPr>
          <w:rFonts w:ascii="Arial" w:cs="Arial" w:eastAsia="Arial" w:hAnsi="Arial"/>
          <w:sz w:val="20"/>
          <w:szCs w:val="20"/>
          <w:color w:val="auto"/>
        </w:rPr>
      </w:pPr>
    </w:p>
    <w:p>
      <w:pPr>
        <w:ind w:left="750" w:hanging="750"/>
        <w:spacing w:after="0"/>
        <w:tabs>
          <w:tab w:leader="none" w:pos="750" w:val="left"/>
        </w:tabs>
        <w:numPr>
          <w:ilvl w:val="0"/>
          <w:numId w:val="83"/>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jc w:val="both"/>
        <w:ind w:left="1490" w:hanging="747"/>
        <w:spacing w:after="0" w:line="243" w:lineRule="auto"/>
        <w:tabs>
          <w:tab w:leader="none" w:pos="1490" w:val="left"/>
        </w:tabs>
        <w:numPr>
          <w:ilvl w:val="1"/>
          <w:numId w:val="83"/>
        </w:numPr>
        <w:rPr>
          <w:rFonts w:ascii="Arial" w:cs="Arial" w:eastAsia="Arial" w:hAnsi="Arial"/>
          <w:sz w:val="20"/>
          <w:szCs w:val="20"/>
          <w:color w:val="auto"/>
        </w:rPr>
      </w:pPr>
      <w:r>
        <w:rPr>
          <w:rFonts w:ascii="Arial" w:cs="Arial" w:eastAsia="Arial" w:hAnsi="Arial"/>
          <w:sz w:val="20"/>
          <w:szCs w:val="20"/>
          <w:u w:val="single" w:color="auto"/>
          <w:color w:val="auto"/>
        </w:rPr>
        <w:t>Ownership of</w:t>
      </w:r>
      <w:r>
        <w:rPr>
          <w:rFonts w:ascii="Arial" w:cs="Arial" w:eastAsia="Arial" w:hAnsi="Arial"/>
          <w:sz w:val="20"/>
          <w:szCs w:val="20"/>
          <w:color w:val="auto"/>
        </w:rPr>
        <w:t xml:space="preserve"> [***]. Unless otherwise provided in the applicable Statement of Work, Airspan will own all [***], and all IPRs in those [***], and such [***] will constitute Confidential Information of Airspan. Gogo hereby assigns and agrees to assign, by way of present assignment of existing and future rights, without further consideration, all right, title and interest in and to such [***] (including, without limitation, all IPRs therein), to Airspan, effective immediately upon the creation of such [***]. Airspan, its successors and assigns, will have the right to obtain and hold in its or their own name copyrights, registrations and any other protection available in the foregoing.</w:t>
      </w:r>
    </w:p>
    <w:p>
      <w:pPr>
        <w:spacing w:after="0" w:line="200" w:lineRule="exact"/>
        <w:rPr>
          <w:rFonts w:ascii="Arial" w:cs="Arial" w:eastAsia="Arial" w:hAnsi="Arial"/>
          <w:sz w:val="20"/>
          <w:szCs w:val="20"/>
          <w:color w:val="auto"/>
        </w:rPr>
      </w:pPr>
    </w:p>
    <w:p>
      <w:pPr>
        <w:spacing w:after="0" w:line="330" w:lineRule="exact"/>
        <w:rPr>
          <w:rFonts w:ascii="Arial" w:cs="Arial" w:eastAsia="Arial" w:hAnsi="Arial"/>
          <w:sz w:val="20"/>
          <w:szCs w:val="20"/>
          <w:color w:val="auto"/>
        </w:rPr>
      </w:pPr>
    </w:p>
    <w:p>
      <w:pPr>
        <w:ind w:left="4830" w:hanging="121"/>
        <w:spacing w:after="0"/>
        <w:tabs>
          <w:tab w:leader="none" w:pos="4830" w:val="left"/>
        </w:tabs>
        <w:numPr>
          <w:ilvl w:val="2"/>
          <w:numId w:val="83"/>
        </w:numPr>
        <w:rPr>
          <w:rFonts w:ascii="Arial" w:cs="Arial" w:eastAsia="Arial" w:hAnsi="Arial"/>
          <w:sz w:val="20"/>
          <w:szCs w:val="20"/>
          <w:color w:val="auto"/>
        </w:rPr>
      </w:pPr>
      <w:r>
        <w:rPr>
          <w:rFonts w:ascii="Arial" w:cs="Arial" w:eastAsia="Arial" w:hAnsi="Arial"/>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78740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90"/>
          </w:cols>
          <w:pgMar w:left="1070" w:top="350"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4"/>
          <w:szCs w:val="14"/>
          <w:b w:val="1"/>
          <w:bCs w:val="1"/>
          <w:i w:val="1"/>
          <w:iCs w:val="1"/>
          <w:color w:val="auto"/>
        </w:rPr>
        <w:t>Execution Copy</w:t>
      </w:r>
    </w:p>
    <w:p>
      <w:pPr>
        <w:spacing w:after="0" w:line="138" w:lineRule="exact"/>
        <w:rPr>
          <w:sz w:val="20"/>
          <w:szCs w:val="20"/>
          <w:color w:val="auto"/>
        </w:rPr>
      </w:pPr>
    </w:p>
    <w:p>
      <w:pPr>
        <w:jc w:val="both"/>
        <w:ind w:left="1490" w:hanging="747"/>
        <w:spacing w:after="0" w:line="232" w:lineRule="exact"/>
        <w:tabs>
          <w:tab w:leader="none" w:pos="149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License to</w:t>
      </w:r>
      <w:r>
        <w:rPr>
          <w:rFonts w:ascii="Arial" w:cs="Arial" w:eastAsia="Arial" w:hAnsi="Arial"/>
          <w:sz w:val="18"/>
          <w:szCs w:val="18"/>
          <w:color w:val="auto"/>
        </w:rPr>
        <w:t xml:space="preserve"> [***]. Subject to any restrictions, reservations and other limitations set forth in any applicable Statement of Work, Airspan hereby grants to Gogo a fully-paid, worldwide, royalty-free, irrevocable, perpetual license to use, reproduce and practice any Airspan IPRs incorporated in any [***] for the purposes of testing and for further development work and otherwise using the Services in accordance with this Agreement and for the purpose of commercializing Products purchased from Airspan and incorporating such Airspan IPRs (but not for the manufacture of any [***] or any products incorporating any such Airspan IPRs). The license granted in this Section 2.9(b)(ii) is (a) exclusive [***] and (b) non</w:t>
      </w:r>
      <w:r>
        <w:rPr>
          <w:rFonts w:ascii="MS PGothic" w:cs="MS PGothic" w:eastAsia="MS PGothic" w:hAnsi="MS PGothic"/>
          <w:sz w:val="18"/>
          <w:szCs w:val="18"/>
          <w:color w:val="auto"/>
        </w:rPr>
        <w:t>‑</w:t>
      </w:r>
      <w:r>
        <w:rPr>
          <w:rFonts w:ascii="Arial" w:cs="Arial" w:eastAsia="Arial" w:hAnsi="Arial"/>
          <w:sz w:val="18"/>
          <w:szCs w:val="18"/>
          <w:color w:val="auto"/>
        </w:rPr>
        <w:t>exclusive in all other respects. The exclusivity provided for above shall not prevent Airspan from carrying out or subcontracting with any third party to carry out any work required under a Statement of Work or otherwise from performing Airspan’s obligations under this Agreement. Except as set forth herein and as is necessary for Gogo to exercise its rights in and to the Services and [***] hereunder, nothing in this Agreement will be deemed to grant to, or confer upon Gogo, expressly or by implication, any rights or license to the [***] or any Airspan IPRs therein.</w:t>
      </w:r>
    </w:p>
    <w:p>
      <w:pPr>
        <w:spacing w:after="0" w:line="196" w:lineRule="exact"/>
        <w:rPr>
          <w:rFonts w:ascii="Arial" w:cs="Arial" w:eastAsia="Arial" w:hAnsi="Arial"/>
          <w:sz w:val="18"/>
          <w:szCs w:val="18"/>
          <w:color w:val="auto"/>
        </w:rPr>
      </w:pPr>
    </w:p>
    <w:p>
      <w:pPr>
        <w:ind w:left="750" w:hanging="750"/>
        <w:spacing w:after="0"/>
        <w:tabs>
          <w:tab w:leader="none" w:pos="75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Gogo IP</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jc w:val="both"/>
        <w:ind w:left="1490" w:hanging="747"/>
        <w:spacing w:after="0" w:line="256" w:lineRule="auto"/>
        <w:tabs>
          <w:tab w:leader="none" w:pos="1490"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License to Gogo IP for the Purpose of Providing Services</w:t>
      </w:r>
      <w:r>
        <w:rPr>
          <w:rFonts w:ascii="Arial" w:cs="Arial" w:eastAsia="Arial" w:hAnsi="Arial"/>
          <w:sz w:val="19"/>
          <w:szCs w:val="19"/>
          <w:color w:val="auto"/>
        </w:rPr>
        <w:t>. Subject to any restrictions, reservations and other limitations set forth in Section 2.9(c)(iii) or the applicable Statement of Work, Gogo hereby grants to Airspan an irrevocable, sublicensable, royalty free, worldwide license to include, use, reproduce, practice, adapt, modify, make, have made, import, export, keep, commercialize and otherwise implement and exploit any Gogo Background IP and any other Gogo IPRs incorporated in Products solely for the purposes of carrying out any work under a Statement of Work, including the right to sublicense any subcontractor and supplier. Except as set forth herein and in Section 2.9(c)(ii), nothing in this Agreement will be deemed to grant to, or confer upon Airspan, expressly or by implication, any rights or license to the Gogo Background IP or other Gogo IPRs. All Gogo Background IP is Confidential Information of Gogo.</w:t>
      </w:r>
    </w:p>
    <w:p>
      <w:pPr>
        <w:spacing w:after="0" w:line="184" w:lineRule="exact"/>
        <w:rPr>
          <w:sz w:val="20"/>
          <w:szCs w:val="20"/>
          <w:color w:val="auto"/>
        </w:rPr>
      </w:pPr>
    </w:p>
    <w:p>
      <w:pPr>
        <w:jc w:val="both"/>
        <w:ind w:left="1490" w:hanging="747"/>
        <w:spacing w:after="0" w:line="257" w:lineRule="auto"/>
        <w:tabs>
          <w:tab w:leader="none" w:pos="149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License to Gogo Background IP</w:t>
      </w:r>
      <w:r>
        <w:rPr>
          <w:rFonts w:ascii="Arial" w:cs="Arial" w:eastAsia="Arial" w:hAnsi="Arial"/>
          <w:sz w:val="19"/>
          <w:szCs w:val="19"/>
          <w:color w:val="auto"/>
        </w:rPr>
        <w:t>. Subject to any restrictions, reservations and other limitations set forth in Section 2.9(c)(iii) or the applicable Statement of Work, Gogo hereby grants to Airspan an irrevocable, sublicensable, transferrable, royalty bearing (as set forth in Section 3.3), license to include, use, reproduce, practice, adapt, modify, commercialize and otherwise implement any Gogo Background IP that is incorporated within the [***]. The license granted in this Section 2.9(c)(ii) is (1) exclusive to Airspan [***] for the duration of Airspan’s exclusivity set forth in Section 3.2, (2) excludes use [***] other than in collaboration with and for the benefit of Gogo, and, (3) is non-exclusive in all other respects.</w:t>
      </w:r>
    </w:p>
    <w:p>
      <w:pPr>
        <w:spacing w:after="0" w:line="184" w:lineRule="exact"/>
        <w:rPr>
          <w:rFonts w:ascii="Arial" w:cs="Arial" w:eastAsia="Arial" w:hAnsi="Arial"/>
          <w:sz w:val="19"/>
          <w:szCs w:val="19"/>
          <w:color w:val="auto"/>
        </w:rPr>
      </w:pPr>
    </w:p>
    <w:p>
      <w:pPr>
        <w:jc w:val="both"/>
        <w:ind w:left="1490" w:hanging="747"/>
        <w:spacing w:after="0" w:line="273" w:lineRule="auto"/>
        <w:tabs>
          <w:tab w:leader="none" w:pos="149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Restrictions on Airspan’s Use of Gogo IPRs</w:t>
      </w:r>
      <w:r>
        <w:rPr>
          <w:rFonts w:ascii="Arial" w:cs="Arial" w:eastAsia="Arial" w:hAnsi="Arial"/>
          <w:sz w:val="18"/>
          <w:szCs w:val="18"/>
          <w:color w:val="auto"/>
        </w:rPr>
        <w:t>. Except as expressly permitted hereunder, Airspan will not: (a) reverse engineer, decompile or disassemble any software in the Gogo Background IP or Gogo IPRs, or any portion thereof that is provided by Gogo only in object code; (b) sublicense, lease, rent, loan or otherwise transfer (except pursuant to Section 12.1) the Gogo Background IP or Gogo IPRs to any third party, other than as part of or in conjunction with the commercialization and sale of products and services within the licenses granted under Sections 2.9(c)(i) and 2.9(c)(ii); or (c) modify, alter, translate or create derivative works from the Gogo Background IP or Gogo IPRs, other than as part of or in conjunction with the development, commercialization and sale of products and services within the licenses granted under Sections 2.9(c)(i) and 2.9(c)(ii).</w:t>
      </w:r>
    </w:p>
    <w:p>
      <w:pPr>
        <w:spacing w:after="0" w:line="168" w:lineRule="exact"/>
        <w:rPr>
          <w:rFonts w:ascii="Arial" w:cs="Arial" w:eastAsia="Arial" w:hAnsi="Arial"/>
          <w:sz w:val="18"/>
          <w:szCs w:val="18"/>
          <w:color w:val="auto"/>
        </w:rPr>
      </w:pPr>
    </w:p>
    <w:p>
      <w:pPr>
        <w:jc w:val="both"/>
        <w:ind w:left="1490" w:hanging="747"/>
        <w:spacing w:after="0" w:line="282" w:lineRule="auto"/>
        <w:tabs>
          <w:tab w:leader="none" w:pos="149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License to Third-Party Materials</w:t>
      </w:r>
      <w:r>
        <w:rPr>
          <w:rFonts w:ascii="Arial" w:cs="Arial" w:eastAsia="Arial" w:hAnsi="Arial"/>
          <w:sz w:val="18"/>
          <w:szCs w:val="18"/>
          <w:color w:val="auto"/>
        </w:rPr>
        <w:t>. If any Gogo Background IP used in connection with or included in any [***] includes any Third Party Materials, Gogo will obtain a license from the relevant third parties to allow Airspan to include, use, reproduce, practice, adapt, commercialize and otherwise implement such Third Party Materials substantially the same as the license to Gogo Background IP set forth in Sections 2.9(c)(i) and 2.9(c)(ii).</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4830" w:hanging="121"/>
        <w:spacing w:after="0"/>
        <w:tabs>
          <w:tab w:leader="none" w:pos="4830" w:val="left"/>
        </w:tabs>
        <w:numPr>
          <w:ilvl w:val="1"/>
          <w:numId w:val="86"/>
        </w:numPr>
        <w:rPr>
          <w:rFonts w:ascii="Arial" w:cs="Arial" w:eastAsia="Arial" w:hAnsi="Arial"/>
          <w:sz w:val="20"/>
          <w:szCs w:val="20"/>
          <w:color w:val="auto"/>
        </w:rPr>
      </w:pPr>
      <w:r>
        <w:rPr>
          <w:rFonts w:ascii="Arial" w:cs="Arial" w:eastAsia="Arial" w:hAnsi="Arial"/>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78740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90"/>
          </w:cols>
          <w:pgMar w:left="1070" w:top="350" w:right="339" w:bottom="1440" w:gutter="0" w:footer="0" w:header="0"/>
        </w:sectPr>
      </w:pPr>
    </w:p>
    <w:bookmarkStart w:id="141" w:name="page142"/>
    <w:bookmarkEnd w:id="141"/>
    <w:p>
      <w:pPr>
        <w:ind w:left="1030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ind w:left="760" w:hanging="741"/>
        <w:spacing w:after="0" w:line="275" w:lineRule="auto"/>
        <w:tabs>
          <w:tab w:leader="none" w:pos="74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Acceptance of Services and Deliverables</w:t>
      </w:r>
      <w:r>
        <w:rPr>
          <w:rFonts w:ascii="Arial" w:cs="Arial" w:eastAsia="Arial" w:hAnsi="Arial"/>
          <w:sz w:val="18"/>
          <w:szCs w:val="18"/>
          <w:color w:val="auto"/>
        </w:rPr>
        <w:t>. Gogo, with Airspan’s cooperation and assistance, may conduct acceptance tests to verify</w:t>
      </w:r>
      <w:r>
        <w:rPr>
          <w:rFonts w:ascii="Arial" w:cs="Arial" w:eastAsia="Arial" w:hAnsi="Arial"/>
          <w:sz w:val="18"/>
          <w:szCs w:val="18"/>
          <w:u w:val="single" w:color="auto"/>
          <w:color w:val="auto"/>
        </w:rPr>
        <w:t xml:space="preserve"> </w:t>
      </w:r>
      <w:r>
        <w:rPr>
          <w:rFonts w:ascii="Arial" w:cs="Arial" w:eastAsia="Arial" w:hAnsi="Arial"/>
          <w:sz w:val="18"/>
          <w:szCs w:val="18"/>
          <w:color w:val="auto"/>
        </w:rPr>
        <w:t>whether the Services and/or Deliverables substantially conform to the applicable Specifications and SOW. Gogo shall have thirty</w:t>
      </w:r>
    </w:p>
    <w:p>
      <w:pPr>
        <w:spacing w:after="0" w:line="1" w:lineRule="exact"/>
        <w:rPr>
          <w:sz w:val="20"/>
          <w:szCs w:val="20"/>
          <w:color w:val="auto"/>
        </w:rPr>
      </w:pPr>
    </w:p>
    <w:p>
      <w:pPr>
        <w:jc w:val="both"/>
        <w:ind w:left="760" w:hanging="10"/>
        <w:spacing w:after="0" w:line="253" w:lineRule="auto"/>
        <w:tabs>
          <w:tab w:leader="none" w:pos="1161" w:val="left"/>
        </w:tabs>
        <w:numPr>
          <w:ilvl w:val="1"/>
          <w:numId w:val="87"/>
        </w:numPr>
        <w:rPr>
          <w:rFonts w:ascii="Arial" w:cs="Arial" w:eastAsia="Arial" w:hAnsi="Arial"/>
          <w:sz w:val="19"/>
          <w:szCs w:val="19"/>
          <w:color w:val="auto"/>
        </w:rPr>
      </w:pPr>
      <w:r>
        <w:rPr>
          <w:rFonts w:ascii="Arial" w:cs="Arial" w:eastAsia="Arial" w:hAnsi="Arial"/>
          <w:sz w:val="19"/>
          <w:szCs w:val="19"/>
          <w:color w:val="auto"/>
        </w:rPr>
        <w:t>days after completion of the applicable Services or delivery of the applicable Deliverables, or such other period as may be mutually agreed in the applicable SOW (the “Acceptance Period”), to test the Services and Deliverables. If Gogo notifies Airspan of any material non-conformities with the Specifications or applicable SOW in any of the Services or Deliverables (collectively “Non-conformities”) in writing within the applicable Acceptance Period, Airspan shall promptly correct such Non-conformities at Airspan’s own expense. Gogo then shall have the right to test the corrected Services or Deliverables, as upon the initial completion of the applicable Services or Deliverables. If Gogo does not notify Airspan of any material Non-conformities within the Acceptance Period, Gogo shall be deemed to have accepted the Services or Deliverables. Should Airspan fail to correct a Non-conformity within thirty (30) days after receiving written notice of it or such other time period to which the Parties mutually agree, Gogo may terminate the Services under the applicable SOW, and Airspan shall refund the fees and expenses paid by Gogo to Airspan for Non-conforming Services or Deliverables and for any other Services or Deliverables that are reliant on such Non-conformities and rendered of no reasonable utility to Gogo by virtue of the failure of such Airspan to correct such Non-conformities.</w:t>
      </w:r>
    </w:p>
    <w:p>
      <w:pPr>
        <w:spacing w:after="0" w:line="76" w:lineRule="exact"/>
        <w:rPr>
          <w:rFonts w:ascii="Arial" w:cs="Arial" w:eastAsia="Arial" w:hAnsi="Arial"/>
          <w:sz w:val="19"/>
          <w:szCs w:val="19"/>
          <w:color w:val="auto"/>
        </w:rPr>
      </w:pPr>
    </w:p>
    <w:p>
      <w:pPr>
        <w:ind w:left="760" w:hanging="752"/>
        <w:spacing w:after="0"/>
        <w:tabs>
          <w:tab w:leader="none" w:pos="760" w:val="left"/>
        </w:tabs>
        <w:numPr>
          <w:ilvl w:val="0"/>
          <w:numId w:val="88"/>
        </w:numPr>
        <w:rPr>
          <w:rFonts w:ascii="Arial" w:cs="Arial" w:eastAsia="Arial" w:hAnsi="Arial"/>
          <w:sz w:val="20"/>
          <w:szCs w:val="20"/>
          <w:color w:val="auto"/>
        </w:rPr>
      </w:pPr>
      <w:r>
        <w:rPr>
          <w:rFonts w:ascii="Arial" w:cs="Arial" w:eastAsia="Arial" w:hAnsi="Arial"/>
          <w:sz w:val="20"/>
          <w:szCs w:val="20"/>
          <w:b w:val="1"/>
          <w:bCs w:val="1"/>
          <w:u w:val="single" w:color="auto"/>
          <w:color w:val="auto"/>
        </w:rPr>
        <w:t>EXCLUSIVITY.</w:t>
      </w:r>
    </w:p>
    <w:p>
      <w:pPr>
        <w:spacing w:after="0" w:line="114" w:lineRule="exact"/>
        <w:rPr>
          <w:sz w:val="20"/>
          <w:szCs w:val="20"/>
          <w:color w:val="auto"/>
        </w:rPr>
      </w:pPr>
    </w:p>
    <w:p>
      <w:pPr>
        <w:ind w:left="760" w:hanging="741"/>
        <w:spacing w:after="0" w:line="287" w:lineRule="auto"/>
        <w:tabs>
          <w:tab w:leader="none" w:pos="7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u w:val="single" w:color="auto"/>
          <w:color w:val="auto"/>
        </w:rPr>
        <w:t>Exclusivity</w:t>
      </w:r>
      <w:r>
        <w:rPr>
          <w:rFonts w:ascii="Arial" w:cs="Arial" w:eastAsia="Arial" w:hAnsi="Arial"/>
          <w:sz w:val="19"/>
          <w:szCs w:val="19"/>
          <w:color w:val="auto"/>
        </w:rPr>
        <w:t>. Airspan hereby grants to Gogo the exclusive right to buy from Airspan, implement, and operate [***]. Further, Airspan covenants not to sell, implement or operate [***] other than in collaboration with and for the benefit of Gogo.</w:t>
      </w:r>
    </w:p>
    <w:p>
      <w:pPr>
        <w:spacing w:after="0" w:line="44" w:lineRule="exact"/>
        <w:rPr>
          <w:sz w:val="20"/>
          <w:szCs w:val="20"/>
          <w:color w:val="auto"/>
        </w:rPr>
      </w:pPr>
    </w:p>
    <w:p>
      <w:pPr>
        <w:jc w:val="right"/>
        <w:spacing w:after="0" w:line="260" w:lineRule="auto"/>
        <w:rPr>
          <w:sz w:val="20"/>
          <w:szCs w:val="20"/>
          <w:color w:val="auto"/>
        </w:rPr>
      </w:pPr>
      <w:r>
        <w:rPr>
          <w:rFonts w:ascii="Arial" w:cs="Arial" w:eastAsia="Arial" w:hAnsi="Arial"/>
          <w:sz w:val="19"/>
          <w:szCs w:val="19"/>
          <w:color w:val="auto"/>
        </w:rPr>
        <w:t xml:space="preserve">3.2     [***] </w:t>
      </w:r>
      <w:r>
        <w:rPr>
          <w:rFonts w:ascii="Arial" w:cs="Arial" w:eastAsia="Arial" w:hAnsi="Arial"/>
          <w:sz w:val="19"/>
          <w:szCs w:val="19"/>
          <w:u w:val="single" w:color="auto"/>
          <w:color w:val="auto"/>
        </w:rPr>
        <w:t>Exclusivity</w:t>
      </w:r>
      <w:r>
        <w:rPr>
          <w:rFonts w:ascii="Arial" w:cs="Arial" w:eastAsia="Arial" w:hAnsi="Arial"/>
          <w:sz w:val="19"/>
          <w:szCs w:val="19"/>
          <w:color w:val="auto"/>
        </w:rPr>
        <w:t>. Gogo hereby grants to Airspan the exclusive right to buy, implement, and operate ATG connectivity solutions for use in [***] applications in [***]. Further, Gogo covenants not to sell, implement or operate ATG connectivity solutions for use in</w:t>
      </w:r>
    </w:p>
    <w:p>
      <w:pPr>
        <w:spacing w:after="0" w:line="2" w:lineRule="exact"/>
        <w:rPr>
          <w:sz w:val="20"/>
          <w:szCs w:val="20"/>
          <w:color w:val="auto"/>
        </w:rPr>
      </w:pPr>
    </w:p>
    <w:p>
      <w:pPr>
        <w:ind w:left="1220" w:hanging="470"/>
        <w:spacing w:after="0"/>
        <w:tabs>
          <w:tab w:leader="none" w:pos="12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applications in [***] other than in collaboration with and for the benefit of Airspan.</w:t>
      </w:r>
    </w:p>
    <w:p>
      <w:pPr>
        <w:spacing w:after="0" w:line="9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3.3</w:t>
      </w:r>
      <w:r>
        <w:rPr>
          <w:rFonts w:ascii="Arial" w:cs="Arial" w:eastAsia="Arial" w:hAnsi="Arial"/>
          <w:sz w:val="18"/>
          <w:szCs w:val="18"/>
          <w:u w:val="single" w:color="auto"/>
          <w:color w:val="auto"/>
        </w:rPr>
        <w:t>Rest of World</w:t>
      </w:r>
      <w:r>
        <w:rPr>
          <w:rFonts w:ascii="Arial" w:cs="Arial" w:eastAsia="Arial" w:hAnsi="Arial"/>
          <w:sz w:val="18"/>
          <w:szCs w:val="18"/>
          <w:color w:val="auto"/>
        </w:rPr>
        <w:t>. Subject to Sections 3.1 and 3.2 above, in all markets other than [***], [***]:</w:t>
      </w:r>
    </w:p>
    <w:p>
      <w:pPr>
        <w:spacing w:after="0" w:line="108" w:lineRule="exact"/>
        <w:rPr>
          <w:sz w:val="20"/>
          <w:szCs w:val="20"/>
          <w:color w:val="auto"/>
        </w:rPr>
      </w:pPr>
    </w:p>
    <w:p>
      <w:pPr>
        <w:ind w:left="1500" w:hanging="750"/>
        <w:spacing w:after="0" w:line="260" w:lineRule="auto"/>
        <w:tabs>
          <w:tab w:leader="none" w:pos="15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Each Party may use, sell, offer to sell, market, distribute, resell, license, or otherwise dispose of any ATG connectivity solution.</w:t>
      </w:r>
    </w:p>
    <w:p>
      <w:pPr>
        <w:spacing w:after="0" w:line="68" w:lineRule="exact"/>
        <w:rPr>
          <w:rFonts w:ascii="Arial" w:cs="Arial" w:eastAsia="Arial" w:hAnsi="Arial"/>
          <w:sz w:val="20"/>
          <w:szCs w:val="20"/>
          <w:color w:val="auto"/>
        </w:rPr>
      </w:pPr>
    </w:p>
    <w:p>
      <w:pPr>
        <w:jc w:val="both"/>
        <w:ind w:left="1500" w:hanging="750"/>
        <w:spacing w:after="0" w:line="246" w:lineRule="auto"/>
        <w:tabs>
          <w:tab w:leader="none" w:pos="15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Gogo hereby grants to Airspan the non-exclusive right to use, sell, offer to sell, market, distribute, resell, license, or otherwise dispose of any ATG connectivity solution that incorporates or uses know-how developed in connection with this Agreement or any SOW or Gogo intellectual property and Airspan will pay [***] derived from the sale of ATG-related equipment or services in accordance with the scope of this Section 3.3.</w:t>
      </w:r>
    </w:p>
    <w:p>
      <w:pPr>
        <w:spacing w:after="0" w:line="83" w:lineRule="exact"/>
        <w:rPr>
          <w:rFonts w:ascii="Arial" w:cs="Arial" w:eastAsia="Arial" w:hAnsi="Arial"/>
          <w:sz w:val="20"/>
          <w:szCs w:val="20"/>
          <w:color w:val="auto"/>
        </w:rPr>
      </w:pPr>
    </w:p>
    <w:p>
      <w:pPr>
        <w:jc w:val="both"/>
        <w:ind w:left="1500" w:hanging="750"/>
        <w:spacing w:after="0" w:line="250" w:lineRule="auto"/>
        <w:tabs>
          <w:tab w:leader="none" w:pos="15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Airspan hereby grants to Gogo the non-exclusive right to use, sell, offer to sell, market, distribute, resell, license, or otherwise dispose of any ATG connectivity solution that incorporates or uses Airspan intellectual property or know-how developed in connection with this Agreement or any SOW.</w:t>
      </w:r>
    </w:p>
    <w:p>
      <w:pPr>
        <w:spacing w:after="0" w:line="78" w:lineRule="exact"/>
        <w:rPr>
          <w:sz w:val="20"/>
          <w:szCs w:val="20"/>
          <w:color w:val="auto"/>
        </w:rPr>
      </w:pPr>
    </w:p>
    <w:p>
      <w:pPr>
        <w:jc w:val="both"/>
        <w:ind w:left="760" w:hanging="741"/>
        <w:spacing w:after="0" w:line="272" w:lineRule="auto"/>
        <w:tabs>
          <w:tab w:leader="none" w:pos="7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u w:val="single" w:color="auto"/>
          <w:color w:val="auto"/>
        </w:rPr>
        <w:t>Minimum Revenue Commitment</w:t>
      </w:r>
      <w:r>
        <w:rPr>
          <w:rFonts w:ascii="Arial" w:cs="Arial" w:eastAsia="Arial" w:hAnsi="Arial"/>
          <w:sz w:val="18"/>
          <w:szCs w:val="18"/>
          <w:color w:val="auto"/>
        </w:rPr>
        <w:t>. Following the Commercial Release, in the event revenues to Airspan generated by the ATG</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connectivity solution (including any and all revenues generated under this Agreement or the PSA) is [***], (a) the exclusivity set forth in Sections 2.9(a)(ii), 2.9(b)(ii), 2.9(c)(i), and 3 will terminate and the rights granted therein will become non-exclusive, and</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(b) the covenants set forth in this Section 3 will expire.</w:t>
      </w:r>
    </w:p>
    <w:p>
      <w:pPr>
        <w:spacing w:after="0" w:line="92"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u w:val="single" w:color="auto"/>
          <w:color w:val="auto"/>
        </w:rPr>
        <w:t>Termination of Exclusivity</w:t>
      </w:r>
      <w:r>
        <w:rPr>
          <w:rFonts w:ascii="Arial" w:cs="Arial" w:eastAsia="Arial" w:hAnsi="Arial"/>
          <w:sz w:val="20"/>
          <w:szCs w:val="20"/>
          <w:color w:val="auto"/>
        </w:rPr>
        <w:t>. The foregoing exclusivities will terminate, the rights granted in Sections 2.9(a)(ii), 2.9(b)(ii), 2.9(c)(i),</w:t>
      </w:r>
      <w:r>
        <w:rPr>
          <w:rFonts w:ascii="Arial" w:cs="Arial" w:eastAsia="Arial" w:hAnsi="Arial"/>
          <w:sz w:val="20"/>
          <w:szCs w:val="20"/>
          <w:u w:val="single" w:color="auto"/>
          <w:color w:val="auto"/>
        </w:rPr>
        <w:t xml:space="preserve"> </w:t>
      </w:r>
      <w:r>
        <w:rPr>
          <w:rFonts w:ascii="Arial" w:cs="Arial" w:eastAsia="Arial" w:hAnsi="Arial"/>
          <w:sz w:val="20"/>
          <w:szCs w:val="20"/>
          <w:color w:val="auto"/>
        </w:rPr>
        <w:t>and 3 will become non-exclusive, and the covenants set forth in this Section 3 will expire if Gogo fails to achieve Commercial Release, through no fault of Airspan, on or before December 31, 2023.</w:t>
      </w:r>
    </w:p>
    <w:p>
      <w:pPr>
        <w:spacing w:after="0" w:line="72" w:lineRule="exact"/>
        <w:rPr>
          <w:sz w:val="20"/>
          <w:szCs w:val="20"/>
          <w:color w:val="auto"/>
        </w:rPr>
      </w:pPr>
    </w:p>
    <w:p>
      <w:pPr>
        <w:ind w:left="760" w:hanging="752"/>
        <w:spacing w:after="0"/>
        <w:tabs>
          <w:tab w:leader="none" w:pos="760" w:val="left"/>
        </w:tabs>
        <w:numPr>
          <w:ilvl w:val="0"/>
          <w:numId w:val="91"/>
        </w:numPr>
        <w:rPr>
          <w:rFonts w:ascii="Arial" w:cs="Arial" w:eastAsia="Arial" w:hAnsi="Arial"/>
          <w:sz w:val="20"/>
          <w:szCs w:val="20"/>
          <w:color w:val="auto"/>
        </w:rPr>
      </w:pPr>
      <w:r>
        <w:rPr>
          <w:rFonts w:ascii="Arial" w:cs="Arial" w:eastAsia="Arial" w:hAnsi="Arial"/>
          <w:sz w:val="20"/>
          <w:szCs w:val="20"/>
          <w:b w:val="1"/>
          <w:bCs w:val="1"/>
          <w:u w:val="single" w:color="auto"/>
          <w:color w:val="auto"/>
        </w:rPr>
        <w:t>FEES AND EXPENSES.</w:t>
      </w:r>
    </w:p>
    <w:p>
      <w:pPr>
        <w:spacing w:after="0" w:line="114" w:lineRule="exact"/>
        <w:rPr>
          <w:sz w:val="20"/>
          <w:szCs w:val="20"/>
          <w:color w:val="auto"/>
        </w:rPr>
      </w:pPr>
    </w:p>
    <w:p>
      <w:pPr>
        <w:jc w:val="both"/>
        <w:ind w:left="760" w:hanging="741"/>
        <w:spacing w:after="0" w:line="243" w:lineRule="auto"/>
        <w:tabs>
          <w:tab w:leader="none" w:pos="7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u w:val="single" w:color="auto"/>
          <w:color w:val="auto"/>
        </w:rPr>
        <w:t>Service Fees</w:t>
      </w:r>
      <w:r>
        <w:rPr>
          <w:rFonts w:ascii="Arial" w:cs="Arial" w:eastAsia="Arial" w:hAnsi="Arial"/>
          <w:sz w:val="20"/>
          <w:szCs w:val="20"/>
          <w:color w:val="auto"/>
        </w:rPr>
        <w:t>. Gogo shall pay Airspan for the provision of Services in accordance with the schedule of fees and charges set forth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applicable SOW. Airspan shall furnish all labor, materials, services and equipment, and shall perform all of the Services, solely at Airspan’s cost and expense. Except as the Parties otherwise agree in writing, without right to reimbursement from Gogo, Airspan shall pay or cause to be paid all contributions, payments, taxes and deductions for social security, old age retirement benefits, unemployment insurance, and annuities, pension or welfare fund payments required by any labor union or by any governmental body, and all</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42" w:name="page143"/>
    <w:bookmarkEnd w:id="142"/>
    <w:p>
      <w:pPr>
        <w:ind w:left="1030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ind w:left="760"/>
        <w:spacing w:after="0" w:line="291" w:lineRule="auto"/>
        <w:rPr>
          <w:sz w:val="20"/>
          <w:szCs w:val="20"/>
          <w:color w:val="auto"/>
        </w:rPr>
      </w:pPr>
      <w:r>
        <w:rPr>
          <w:rFonts w:ascii="Arial" w:cs="Arial" w:eastAsia="Arial" w:hAnsi="Arial"/>
          <w:sz w:val="18"/>
          <w:szCs w:val="18"/>
          <w:color w:val="auto"/>
        </w:rPr>
        <w:t>withholding taxes, measured by or related to the wages, salaries or other compensation paid to persons employed or engaged by Airspan in connection with the performance of such Services under this Agreement. In connection with the foregoing, Airspan shall comply with all laws and regulations applicable to Airspan and/or to persons employed or engaged by Airspan.</w:t>
      </w:r>
    </w:p>
    <w:p>
      <w:pPr>
        <w:spacing w:after="0" w:line="44" w:lineRule="exact"/>
        <w:rPr>
          <w:sz w:val="20"/>
          <w:szCs w:val="20"/>
          <w:color w:val="auto"/>
        </w:rPr>
      </w:pPr>
    </w:p>
    <w:p>
      <w:pPr>
        <w:jc w:val="both"/>
        <w:ind w:left="760" w:hanging="741"/>
        <w:spacing w:after="0" w:line="276" w:lineRule="auto"/>
        <w:tabs>
          <w:tab w:leader="none" w:pos="7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Expenses</w:t>
      </w:r>
      <w:r>
        <w:rPr>
          <w:rFonts w:ascii="Arial" w:cs="Arial" w:eastAsia="Arial" w:hAnsi="Arial"/>
          <w:sz w:val="18"/>
          <w:szCs w:val="18"/>
          <w:color w:val="auto"/>
        </w:rPr>
        <w:t>. Gogo shall reimburse Airspan for its reasonable out-of-pocket costs and expenses specifically authorized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applicable SOW or otherwise authorized in advance in writing by Gogo in connection with the Services and in accordance with Gogo’s written reimbursement policy. Airspan shall provide documentation of all expenses greater than $75 for which Airspan requests reimbursement on a monthly basis, prior to the generation of any invoice on which such expenses are listed. Notwithstanding anything to the contrary herein, Gogo shall not be required to reimburse Airspan for any expenses to the extent that Airspan has not presented an expense report verifying such expenses within 75 days after such expenses were incurred.</w:t>
      </w:r>
    </w:p>
    <w:p>
      <w:pPr>
        <w:spacing w:after="0" w:line="57" w:lineRule="exact"/>
        <w:rPr>
          <w:sz w:val="20"/>
          <w:szCs w:val="20"/>
          <w:color w:val="auto"/>
        </w:rPr>
      </w:pPr>
    </w:p>
    <w:p>
      <w:pPr>
        <w:jc w:val="both"/>
        <w:ind w:left="760" w:hanging="741"/>
        <w:spacing w:after="0" w:line="274" w:lineRule="auto"/>
        <w:tabs>
          <w:tab w:leader="none" w:pos="7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Records; Audit</w:t>
      </w:r>
      <w:r>
        <w:rPr>
          <w:rFonts w:ascii="Arial" w:cs="Arial" w:eastAsia="Arial" w:hAnsi="Arial"/>
          <w:sz w:val="18"/>
          <w:szCs w:val="18"/>
          <w:color w:val="auto"/>
        </w:rPr>
        <w:t>. Airspan shall maintain adequate records of the fees and expenses charged to Gogo with respect to the Services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under each SOW for at least seven (7) years after completion of the applicable SOW. Airspan shall make such records available to Gogo during normal business hours upon reasonable advance written notice. Airspan shall cooperate in any audit of such records that Gogo may undertake;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audit shall be at Gogo’s sole expense. If, as a result of such audit, it is determined that Airspan has overcharged Gogo, Gogo shall notify Airspan of the amount of such overcharge, and Airspan shall credit to Gogo the amount of such overcharge. In addition, if any such audit reveals an overcharge that is equal to or greater than 10% of the amounts billed for the period of time audited, Airspan shall reimburse Gogo for all costs related to the audit.</w:t>
      </w:r>
    </w:p>
    <w:p>
      <w:pPr>
        <w:spacing w:after="0" w:line="60" w:lineRule="exact"/>
        <w:rPr>
          <w:sz w:val="20"/>
          <w:szCs w:val="20"/>
          <w:color w:val="auto"/>
        </w:rPr>
      </w:pPr>
    </w:p>
    <w:p>
      <w:pPr>
        <w:jc w:val="both"/>
        <w:ind w:left="760" w:hanging="741"/>
        <w:spacing w:after="0" w:line="242" w:lineRule="auto"/>
        <w:tabs>
          <w:tab w:leader="none" w:pos="7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u w:val="single" w:color="auto"/>
          <w:color w:val="auto"/>
        </w:rPr>
        <w:t>Payment Terms</w:t>
      </w:r>
      <w:r>
        <w:rPr>
          <w:rFonts w:ascii="Arial" w:cs="Arial" w:eastAsia="Arial" w:hAnsi="Arial"/>
          <w:sz w:val="20"/>
          <w:szCs w:val="20"/>
          <w:color w:val="auto"/>
        </w:rPr>
        <w:t>. Airspan shall issue an invoice to Gogo on or any time after the completion or delivery and only in accordance with</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these payment terms. Gogo shall pay all properly invoiced amounts due to Airspan via ACH transfer within sixty (60) days after Gogo’s receipt of such invoice, except for any amounts disputed by Gogo in good faith. All payments hereunder will be in US dollars unless otherwise agreed to in writing. In the event of a payment dispute, Gogo shall deliver a written statement to Airspan no later than ten (10) business days prior to the date payment is due on the disputed invoice listing all disputed items and providing a reasonably detailed description of each disputed item. Amounts not so disputed are deemed accepted and must be paid, notwithstanding disputes on other items, within the period set forth in this Section 4. The Parties shall seek to resolve all such disputes expeditiously and in good faith. Airspan shall continue performing its obligations under this Agreement notwithstanding any such dispute.</w:t>
      </w:r>
    </w:p>
    <w:p>
      <w:pPr>
        <w:spacing w:after="0" w:line="86"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u w:val="single" w:color="auto"/>
          <w:color w:val="auto"/>
        </w:rPr>
        <w:t>Taxes</w:t>
      </w:r>
      <w:r>
        <w:rPr>
          <w:rFonts w:ascii="Arial" w:cs="Arial" w:eastAsia="Arial" w:hAnsi="Arial"/>
          <w:sz w:val="20"/>
          <w:szCs w:val="20"/>
          <w:color w:val="auto"/>
        </w:rPr>
        <w:t>. Gogo is liable to Airspan only for taxes, which Airspan is required to collect from Gogo by law. Airspan’s invoices shall list</w:t>
      </w:r>
      <w:r>
        <w:rPr>
          <w:rFonts w:ascii="Arial" w:cs="Arial" w:eastAsia="Arial" w:hAnsi="Arial"/>
          <w:sz w:val="20"/>
          <w:szCs w:val="20"/>
          <w:u w:val="single" w:color="auto"/>
          <w:color w:val="auto"/>
        </w:rPr>
        <w:t xml:space="preserve"> </w:t>
      </w:r>
      <w:r>
        <w:rPr>
          <w:rFonts w:ascii="Arial" w:cs="Arial" w:eastAsia="Arial" w:hAnsi="Arial"/>
          <w:sz w:val="20"/>
          <w:szCs w:val="20"/>
          <w:color w:val="auto"/>
        </w:rPr>
        <w:t>taxes separately.</w:t>
      </w:r>
    </w:p>
    <w:p>
      <w:pPr>
        <w:spacing w:after="0" w:line="63" w:lineRule="exact"/>
        <w:rPr>
          <w:sz w:val="20"/>
          <w:szCs w:val="20"/>
          <w:color w:val="auto"/>
        </w:rPr>
      </w:pPr>
    </w:p>
    <w:p>
      <w:pPr>
        <w:ind w:left="760" w:hanging="752"/>
        <w:spacing w:after="0"/>
        <w:tabs>
          <w:tab w:leader="none" w:pos="760" w:val="left"/>
        </w:tabs>
        <w:numPr>
          <w:ilvl w:val="0"/>
          <w:numId w:val="92"/>
        </w:numPr>
        <w:rPr>
          <w:rFonts w:ascii="Arial" w:cs="Arial" w:eastAsia="Arial" w:hAnsi="Arial"/>
          <w:sz w:val="20"/>
          <w:szCs w:val="20"/>
          <w:color w:val="auto"/>
        </w:rPr>
      </w:pPr>
      <w:r>
        <w:rPr>
          <w:rFonts w:ascii="Arial" w:cs="Arial" w:eastAsia="Arial" w:hAnsi="Arial"/>
          <w:sz w:val="20"/>
          <w:szCs w:val="20"/>
          <w:b w:val="1"/>
          <w:bCs w:val="1"/>
          <w:u w:val="single" w:color="auto"/>
          <w:color w:val="auto"/>
        </w:rPr>
        <w:t>CONFIDENTIALITY.</w:t>
      </w:r>
    </w:p>
    <w:p>
      <w:pPr>
        <w:spacing w:after="0" w:line="114" w:lineRule="exact"/>
        <w:rPr>
          <w:sz w:val="20"/>
          <w:szCs w:val="20"/>
          <w:color w:val="auto"/>
        </w:rPr>
      </w:pPr>
    </w:p>
    <w:p>
      <w:pPr>
        <w:jc w:val="both"/>
        <w:ind w:left="760" w:hanging="741"/>
        <w:spacing w:after="0" w:line="269" w:lineRule="auto"/>
        <w:tabs>
          <w:tab w:leader="none" w:pos="7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u w:val="single" w:color="auto"/>
          <w:color w:val="auto"/>
        </w:rPr>
        <w:t>Obligations</w:t>
      </w:r>
      <w:r>
        <w:rPr>
          <w:rFonts w:ascii="Arial" w:cs="Arial" w:eastAsia="Arial" w:hAnsi="Arial"/>
          <w:sz w:val="18"/>
          <w:szCs w:val="18"/>
          <w:color w:val="auto"/>
        </w:rPr>
        <w:t>. Subject to Section 5.2, Recipient agrees that it will use Discloser’s Confidential Information only for the purpose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discharging its obligations and exercising its rights under this Agreement or any SOW (the “Permitted Purpose”) and only during the term of this Agreement, and it will hold Discloser’s Confidential Information in strict confidence and not disclose it to any third party except as approved in writing by Discloser. Recipient will protect Discloser’s Confidential Information using the same degree of care that Recipient uses to protect its confidential materials of a similar nature, but in no case will Recipient employ less than a commercially reasonable degree of care. Recipient will not reverse engineer or attempt to derive the composition or underlying information, structure or ideas of Discloser’s Confidential Information. Recipient will only permit access to Discloser’s Confidential Information to those of its employees, authorized representatives, or airline partners (collectively, the “Representatives”) who have a need to know such Confidential Information for the Permitted Purpose, have been informed of the confidential nature of the Confidential Information, and are bound by written confidentiality obligations no less restrictive than those contained herein. All of Recipient’s Representatives shall only use the Confidential Information for the Permitted Purpose and will be responsible for the disclosure and use of Confidential Information as though they were Recipient, and Recipient will be responsible for all violations of this Agreement resulting from the actions of its Representatives. Recipient will immediately notify Discloser upon discovery of any loss or unauthorized disclosure of Discloser’s Confidential Information.</w:t>
      </w:r>
    </w:p>
    <w:p>
      <w:pPr>
        <w:spacing w:after="0" w:line="73" w:lineRule="exact"/>
        <w:rPr>
          <w:sz w:val="20"/>
          <w:szCs w:val="20"/>
          <w:color w:val="auto"/>
        </w:rPr>
      </w:pPr>
    </w:p>
    <w:p>
      <w:pPr>
        <w:jc w:val="both"/>
        <w:ind w:left="760" w:right="20" w:hanging="741"/>
        <w:spacing w:after="0" w:line="260" w:lineRule="auto"/>
        <w:tabs>
          <w:tab w:leader="none" w:pos="7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u w:val="single" w:color="auto"/>
          <w:color w:val="auto"/>
        </w:rPr>
        <w:t>Exclusions</w:t>
      </w:r>
      <w:r>
        <w:rPr>
          <w:rFonts w:ascii="Arial" w:cs="Arial" w:eastAsia="Arial" w:hAnsi="Arial"/>
          <w:sz w:val="20"/>
          <w:szCs w:val="20"/>
          <w:color w:val="auto"/>
        </w:rPr>
        <w:t>. Recipient has no obligations under this Agreement with respect to any portion of Discloser’s Confidential Information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if Recipient can establish that: (a) it was publicly available at the time it was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43" w:name="page144"/>
    <w:bookmarkEnd w:id="143"/>
    <w:p>
      <w:pPr>
        <w:ind w:left="1030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ind w:left="760"/>
        <w:spacing w:after="0" w:line="241" w:lineRule="auto"/>
        <w:rPr>
          <w:sz w:val="20"/>
          <w:szCs w:val="20"/>
          <w:color w:val="auto"/>
        </w:rPr>
      </w:pPr>
      <w:r>
        <w:rPr>
          <w:rFonts w:ascii="Arial" w:cs="Arial" w:eastAsia="Arial" w:hAnsi="Arial"/>
          <w:sz w:val="20"/>
          <w:szCs w:val="20"/>
          <w:color w:val="auto"/>
        </w:rPr>
        <w:t>communicated to Recipient by Discloser; (b) it became publicly available subsequent to the time it was communicated to Recipient by Discloser through no fault of Recipient, or Recipient’s Representatives; (c) it was in Recipient’s possession free of any obligation of confidence at the time it was communicated to Recipient by Discloser; (d) it was rightfully communicated to Recipient free of any obligation of confidence subsequent to the time it was communicated to Recipient by Discloser; or (e) it was developed by employees or agents of Recipient independently of and without reference to Discloser’s Confidential Information. In any dispute with respect to these exclusions, Recipient shall have the burden of proof, and such proof shall be by clear and convincing evidence. Recipient will not be in violation of this Agreement with regard to a disclosure that is in response to a requirement of applicable law, an order by a court or other governmental body, or to the extent required by the Securities and Exchange Commission in a securities filing, provided that, if feasible, Recipient provides Discloser with reasonable prior written notice of such disclosure to permit Discloser to seek confidential treatment of such information or otherwise contest or limit the disclosure thereof.</w:t>
      </w:r>
    </w:p>
    <w:p>
      <w:pPr>
        <w:spacing w:after="0" w:line="92" w:lineRule="exact"/>
        <w:rPr>
          <w:sz w:val="20"/>
          <w:szCs w:val="20"/>
          <w:color w:val="auto"/>
        </w:rPr>
      </w:pPr>
    </w:p>
    <w:p>
      <w:pPr>
        <w:jc w:val="both"/>
        <w:ind w:left="760" w:hanging="741"/>
        <w:spacing w:after="0" w:line="257" w:lineRule="auto"/>
        <w:tabs>
          <w:tab w:leader="none" w:pos="7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u w:val="single" w:color="auto"/>
          <w:color w:val="auto"/>
        </w:rPr>
        <w:t>No License Granted</w:t>
      </w:r>
      <w:r>
        <w:rPr>
          <w:rFonts w:ascii="Arial" w:cs="Arial" w:eastAsia="Arial" w:hAnsi="Arial"/>
          <w:sz w:val="19"/>
          <w:szCs w:val="19"/>
          <w:color w:val="auto"/>
        </w:rPr>
        <w:t>. Except as expressly provided otherwise in this Agreement, Discloser will retain all right, title and interest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and to its own Confidential Information. The Parties recognize and agree that, except as expressly provided otherwise in this Agreement, nothing contained in this Agreement will be construed as granting any property rights, by license or otherwise, to any of Discloser’s Confidential Information, or to any work based on such Confidential Information. Recipient has no obligation to comment on any of Discloser’s Confidential Information, but Discloser may exploit any feedback received from Recipient without obligation to Recipient. Recipient will not make, have made, use or sell for any purpose any product or other item using, incorporating, or derived from any of Discloser’s Confidential Information.</w:t>
      </w:r>
    </w:p>
    <w:p>
      <w:pPr>
        <w:spacing w:after="0" w:line="185" w:lineRule="exact"/>
        <w:rPr>
          <w:sz w:val="20"/>
          <w:szCs w:val="20"/>
          <w:color w:val="auto"/>
        </w:rPr>
      </w:pPr>
    </w:p>
    <w:p>
      <w:pPr>
        <w:jc w:val="both"/>
        <w:ind w:left="760" w:hanging="741"/>
        <w:spacing w:after="0" w:line="246" w:lineRule="auto"/>
        <w:tabs>
          <w:tab w:leader="none" w:pos="7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u w:val="single" w:color="auto"/>
          <w:color w:val="auto"/>
        </w:rPr>
        <w:t>Restrictions</w:t>
      </w:r>
      <w:r>
        <w:rPr>
          <w:rFonts w:ascii="Arial" w:cs="Arial" w:eastAsia="Arial" w:hAnsi="Arial"/>
          <w:sz w:val="20"/>
          <w:szCs w:val="20"/>
          <w:color w:val="auto"/>
        </w:rPr>
        <w:t>. Recipient will not reproduce Discloser’s Confidential Information in any form except as required to accomplish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Permitted Purpose. Any reproduction of any Confidential Information will remain Discloser’s property and will contain any and all confidential or proprietary notices or legends that appear on the original. Neither Party will communicate any information to the other in violation of its confidentiality obligations to any third party.</w:t>
      </w:r>
    </w:p>
    <w:p>
      <w:pPr>
        <w:spacing w:after="0" w:line="83" w:lineRule="exact"/>
        <w:rPr>
          <w:sz w:val="20"/>
          <w:szCs w:val="20"/>
          <w:color w:val="auto"/>
        </w:rPr>
      </w:pPr>
    </w:p>
    <w:p>
      <w:pPr>
        <w:jc w:val="both"/>
        <w:ind w:left="760" w:hanging="741"/>
        <w:spacing w:after="0" w:line="242" w:lineRule="auto"/>
        <w:tabs>
          <w:tab w:leader="none" w:pos="74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color w:val="auto"/>
        </w:rPr>
        <w:t>Recipient’s obligations of confidentiality hereunder will continue in full force and effect for five (5) years from the initial date of disclosure of such Confidential Information, or in the case of any trade secret, for as long as such Confidential Information remains a trade secret. Upon written request of Discloser, Recipient will promptly destroy or return to Discloser all of Discloser’s Confidential Information in any form (including electronic media and including Recipient’s notes or materials that incorporate any of Discloser’s Confidential Information), except as described in the following sentence. Recipient shall not, in connection with the foregoing obligations, be required to delete Confidential Information held electronically in archive or backup systems in accordance with general systems archiving or backup policies, and Recipient’s obligations under this Agreement will continue to apply to such Confidential Information.</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8"/>
          <w:szCs w:val="18"/>
          <w:color w:val="auto"/>
        </w:rPr>
        <w:t>The terms and conditions of this Section 5 shall survive expiration or any termination of this Agreement or applicable attachment.</w:t>
      </w:r>
    </w:p>
    <w:p>
      <w:pPr>
        <w:spacing w:after="0" w:line="102" w:lineRule="exact"/>
        <w:rPr>
          <w:sz w:val="20"/>
          <w:szCs w:val="20"/>
          <w:color w:val="auto"/>
        </w:rPr>
      </w:pPr>
    </w:p>
    <w:p>
      <w:pPr>
        <w:ind w:left="760" w:hanging="752"/>
        <w:spacing w:after="0"/>
        <w:tabs>
          <w:tab w:leader="none" w:pos="760" w:val="left"/>
        </w:tabs>
        <w:numPr>
          <w:ilvl w:val="0"/>
          <w:numId w:val="93"/>
        </w:numPr>
        <w:rPr>
          <w:rFonts w:ascii="Arial" w:cs="Arial" w:eastAsia="Arial" w:hAnsi="Arial"/>
          <w:sz w:val="20"/>
          <w:szCs w:val="20"/>
          <w:color w:val="auto"/>
        </w:rPr>
      </w:pPr>
      <w:r>
        <w:rPr>
          <w:rFonts w:ascii="Arial" w:cs="Arial" w:eastAsia="Arial" w:hAnsi="Arial"/>
          <w:sz w:val="20"/>
          <w:szCs w:val="20"/>
          <w:b w:val="1"/>
          <w:bCs w:val="1"/>
          <w:u w:val="single" w:color="auto"/>
          <w:color w:val="auto"/>
        </w:rPr>
        <w:t>DATA PRIVACY AND SECURITY</w:t>
      </w:r>
      <w:r>
        <w:rPr>
          <w:rFonts w:ascii="Arial" w:cs="Arial" w:eastAsia="Arial" w:hAnsi="Arial"/>
          <w:sz w:val="20"/>
          <w:szCs w:val="20"/>
          <w:color w:val="auto"/>
        </w:rPr>
        <w:t>.</w:t>
      </w:r>
    </w:p>
    <w:p>
      <w:pPr>
        <w:spacing w:after="0" w:line="114" w:lineRule="exact"/>
        <w:rPr>
          <w:sz w:val="20"/>
          <w:szCs w:val="20"/>
          <w:color w:val="auto"/>
        </w:rPr>
      </w:pPr>
    </w:p>
    <w:p>
      <w:pPr>
        <w:jc w:val="both"/>
        <w:ind w:left="760" w:hanging="741"/>
        <w:spacing w:after="0" w:line="270" w:lineRule="auto"/>
        <w:tabs>
          <w:tab w:leader="none" w:pos="7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color w:val="auto"/>
        </w:rPr>
        <w:t>Without limiting the generality of Airspan’s obligations elsewhere in this Agreement, Airspan is fully responsible for any authorized or unauthorized Processing of Personally Identifiable Information (“PII”) or Gogo Confidential Information in its possession or in the possession of its officer, director, employee, agent, subsidiary, affiliate, or any other person or entity acting on behalf of Airspan (“Airspan Personnel”). Airspan shall: (a) not use or disclose to any other party any PII of Gogo, except in accordance with this Agreement or as otherwise required by law (collectively, the “Permitted Uses or Disclosures”); (b) instruct each Airspan Personnel to Process PII solely in compliance with the Permitted Uses or Disclosures; (c) ensure that such Processing is conducted only by Airspan’s Personnel who have a legitimate business reason to Process such PII and have been appropriately trained and bound by legally enforceable and commercially reasonable confidentiality obligations; (d) Process PII only in accordance with applicable privacy and data protection laws; and (e) implement and maintain administrative, physical and technical safeguards (“Safeguards”) that prevent any Processing of PII that this Agreement does not expressly authorize, including, without limitation, an information security program that meets best industry practice to safeguard PII or Gogo Confidential Information. Such information security program would include: (i) adequate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44" w:name="page145"/>
    <w:bookmarkEnd w:id="144"/>
    <w:p>
      <w:pPr>
        <w:ind w:left="1030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ind w:left="760"/>
        <w:spacing w:after="0" w:line="241" w:lineRule="auto"/>
        <w:rPr>
          <w:sz w:val="20"/>
          <w:szCs w:val="20"/>
          <w:color w:val="auto"/>
        </w:rPr>
      </w:pPr>
      <w:r>
        <w:rPr>
          <w:rFonts w:ascii="Arial" w:cs="Arial" w:eastAsia="Arial" w:hAnsi="Arial"/>
          <w:sz w:val="20"/>
          <w:szCs w:val="20"/>
          <w:color w:val="auto"/>
        </w:rPr>
        <w:t>physical security of all premises in which PII will be processed and/or stored; (ii) reasonable precautions taken with respect to the employment of and access given to any Airspan Personnel engaged by Airspan to perform any part of the Services hereunder, including security clearances that assign specific access privileges to individuals; and (iii) an appropriate network security program, including encryption or other secure form approved in advance by Gogo, of any PII that is Processed by Airspan or Airspan Personnel. Such network security program shall include, without limitation, (a) appropriate access controls and data integrity controls, including without limitation, ensuring that (i) authentication credentials have an expiration period that allows time for the transfer of data, but are not continuously left open; (ii) password complexity standards are implemented to protect Gogo Confidential Information from malicious access; and (iii) a process is implemented to log individual access to PII; (b) testing and auditing of all controls; and (c) appropriate corrective action and incident response plans. Gogo hereby instructs Airspan, and Airspan hereby agrees to Process PII only as reasonably necessary and proportionate to perform Airspan’s obligations under this Agreement.</w:t>
      </w:r>
    </w:p>
    <w:p>
      <w:pPr>
        <w:spacing w:after="0" w:line="92" w:lineRule="exact"/>
        <w:rPr>
          <w:sz w:val="20"/>
          <w:szCs w:val="20"/>
          <w:color w:val="auto"/>
        </w:rPr>
      </w:pPr>
    </w:p>
    <w:p>
      <w:pPr>
        <w:jc w:val="both"/>
        <w:ind w:left="760" w:hanging="741"/>
        <w:spacing w:after="0" w:line="274" w:lineRule="auto"/>
        <w:tabs>
          <w:tab w:leader="none" w:pos="7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color w:val="auto"/>
        </w:rPr>
        <w:t>Upon request from Gogo, Airspan will provide evidence that it has established and maintains technical and organizational security measures governing the Processing of PII (appropriate to the Processing and the nature of the PII to be protected) and Airspan agrees to provide Gogo with, copies of and/or reasonable information concerning Airspan’s technical and organizational security measures relevant to the services provided under this Agreement. Upon reasonable notice, not more than annually, during normal business hours and with minimal disruption of Airspan’s business, Gogo, using a third-party auditor, shall have the right to conduct onsite inspections and/or audits of Airspan’s technical and organizational security measures except in the case of a shared environment, and Airspan agrees to reasonably cooperate with such Gogo auditor regarding such inspections or audits.</w:t>
      </w:r>
    </w:p>
    <w:p>
      <w:pPr>
        <w:spacing w:after="0" w:line="60" w:lineRule="exact"/>
        <w:rPr>
          <w:sz w:val="20"/>
          <w:szCs w:val="20"/>
          <w:color w:val="auto"/>
        </w:rPr>
      </w:pPr>
    </w:p>
    <w:p>
      <w:pPr>
        <w:jc w:val="both"/>
        <w:ind w:left="760" w:hanging="741"/>
        <w:spacing w:after="0" w:line="306" w:lineRule="auto"/>
        <w:tabs>
          <w:tab w:leader="none" w:pos="7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color w:val="auto"/>
        </w:rPr>
        <w:t>Airspan shall notify Gogo promptly in the event of any disclosure of PII not authorized herein, or upon Airspan’s knowledge of any other Data Security Breach (but in no event later than three business days after such Data Security Breach). In the event of a Data Security Breach, Airspan shall (i) promptly provide to Gogo a detailed description of the incident, the data accessed, the identity of affected third parties, if any, and such other information as Gogo may request concerning the Data Security Breach; (ii) assist Gogo in investigating, remedying and taking any other action Gogo deems necessary regarding any Data Security Breach and any dispute, inquiry or claim that concerns the Data Security Breach; (iii) take prompt actions that such Data Security Breach or potential Data Security Breach will not recur; and (iv) cooperate with Gogo and any law enforcement or regulatory official investigating such Data Security Breach. Notwithstanding the foregoing, to the extent not prohibited by applicable law, Gogo shall make the final decision on notifying Gogo’s employees, service vendors and/or the general public of such Data Security Breach or any other breach related to security, which is not a Data Security Breach, and the implementation of the remediation plan. If a notification to Gogo’s Gogo is required under any applicable law, guidelines or best practice, then in addition to all other costs arising out of or in connection with such Data Security Breach, and without prejudice to all other rights and remedies available to Gogo under this Agreement, at law or in equity, Airspan shall reimburse Gogo for all reasonable notification, credit monitoring, and government penalty related costs incurred by Gogo and its Affiliates arising out of or in connection with any such Data Security Breach.</w:t>
      </w:r>
    </w:p>
    <w:p>
      <w:pPr>
        <w:spacing w:after="0" w:line="265" w:lineRule="exact"/>
        <w:rPr>
          <w:sz w:val="20"/>
          <w:szCs w:val="20"/>
          <w:color w:val="auto"/>
        </w:rPr>
      </w:pPr>
    </w:p>
    <w:p>
      <w:pPr>
        <w:ind w:left="760" w:hanging="752"/>
        <w:spacing w:after="0"/>
        <w:tabs>
          <w:tab w:leader="none" w:pos="760" w:val="left"/>
        </w:tabs>
        <w:numPr>
          <w:ilvl w:val="0"/>
          <w:numId w:val="94"/>
        </w:numPr>
        <w:rPr>
          <w:rFonts w:ascii="Arial" w:cs="Arial" w:eastAsia="Arial" w:hAnsi="Arial"/>
          <w:sz w:val="20"/>
          <w:szCs w:val="20"/>
          <w:color w:val="auto"/>
        </w:rPr>
      </w:pPr>
      <w:r>
        <w:rPr>
          <w:rFonts w:ascii="Arial" w:cs="Arial" w:eastAsia="Arial" w:hAnsi="Arial"/>
          <w:sz w:val="20"/>
          <w:szCs w:val="20"/>
          <w:b w:val="1"/>
          <w:bCs w:val="1"/>
          <w:u w:val="single" w:color="auto"/>
          <w:color w:val="auto"/>
        </w:rPr>
        <w:t>TERM AND TERMINATION.</w:t>
      </w:r>
    </w:p>
    <w:p>
      <w:pPr>
        <w:spacing w:after="0" w:line="114" w:lineRule="exact"/>
        <w:rPr>
          <w:sz w:val="20"/>
          <w:szCs w:val="20"/>
          <w:color w:val="auto"/>
        </w:rPr>
      </w:pPr>
    </w:p>
    <w:p>
      <w:pPr>
        <w:ind w:left="760" w:hanging="741"/>
        <w:spacing w:after="0" w:line="260" w:lineRule="auto"/>
        <w:tabs>
          <w:tab w:leader="none" w:pos="7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u w:val="single" w:color="auto"/>
          <w:color w:val="auto"/>
        </w:rPr>
        <w:t>Term</w:t>
      </w:r>
      <w:r>
        <w:rPr>
          <w:rFonts w:ascii="Arial" w:cs="Arial" w:eastAsia="Arial" w:hAnsi="Arial"/>
          <w:sz w:val="20"/>
          <w:szCs w:val="20"/>
          <w:color w:val="auto"/>
        </w:rPr>
        <w:t>. This Agreement shall commence on the Effective Date and shall continue in full force and effect until terminated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accordance with Section 7.2.</w:t>
      </w:r>
    </w:p>
    <w:p>
      <w:pPr>
        <w:spacing w:after="0" w:line="6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108" w:lineRule="exact"/>
        <w:rPr>
          <w:sz w:val="20"/>
          <w:szCs w:val="20"/>
          <w:color w:val="auto"/>
        </w:rPr>
      </w:pPr>
    </w:p>
    <w:p>
      <w:pPr>
        <w:jc w:val="both"/>
        <w:ind w:left="1500" w:hanging="750"/>
        <w:spacing w:after="0" w:line="246" w:lineRule="auto"/>
        <w:tabs>
          <w:tab w:leader="none" w:pos="15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Gogo or Airspan may terminate this Agreement and all SOWs hereunder, immediately upon written notice of termination, in the event of a material breach of this Agreement by the other Party, if such breach continues uncured for a period of thirty (30) days after written notice of such breach;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Gogo or Airspan, as applicable, may also choose to terminate only the SOW related to the applicable breach.</w:t>
      </w:r>
    </w:p>
    <w:p>
      <w:pPr>
        <w:spacing w:after="0" w:line="83" w:lineRule="exact"/>
        <w:rPr>
          <w:rFonts w:ascii="Arial" w:cs="Arial" w:eastAsia="Arial" w:hAnsi="Arial"/>
          <w:sz w:val="20"/>
          <w:szCs w:val="20"/>
          <w:color w:val="auto"/>
        </w:rPr>
      </w:pPr>
    </w:p>
    <w:p>
      <w:pPr>
        <w:jc w:val="both"/>
        <w:ind w:left="1500" w:hanging="750"/>
        <w:spacing w:after="0" w:line="275" w:lineRule="auto"/>
        <w:tabs>
          <w:tab w:leader="none" w:pos="1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Gogo or Airspan may terminate this Agreement and all SOWs hereunder, immediately upon written notice of termination to the other Party, in the event the other Party: (i) becomes insolvent; (ii) makes an assignment for the benefit of creditors;</w:t>
      </w:r>
    </w:p>
    <w:p>
      <w:pPr>
        <w:ind w:left="1500" w:hanging="7"/>
        <w:spacing w:after="0" w:line="244" w:lineRule="auto"/>
        <w:tabs>
          <w:tab w:leader="none" w:pos="1890" w:val="left"/>
        </w:tabs>
        <w:numPr>
          <w:ilvl w:val="1"/>
          <w:numId w:val="95"/>
        </w:numPr>
        <w:rPr>
          <w:rFonts w:ascii="Arial" w:cs="Arial" w:eastAsia="Arial" w:hAnsi="Arial"/>
          <w:sz w:val="20"/>
          <w:szCs w:val="20"/>
          <w:color w:val="auto"/>
        </w:rPr>
      </w:pPr>
      <w:r>
        <w:rPr>
          <w:rFonts w:ascii="Arial" w:cs="Arial" w:eastAsia="Arial" w:hAnsi="Arial"/>
          <w:sz w:val="20"/>
          <w:szCs w:val="20"/>
          <w:color w:val="auto"/>
        </w:rPr>
        <w:t>files a voluntary bankruptcy petition; (iv) acquiesces to any involuntary bankruptcy petition; (v) is adjudicated bankrupt; (vi) stops or suspends payment of all or a</w:t>
      </w:r>
    </w:p>
    <w:p>
      <w:pPr>
        <w:spacing w:after="0" w:line="200" w:lineRule="exact"/>
        <w:rPr>
          <w:rFonts w:ascii="Arial" w:cs="Arial" w:eastAsia="Arial" w:hAnsi="Arial"/>
          <w:sz w:val="20"/>
          <w:szCs w:val="20"/>
          <w:color w:val="auto"/>
        </w:rPr>
      </w:pPr>
    </w:p>
    <w:p>
      <w:pPr>
        <w:spacing w:after="0" w:line="328" w:lineRule="exact"/>
        <w:rPr>
          <w:rFonts w:ascii="Arial" w:cs="Arial" w:eastAsia="Arial" w:hAnsi="Arial"/>
          <w:sz w:val="20"/>
          <w:szCs w:val="20"/>
          <w:color w:val="auto"/>
        </w:rPr>
      </w:pPr>
    </w:p>
    <w:p>
      <w:pPr>
        <w:ind w:left="5520" w:hanging="110"/>
        <w:spacing w:after="0"/>
        <w:tabs>
          <w:tab w:leader="none" w:pos="5520" w:val="left"/>
        </w:tabs>
        <w:numPr>
          <w:ilvl w:val="2"/>
          <w:numId w:val="95"/>
        </w:numPr>
        <w:rPr>
          <w:rFonts w:ascii="Arial" w:cs="Arial" w:eastAsia="Arial" w:hAnsi="Arial"/>
          <w:sz w:val="20"/>
          <w:szCs w:val="20"/>
          <w:color w:val="auto"/>
        </w:rPr>
      </w:pPr>
      <w:r>
        <w:rPr>
          <w:rFonts w:ascii="Arial" w:cs="Arial" w:eastAsia="Arial" w:hAnsi="Arial"/>
          <w:sz w:val="20"/>
          <w:szCs w:val="20"/>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45" w:name="page146"/>
    <w:bookmarkEnd w:id="145"/>
    <w:p>
      <w:pPr>
        <w:ind w:left="1030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ind w:left="1500"/>
        <w:spacing w:after="0" w:line="273" w:lineRule="auto"/>
        <w:rPr>
          <w:sz w:val="20"/>
          <w:szCs w:val="20"/>
          <w:color w:val="auto"/>
        </w:rPr>
      </w:pPr>
      <w:r>
        <w:rPr>
          <w:rFonts w:ascii="Arial" w:cs="Arial" w:eastAsia="Arial" w:hAnsi="Arial"/>
          <w:sz w:val="18"/>
          <w:szCs w:val="18"/>
          <w:color w:val="auto"/>
        </w:rPr>
        <w:t>material part of its debts or is unable to pay its debts as they fall due; (vii) ceases to carry on all or a substantial part of its business; (viii) begins negotiations for, takes any proceedings concerning, proposes or makes any agreement for the deferral, rescheduling or other readjustment, reorganization, compromise, general assignment of or an arrangement or composition with or for the benefit of some or all of its creditors of all or substantially all of its debts, or for a moratorium in respect of or affecting all or substantially all of its debts; (ix) takes any step with a view to the administration, winding up or bankruptcy of the Party; or (x) takes any step to enforce security over, or a distress, execution or other similar process is levied or served against all or substantially all of the assets or undertaking of, the Party including the appointment of a receiver, administrative receiver, trustee in bankruptcy, manager or similar officer.</w:t>
      </w:r>
    </w:p>
    <w:p>
      <w:pPr>
        <w:spacing w:after="0" w:line="60" w:lineRule="exact"/>
        <w:rPr>
          <w:sz w:val="20"/>
          <w:szCs w:val="20"/>
          <w:color w:val="auto"/>
        </w:rPr>
      </w:pPr>
    </w:p>
    <w:p>
      <w:pPr>
        <w:ind w:left="1500" w:right="20" w:hanging="750"/>
        <w:spacing w:after="0" w:line="260" w:lineRule="auto"/>
        <w:tabs>
          <w:tab w:leader="none" w:pos="15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Gogo or Airspan may terminate this Agreement for any or no reason upon thirty (30) days written notice to the other Party, provided that there are no then-current SOWs.</w:t>
      </w:r>
    </w:p>
    <w:p>
      <w:pPr>
        <w:spacing w:after="0" w:line="68" w:lineRule="exact"/>
        <w:rPr>
          <w:rFonts w:ascii="Arial" w:cs="Arial" w:eastAsia="Arial" w:hAnsi="Arial"/>
          <w:sz w:val="20"/>
          <w:szCs w:val="20"/>
          <w:color w:val="auto"/>
        </w:rPr>
      </w:pPr>
    </w:p>
    <w:p>
      <w:pPr>
        <w:ind w:left="1500" w:hanging="750"/>
        <w:spacing w:after="0"/>
        <w:tabs>
          <w:tab w:leader="none" w:pos="15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Gogo may terminate any SOW for any or no reason upon notice to Airspan except as specified in a SOW.</w:t>
      </w:r>
    </w:p>
    <w:p>
      <w:pPr>
        <w:spacing w:after="0" w:line="107" w:lineRule="exact"/>
        <w:rPr>
          <w:rFonts w:ascii="Arial" w:cs="Arial" w:eastAsia="Arial" w:hAnsi="Arial"/>
          <w:sz w:val="20"/>
          <w:szCs w:val="20"/>
          <w:color w:val="auto"/>
        </w:rPr>
      </w:pPr>
    </w:p>
    <w:p>
      <w:pPr>
        <w:ind w:left="1500" w:right="20" w:hanging="750"/>
        <w:spacing w:after="0" w:line="260" w:lineRule="auto"/>
        <w:tabs>
          <w:tab w:leader="none" w:pos="1500" w:val="left"/>
        </w:tabs>
        <w:numPr>
          <w:ilvl w:val="0"/>
          <w:numId w:val="96"/>
        </w:numPr>
        <w:rPr>
          <w:rFonts w:ascii="Arial" w:cs="Arial" w:eastAsia="Arial" w:hAnsi="Arial"/>
          <w:sz w:val="20"/>
          <w:szCs w:val="20"/>
          <w:color w:val="auto"/>
        </w:rPr>
      </w:pPr>
      <w:r>
        <w:rPr>
          <w:rFonts w:ascii="Arial" w:cs="Arial" w:eastAsia="Arial" w:hAnsi="Arial"/>
          <w:sz w:val="20"/>
          <w:szCs w:val="20"/>
          <w:color w:val="auto"/>
        </w:rPr>
        <w:t>Gogo may terminate this Agreement and all SOWs hereunder in connection with the consummation of a Change of Control Transaction as set forth in Section 12.2(b)(iii).</w:t>
      </w:r>
    </w:p>
    <w:p>
      <w:pPr>
        <w:spacing w:after="0" w:line="6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Consequences of Termination</w:t>
      </w:r>
      <w:r>
        <w:rPr>
          <w:rFonts w:ascii="Arial" w:cs="Arial" w:eastAsia="Arial" w:hAnsi="Arial"/>
          <w:sz w:val="18"/>
          <w:szCs w:val="18"/>
          <w:color w:val="auto"/>
        </w:rPr>
        <w:t>. Upon any termination of this Agreement:</w:t>
      </w:r>
    </w:p>
    <w:p>
      <w:pPr>
        <w:spacing w:after="0" w:line="108" w:lineRule="exact"/>
        <w:rPr>
          <w:sz w:val="20"/>
          <w:szCs w:val="20"/>
          <w:color w:val="auto"/>
        </w:rPr>
      </w:pPr>
    </w:p>
    <w:p>
      <w:pPr>
        <w:jc w:val="both"/>
        <w:ind w:left="1500" w:hanging="750"/>
        <w:spacing w:after="0" w:line="246" w:lineRule="auto"/>
        <w:tabs>
          <w:tab w:leader="none" w:pos="1500" w:val="left"/>
        </w:tabs>
        <w:numPr>
          <w:ilvl w:val="1"/>
          <w:numId w:val="97"/>
        </w:numPr>
        <w:rPr>
          <w:rFonts w:ascii="Arial" w:cs="Arial" w:eastAsia="Arial" w:hAnsi="Arial"/>
          <w:sz w:val="20"/>
          <w:szCs w:val="20"/>
          <w:color w:val="auto"/>
        </w:rPr>
      </w:pPr>
      <w:r>
        <w:rPr>
          <w:rFonts w:ascii="Arial" w:cs="Arial" w:eastAsia="Arial" w:hAnsi="Arial"/>
          <w:sz w:val="20"/>
          <w:szCs w:val="20"/>
          <w:color w:val="auto"/>
        </w:rPr>
        <w:t>Prior to the effective date of such termination, a final invoice including all fees and charges for Services performed and expenses incurred prior to and including the effective date of termination (including for Sections 7.2(c) and 7.2(d), all non-cancellable commitments as pre-approved by Gogo), shall be generated as set forth in each applicable SOW, and Gogo shall pay such bill in accordance with Section 4.4.</w:t>
      </w:r>
    </w:p>
    <w:p>
      <w:pPr>
        <w:spacing w:after="0" w:line="83" w:lineRule="exact"/>
        <w:rPr>
          <w:rFonts w:ascii="Arial" w:cs="Arial" w:eastAsia="Arial" w:hAnsi="Arial"/>
          <w:sz w:val="20"/>
          <w:szCs w:val="20"/>
          <w:color w:val="auto"/>
        </w:rPr>
      </w:pPr>
    </w:p>
    <w:p>
      <w:pPr>
        <w:ind w:left="1500" w:hanging="750"/>
        <w:spacing w:after="0"/>
        <w:tabs>
          <w:tab w:leader="none" w:pos="1500" w:val="left"/>
        </w:tabs>
        <w:numPr>
          <w:ilvl w:val="1"/>
          <w:numId w:val="97"/>
        </w:numPr>
        <w:rPr>
          <w:rFonts w:ascii="Arial" w:cs="Arial" w:eastAsia="Arial" w:hAnsi="Arial"/>
          <w:sz w:val="20"/>
          <w:szCs w:val="20"/>
          <w:color w:val="auto"/>
        </w:rPr>
      </w:pPr>
      <w:r>
        <w:rPr>
          <w:rFonts w:ascii="Arial" w:cs="Arial" w:eastAsia="Arial" w:hAnsi="Arial"/>
          <w:sz w:val="20"/>
          <w:szCs w:val="20"/>
          <w:color w:val="auto"/>
        </w:rPr>
        <w:t>Airspan shall deliver all existing Deliverables and all Deliverables-in-progress to Gogo.</w:t>
      </w:r>
    </w:p>
    <w:p>
      <w:pPr>
        <w:spacing w:after="0" w:line="107" w:lineRule="exact"/>
        <w:rPr>
          <w:rFonts w:ascii="Arial" w:cs="Arial" w:eastAsia="Arial" w:hAnsi="Arial"/>
          <w:sz w:val="20"/>
          <w:szCs w:val="20"/>
          <w:color w:val="auto"/>
        </w:rPr>
      </w:pPr>
    </w:p>
    <w:p>
      <w:pPr>
        <w:jc w:val="both"/>
        <w:ind w:left="1500" w:hanging="750"/>
        <w:spacing w:after="0" w:line="246" w:lineRule="auto"/>
        <w:tabs>
          <w:tab w:leader="none" w:pos="1500" w:val="left"/>
        </w:tabs>
        <w:numPr>
          <w:ilvl w:val="1"/>
          <w:numId w:val="97"/>
        </w:numPr>
        <w:rPr>
          <w:rFonts w:ascii="Arial" w:cs="Arial" w:eastAsia="Arial" w:hAnsi="Arial"/>
          <w:sz w:val="20"/>
          <w:szCs w:val="20"/>
          <w:color w:val="auto"/>
        </w:rPr>
      </w:pPr>
      <w:r>
        <w:rPr>
          <w:rFonts w:ascii="Arial" w:cs="Arial" w:eastAsia="Arial" w:hAnsi="Arial"/>
          <w:sz w:val="20"/>
          <w:szCs w:val="20"/>
          <w:color w:val="auto"/>
        </w:rPr>
        <w:t>If the Agreement is terminated by Gogo under Sections 7.2(a), 7.2(b) or 7.2(e) or terminated by Airspan for convenience under Section 7.2(d), or the PSA is terminated by Gogo under Sections 8.1(b), 8.1(d) or 8.1(e) of the PSA, in order to provide Gogo continuity for its business, including manufacturing, procuring, and supporting the Products, Airspan will [***].</w:t>
      </w:r>
    </w:p>
    <w:p>
      <w:pPr>
        <w:spacing w:after="0" w:line="83" w:lineRule="exact"/>
        <w:rPr>
          <w:rFonts w:ascii="Arial" w:cs="Arial" w:eastAsia="Arial" w:hAnsi="Arial"/>
          <w:sz w:val="20"/>
          <w:szCs w:val="20"/>
          <w:color w:val="auto"/>
        </w:rPr>
      </w:pPr>
    </w:p>
    <w:p>
      <w:pPr>
        <w:jc w:val="both"/>
        <w:ind w:left="1500" w:hanging="750"/>
        <w:spacing w:after="0" w:line="278" w:lineRule="auto"/>
        <w:tabs>
          <w:tab w:leader="none" w:pos="15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Each Party shall return to the other Party all Confidential Information of the other Party (including all copies thereof) and all other papers, materials and other property of the other Party in such Party’s possession, and certify that it has deleted such Confidential Information from all of its electronic media,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both Parties may retain whatever Confidential Information of the other Party that is necessary to exercise any of such Party’s surviving rights or obligations hereunder. Airspan may retain one copy of such Confidential Information, as required, for archival purposes only.</w:t>
      </w:r>
    </w:p>
    <w:p>
      <w:pPr>
        <w:spacing w:after="0" w:line="56" w:lineRule="exact"/>
        <w:rPr>
          <w:rFonts w:ascii="Arial" w:cs="Arial" w:eastAsia="Arial" w:hAnsi="Arial"/>
          <w:sz w:val="18"/>
          <w:szCs w:val="18"/>
          <w:color w:val="auto"/>
        </w:rPr>
      </w:pPr>
    </w:p>
    <w:p>
      <w:pPr>
        <w:jc w:val="both"/>
        <w:ind w:left="1500" w:hanging="750"/>
        <w:spacing w:after="0" w:line="244" w:lineRule="auto"/>
        <w:tabs>
          <w:tab w:leader="none" w:pos="1500" w:val="left"/>
        </w:tabs>
        <w:numPr>
          <w:ilvl w:val="1"/>
          <w:numId w:val="97"/>
        </w:numPr>
        <w:rPr>
          <w:rFonts w:ascii="Arial" w:cs="Arial" w:eastAsia="Arial" w:hAnsi="Arial"/>
          <w:sz w:val="20"/>
          <w:szCs w:val="20"/>
          <w:color w:val="auto"/>
        </w:rPr>
      </w:pPr>
      <w:r>
        <w:rPr>
          <w:rFonts w:ascii="Arial" w:cs="Arial" w:eastAsia="Arial" w:hAnsi="Arial"/>
          <w:sz w:val="20"/>
          <w:szCs w:val="20"/>
          <w:color w:val="auto"/>
        </w:rPr>
        <w:t>Notwithstanding any termination of this Agreement, Airspan may not terminate any of the licenses granted to Gogo hereunder, for any reason under any circumstances. For the avoidance of doubt, in the event that Gogo breaches this Agreement, Airspan’s sole and exclusive remedies will be to seek damages and/or injunctive relief or, if Gogo has undisputed invoices that are more than 90 days overdue, to suspend performance of its Services until such overdue invoices are paid.</w:t>
      </w:r>
    </w:p>
    <w:p>
      <w:pPr>
        <w:spacing w:after="0" w:line="86" w:lineRule="exact"/>
        <w:rPr>
          <w:rFonts w:ascii="Arial" w:cs="Arial" w:eastAsia="Arial" w:hAnsi="Arial"/>
          <w:sz w:val="20"/>
          <w:szCs w:val="20"/>
          <w:color w:val="auto"/>
        </w:rPr>
      </w:pPr>
    </w:p>
    <w:p>
      <w:pPr>
        <w:jc w:val="both"/>
        <w:ind w:left="1500" w:hanging="750"/>
        <w:spacing w:after="0" w:line="250" w:lineRule="auto"/>
        <w:tabs>
          <w:tab w:leader="none" w:pos="1500" w:val="left"/>
        </w:tabs>
        <w:numPr>
          <w:ilvl w:val="1"/>
          <w:numId w:val="97"/>
        </w:numPr>
        <w:rPr>
          <w:rFonts w:ascii="Arial" w:cs="Arial" w:eastAsia="Arial" w:hAnsi="Arial"/>
          <w:sz w:val="20"/>
          <w:szCs w:val="20"/>
          <w:color w:val="auto"/>
        </w:rPr>
      </w:pPr>
      <w:r>
        <w:rPr>
          <w:rFonts w:ascii="Arial" w:cs="Arial" w:eastAsia="Arial" w:hAnsi="Arial"/>
          <w:sz w:val="20"/>
          <w:szCs w:val="20"/>
          <w:color w:val="auto"/>
        </w:rPr>
        <w:t>Sections 4.3, 4.5, 5, 6, 7.3, 9, 10, 11, 12.3, 12.6, 12.7, 12.8, 12.10, 12.11, 12.12, 12.13, 12.14, 12.15, 12.16 (to the extent set forth therein), 12.17, 12.18, and 12.19, and any other provision that should naturally extend beyond the termination of this Agreement shall survive termination of this Agreement for any reason.</w:t>
      </w:r>
    </w:p>
    <w:p>
      <w:pPr>
        <w:spacing w:after="0" w:line="71" w:lineRule="exact"/>
        <w:rPr>
          <w:rFonts w:ascii="Arial" w:cs="Arial" w:eastAsia="Arial" w:hAnsi="Arial"/>
          <w:sz w:val="20"/>
          <w:szCs w:val="20"/>
          <w:color w:val="auto"/>
        </w:rPr>
      </w:pPr>
    </w:p>
    <w:p>
      <w:pPr>
        <w:ind w:left="760" w:hanging="752"/>
        <w:spacing w:after="0"/>
        <w:tabs>
          <w:tab w:leader="none" w:pos="760" w:val="left"/>
        </w:tabs>
        <w:numPr>
          <w:ilvl w:val="0"/>
          <w:numId w:val="98"/>
        </w:numPr>
        <w:rPr>
          <w:rFonts w:ascii="Arial" w:cs="Arial" w:eastAsia="Arial" w:hAnsi="Arial"/>
          <w:sz w:val="20"/>
          <w:szCs w:val="20"/>
          <w:color w:val="auto"/>
        </w:rPr>
      </w:pPr>
      <w:r>
        <w:rPr>
          <w:rFonts w:ascii="Arial" w:cs="Arial" w:eastAsia="Arial" w:hAnsi="Arial"/>
          <w:sz w:val="20"/>
          <w:szCs w:val="20"/>
          <w:b w:val="1"/>
          <w:bCs w:val="1"/>
          <w:u w:val="single" w:color="auto"/>
          <w:color w:val="auto"/>
        </w:rPr>
        <w:t>INSURANCE.</w:t>
      </w:r>
    </w:p>
    <w:p>
      <w:pPr>
        <w:spacing w:after="0" w:line="114" w:lineRule="exact"/>
        <w:rPr>
          <w:sz w:val="20"/>
          <w:szCs w:val="20"/>
          <w:color w:val="auto"/>
        </w:rPr>
      </w:pPr>
    </w:p>
    <w:p>
      <w:pPr>
        <w:jc w:val="both"/>
        <w:ind w:left="760" w:hanging="741"/>
        <w:spacing w:after="0" w:line="273" w:lineRule="auto"/>
        <w:tabs>
          <w:tab w:leader="none" w:pos="7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color w:val="auto"/>
        </w:rPr>
        <w:t>Airspan shall maintain during the term of this Agreement, at its own expense, with insurance companies rated A- VIII or better by A.M. Best, the following insurance coverage: (a) Workers’ Compensation including Occupational Disease insurance, in compliance with the statutory requirements of the state, province or other jurisdiction in which the work is performed, and Employers’ Liability insurance with an insured limit of at least $1,000,000 per occurrence; (b) Commercial General Liability insurance on an occurrence basis with a minimum amount of $1,000,000 per occurrence and $2,000,000 in the aggregate for bodily injury including death, personal injury, and property damage including loss of use and also covering products/completed operations liability, broad form property damage, independent contractor coverage, and contractual liability. Cross-liability coverage as would be achieved under the standard ISO separation of insured’s clause shall be included; (c) Umbrella or Excess Liability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46" w:name="page147"/>
    <w:bookmarkEnd w:id="146"/>
    <w:p>
      <w:pPr>
        <w:ind w:left="1030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ind w:left="760"/>
        <w:spacing w:after="0" w:line="246" w:lineRule="auto"/>
        <w:rPr>
          <w:sz w:val="20"/>
          <w:szCs w:val="20"/>
          <w:color w:val="auto"/>
        </w:rPr>
      </w:pPr>
      <w:r>
        <w:rPr>
          <w:rFonts w:ascii="Arial" w:cs="Arial" w:eastAsia="Arial" w:hAnsi="Arial"/>
          <w:sz w:val="20"/>
          <w:szCs w:val="20"/>
          <w:color w:val="auto"/>
        </w:rPr>
        <w:t>insurance on an occurrence basis of at least $5,000,000 per occurrence; (d) Auto liability insurance covering all vehicles owned by or registered in the name of Airspan or its affiliates and including liability for hired, rented or other non-owned vehicles with a minimum insured limit of $1,000,000 per occurrence; and (e) Professional Liability or Errors and Omissions insurance with a limit not less than $5,000,000.</w:t>
      </w:r>
    </w:p>
    <w:p>
      <w:pPr>
        <w:spacing w:after="0" w:line="83" w:lineRule="exact"/>
        <w:rPr>
          <w:sz w:val="20"/>
          <w:szCs w:val="20"/>
          <w:color w:val="auto"/>
        </w:rPr>
      </w:pPr>
    </w:p>
    <w:p>
      <w:pPr>
        <w:jc w:val="both"/>
        <w:ind w:left="760" w:hanging="741"/>
        <w:spacing w:after="0" w:line="243" w:lineRule="auto"/>
        <w:tabs>
          <w:tab w:leader="none" w:pos="7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The Workers’ Compensation and Occupational Disease insurance coverage in Section 8.1(a) above shall include a waiver of subrogation against Gogo. Insurance coverage in Section 8.1(b) above shall (i) name Gogo, its parent, subsidiaries and affiliates as additional insured; (ii) designate Gogo as primary with respect to, and not contributing to or in excess of, any other similar insurance maintained by Gogo; and (iii) include a waiver of subrogation against Gogo. Insurance coverage in Section 8.1(c) and Section 8.1(d) above shall (i) name Gogo, its parent, subsidiaries and affiliates as an additional insured; and (ii) include a waiver of subrogation against Gogo.</w:t>
      </w:r>
    </w:p>
    <w:p>
      <w:pPr>
        <w:spacing w:after="0" w:line="88"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For all above mentioned policies such endorsements shall be evidenced on a certificate of insurance furnished to Gogo and must provide Gogo with at least 30 days written notice in the event of cancellation of any such policy.</w:t>
      </w:r>
    </w:p>
    <w:p>
      <w:pPr>
        <w:spacing w:after="0" w:line="69"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20"/>
          <w:szCs w:val="20"/>
          <w:color w:val="auto"/>
        </w:rPr>
        <w:t>Airspan will ensure that any company, vendor or subcontractor being engaged for work under this Agreement, including without limitation under any Statement of Work, is bound to the same terms under this Section and that appropriate Certificates of Insurance or other evidence of such insurance coverage shall be provided to Gogo.</w:t>
      </w:r>
    </w:p>
    <w:p>
      <w:pPr>
        <w:spacing w:after="0" w:line="72" w:lineRule="exact"/>
        <w:rPr>
          <w:sz w:val="20"/>
          <w:szCs w:val="20"/>
          <w:color w:val="auto"/>
        </w:rPr>
      </w:pPr>
    </w:p>
    <w:p>
      <w:pPr>
        <w:ind w:left="760" w:hanging="752"/>
        <w:spacing w:after="0"/>
        <w:tabs>
          <w:tab w:leader="none" w:pos="760" w:val="left"/>
        </w:tabs>
        <w:numPr>
          <w:ilvl w:val="0"/>
          <w:numId w:val="99"/>
        </w:numPr>
        <w:rPr>
          <w:rFonts w:ascii="Arial" w:cs="Arial" w:eastAsia="Arial" w:hAnsi="Arial"/>
          <w:sz w:val="20"/>
          <w:szCs w:val="20"/>
          <w:color w:val="auto"/>
        </w:rPr>
      </w:pPr>
      <w:r>
        <w:rPr>
          <w:rFonts w:ascii="Arial" w:cs="Arial" w:eastAsia="Arial" w:hAnsi="Arial"/>
          <w:sz w:val="20"/>
          <w:szCs w:val="20"/>
          <w:b w:val="1"/>
          <w:bCs w:val="1"/>
          <w:u w:val="single" w:color="auto"/>
          <w:color w:val="auto"/>
        </w:rPr>
        <w:t>WARRANTIES</w:t>
      </w:r>
      <w:r>
        <w:rPr>
          <w:rFonts w:ascii="Arial" w:cs="Arial" w:eastAsia="Arial" w:hAnsi="Arial"/>
          <w:sz w:val="20"/>
          <w:szCs w:val="20"/>
          <w:b w:val="1"/>
          <w:bCs w:val="1"/>
          <w:color w:val="auto"/>
        </w:rPr>
        <w:t>.</w:t>
      </w:r>
    </w:p>
    <w:p>
      <w:pPr>
        <w:spacing w:after="0" w:line="114" w:lineRule="exact"/>
        <w:rPr>
          <w:sz w:val="20"/>
          <w:szCs w:val="20"/>
          <w:color w:val="auto"/>
        </w:rPr>
      </w:pPr>
    </w:p>
    <w:p>
      <w:pPr>
        <w:jc w:val="both"/>
        <w:ind w:left="760" w:right="20" w:hanging="741"/>
        <w:spacing w:after="0" w:line="287" w:lineRule="auto"/>
        <w:tabs>
          <w:tab w:leader="none" w:pos="7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u w:val="single" w:color="auto"/>
          <w:color w:val="auto"/>
        </w:rPr>
        <w:t>Violation of Law</w:t>
      </w:r>
      <w:r>
        <w:rPr>
          <w:rFonts w:ascii="Arial" w:cs="Arial" w:eastAsia="Arial" w:hAnsi="Arial"/>
          <w:sz w:val="19"/>
          <w:szCs w:val="19"/>
          <w:color w:val="auto"/>
        </w:rPr>
        <w:t>. Airspan represents and warrants to Gogo that as of the date of performance, Airspan’s performance of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Services does not and shall not violate any law, rule, or regulation applicable to Airspan in its role as a service provider.</w:t>
      </w:r>
    </w:p>
    <w:p>
      <w:pPr>
        <w:spacing w:after="0" w:line="44" w:lineRule="exact"/>
        <w:rPr>
          <w:sz w:val="20"/>
          <w:szCs w:val="20"/>
          <w:color w:val="auto"/>
        </w:rPr>
      </w:pPr>
    </w:p>
    <w:p>
      <w:pPr>
        <w:jc w:val="both"/>
        <w:ind w:left="760" w:hanging="741"/>
        <w:spacing w:after="0" w:line="274" w:lineRule="auto"/>
        <w:tabs>
          <w:tab w:leader="none" w:pos="7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u w:val="single" w:color="auto"/>
          <w:color w:val="auto"/>
        </w:rPr>
        <w:t>Professional Standards</w:t>
      </w:r>
      <w:r>
        <w:rPr>
          <w:rFonts w:ascii="Arial" w:cs="Arial" w:eastAsia="Arial" w:hAnsi="Arial"/>
          <w:sz w:val="18"/>
          <w:szCs w:val="18"/>
          <w:color w:val="auto"/>
        </w:rPr>
        <w:t>. Airspan represents and warrants to Gogo that: (a) all Services will be performed and all Deliverables</w:t>
      </w:r>
      <w:r>
        <w:rPr>
          <w:rFonts w:ascii="Arial" w:cs="Arial" w:eastAsia="Arial" w:hAnsi="Arial"/>
          <w:sz w:val="18"/>
          <w:szCs w:val="18"/>
          <w:u w:val="single" w:color="auto"/>
          <w:color w:val="auto"/>
        </w:rPr>
        <w:t xml:space="preserve"> </w:t>
      </w:r>
      <w:r>
        <w:rPr>
          <w:rFonts w:ascii="Arial" w:cs="Arial" w:eastAsia="Arial" w:hAnsi="Arial"/>
          <w:sz w:val="18"/>
          <w:szCs w:val="18"/>
          <w:color w:val="auto"/>
        </w:rPr>
        <w:t>delivered by Airspan in a good and workmanlike manner in accordance with applicable industry standards and practices and the Specifications for such Services and Deliverables set forth in the applicable Statement of Work; (b) Airspan possesses the necessary equipment, personnel and other expertise necessary to provide the Services and Deliverables as set forth herein and in the Statement of Work; (c) Airspan personnel rendering the Services and developing the Deliverables shall have the appropriate technical skills, training, experience and expertise to enable Airspan to perform its responsibilities hereunder; and (d) Airspan will not utilize or disclose and confidential or proprietary information of a third party in providing the Services hereunder.</w:t>
      </w:r>
    </w:p>
    <w:p>
      <w:pPr>
        <w:spacing w:after="0" w:line="60" w:lineRule="exact"/>
        <w:rPr>
          <w:sz w:val="20"/>
          <w:szCs w:val="20"/>
          <w:color w:val="auto"/>
        </w:rPr>
      </w:pPr>
    </w:p>
    <w:p>
      <w:pPr>
        <w:jc w:val="both"/>
        <w:ind w:left="760" w:hanging="741"/>
        <w:spacing w:after="0" w:line="259" w:lineRule="auto"/>
        <w:tabs>
          <w:tab w:leader="none" w:pos="7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9"/>
          <w:szCs w:val="19"/>
          <w:u w:val="single" w:color="auto"/>
          <w:color w:val="auto"/>
        </w:rPr>
        <w:t>Viruses</w:t>
      </w:r>
      <w:r>
        <w:rPr>
          <w:rFonts w:ascii="Arial" w:cs="Arial" w:eastAsia="Arial" w:hAnsi="Arial"/>
          <w:sz w:val="19"/>
          <w:szCs w:val="19"/>
          <w:color w:val="auto"/>
        </w:rPr>
        <w:t>. Airspan represents and warrants to Gogo that its performance of the Services will not intentionally introduce viruses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other harmful elements designed to disrupt the orderly operation of, or impair the integrity of data files resident on, any of Gogo’s hardware. Airspan further represents and warrants that it shall use generally and commercially available (in the United States) and reasonably current and comprehensive virus detection/scanning programs, from a reputable vendor of anti-virus software, to protect Gogo’s systems and data. Airspan further represents and warrants to Gogo that, as of the date each Deliverable is delivered to Gogo, such Deliverable shall not contain any such virus or other harmful element.</w:t>
      </w:r>
    </w:p>
    <w:p>
      <w:pPr>
        <w:spacing w:after="0" w:line="64"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b w:val="1"/>
          <w:bCs w:val="1"/>
          <w:color w:val="auto"/>
        </w:rPr>
        <w:t>THESE WARRANTIES ARE GOGO’S EXCLUSIVE WARRANTIES AND REPLACES ALL OTHER WARRANTIES</w:t>
      </w:r>
    </w:p>
    <w:p>
      <w:pPr>
        <w:spacing w:after="0" w:line="22" w:lineRule="exact"/>
        <w:rPr>
          <w:sz w:val="20"/>
          <w:szCs w:val="20"/>
          <w:color w:val="auto"/>
        </w:rPr>
      </w:pPr>
    </w:p>
    <w:p>
      <w:pPr>
        <w:jc w:val="both"/>
        <w:ind w:left="760"/>
        <w:spacing w:after="0"/>
        <w:rPr>
          <w:sz w:val="20"/>
          <w:szCs w:val="20"/>
          <w:color w:val="auto"/>
        </w:rPr>
      </w:pPr>
      <w:r>
        <w:rPr>
          <w:rFonts w:ascii="Arial" w:cs="Arial" w:eastAsia="Arial" w:hAnsi="Arial"/>
          <w:sz w:val="20"/>
          <w:szCs w:val="20"/>
          <w:b w:val="1"/>
          <w:bCs w:val="1"/>
          <w:color w:val="auto"/>
        </w:rPr>
        <w:t xml:space="preserve">OR CONDITIONS, EXPRESS OR IMPLIED, INCLUDING, BUT NOT LIMITED TO, THE IMPLIED WARRANTIES OR CONDITIONS OF MERCHANTABILITY, NON-INFRINGEMENT, AND FITNESS FOR A PARTICULAR PURPOSE. </w:t>
      </w:r>
      <w:r>
        <w:rPr>
          <w:rFonts w:ascii="Arial" w:cs="Arial" w:eastAsia="Arial" w:hAnsi="Arial"/>
          <w:sz w:val="20"/>
          <w:szCs w:val="20"/>
          <w:color w:val="auto"/>
        </w:rPr>
        <w:t>Unless a SOW specifies otherwise Airspan shall not include in any Services or Deliverable any non-Airspan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or non-Airspan products. If identified as such in a SOW, then Airspan provides such non-Airspan services and non-Airspan products </w:t>
      </w:r>
      <w:r>
        <w:rPr>
          <w:rFonts w:ascii="Arial" w:cs="Arial" w:eastAsia="Arial" w:hAnsi="Arial"/>
          <w:sz w:val="20"/>
          <w:szCs w:val="20"/>
          <w:b w:val="1"/>
          <w:bCs w:val="1"/>
          <w:color w:val="auto"/>
        </w:rPr>
        <w:t>WITHOUT WARRANTIES OF ANY KIND</w:t>
      </w:r>
      <w:r>
        <w:rPr>
          <w:rFonts w:ascii="Arial" w:cs="Arial" w:eastAsia="Arial" w:hAnsi="Arial"/>
          <w:sz w:val="20"/>
          <w:szCs w:val="20"/>
          <w:color w:val="auto"/>
        </w:rPr>
        <w:t>; provided, however, that to the extent permissible, Airspan shall pass through to Gogo any warranties provided to Airspan by non-Airspan companies.</w:t>
      </w:r>
    </w:p>
    <w:p>
      <w:pPr>
        <w:spacing w:after="0" w:line="83" w:lineRule="exact"/>
        <w:rPr>
          <w:sz w:val="20"/>
          <w:szCs w:val="20"/>
          <w:color w:val="auto"/>
        </w:rPr>
      </w:pPr>
    </w:p>
    <w:p>
      <w:pPr>
        <w:ind w:right="8260" w:firstLine="8"/>
        <w:spacing w:after="0" w:line="355" w:lineRule="auto"/>
        <w:tabs>
          <w:tab w:leader="none" w:pos="742" w:val="left"/>
        </w:tabs>
        <w:numPr>
          <w:ilvl w:val="0"/>
          <w:numId w:val="100"/>
        </w:numPr>
        <w:rPr>
          <w:rFonts w:ascii="Arial" w:cs="Arial" w:eastAsia="Arial" w:hAnsi="Arial"/>
          <w:sz w:val="20"/>
          <w:szCs w:val="20"/>
          <w:color w:val="auto"/>
        </w:rPr>
      </w:pPr>
      <w:r>
        <w:rPr>
          <w:rFonts w:ascii="Arial" w:cs="Arial" w:eastAsia="Arial" w:hAnsi="Arial"/>
          <w:sz w:val="20"/>
          <w:szCs w:val="20"/>
          <w:b w:val="1"/>
          <w:bCs w:val="1"/>
          <w:u w:val="single" w:color="auto"/>
          <w:color w:val="auto"/>
        </w:rPr>
        <w:t xml:space="preserve">INDEMNIFICATION. </w:t>
      </w:r>
      <w:r>
        <w:rPr>
          <w:rFonts w:ascii="Arial" w:cs="Arial" w:eastAsia="Arial" w:hAnsi="Arial"/>
          <w:sz w:val="20"/>
          <w:szCs w:val="20"/>
          <w:color w:val="auto"/>
        </w:rPr>
        <w:t xml:space="preserve">10.1 </w:t>
      </w:r>
      <w:r>
        <w:rPr>
          <w:rFonts w:ascii="Arial" w:cs="Arial" w:eastAsia="Arial" w:hAnsi="Arial"/>
          <w:sz w:val="20"/>
          <w:szCs w:val="20"/>
          <w:u w:val="single" w:color="auto"/>
          <w:color w:val="auto"/>
        </w:rPr>
        <w:t>Indemnification by Airspan</w:t>
      </w:r>
      <w:r>
        <w:rPr>
          <w:rFonts w:ascii="Arial" w:cs="Arial" w:eastAsia="Arial" w:hAnsi="Arial"/>
          <w:sz w:val="20"/>
          <w:szCs w:val="20"/>
          <w:color w:val="auto"/>
        </w:rPr>
        <w:t>.</w:t>
      </w:r>
    </w:p>
    <w:p>
      <w:pPr>
        <w:jc w:val="both"/>
        <w:ind w:left="1500" w:hanging="750"/>
        <w:spacing w:after="0" w:line="246" w:lineRule="auto"/>
        <w:tabs>
          <w:tab w:leader="none" w:pos="150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Airspan shall indemnify, defend (at Airspan’s expense) and hold Gogo, its Affiliates and their respective officers, directors, agents and employees harmless from and against any court costs, reasonable attorneys’ fees and expenses, settlement expenses, court-awarded damages and reasonable costs of investigation arising out of or resulting from: (i) any bodily injury or real or tangible personal property damage arising</w:t>
      </w:r>
    </w:p>
    <w:p>
      <w:pPr>
        <w:spacing w:after="0" w:line="200" w:lineRule="exact"/>
        <w:rPr>
          <w:rFonts w:ascii="Arial" w:cs="Arial" w:eastAsia="Arial" w:hAnsi="Arial"/>
          <w:sz w:val="20"/>
          <w:szCs w:val="20"/>
          <w:color w:val="auto"/>
        </w:rPr>
      </w:pPr>
    </w:p>
    <w:p>
      <w:pPr>
        <w:spacing w:after="0" w:line="328" w:lineRule="exact"/>
        <w:rPr>
          <w:rFonts w:ascii="Arial" w:cs="Arial" w:eastAsia="Arial" w:hAnsi="Arial"/>
          <w:sz w:val="20"/>
          <w:szCs w:val="20"/>
          <w:color w:val="auto"/>
        </w:rPr>
      </w:pPr>
    </w:p>
    <w:p>
      <w:pPr>
        <w:ind w:left="5520" w:hanging="110"/>
        <w:spacing w:after="0"/>
        <w:tabs>
          <w:tab w:leader="none" w:pos="5520" w:val="left"/>
        </w:tabs>
        <w:numPr>
          <w:ilvl w:val="2"/>
          <w:numId w:val="100"/>
        </w:numPr>
        <w:rPr>
          <w:rFonts w:ascii="Arial" w:cs="Arial" w:eastAsia="Arial" w:hAnsi="Arial"/>
          <w:sz w:val="20"/>
          <w:szCs w:val="20"/>
          <w:color w:val="auto"/>
        </w:rPr>
      </w:pPr>
      <w:r>
        <w:rPr>
          <w:rFonts w:ascii="Arial" w:cs="Arial" w:eastAsia="Arial" w:hAnsi="Arial"/>
          <w:sz w:val="20"/>
          <w:szCs w:val="20"/>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47" w:name="page148"/>
    <w:bookmarkEnd w:id="147"/>
    <w:p>
      <w:pPr>
        <w:ind w:left="1030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ind w:left="1500"/>
        <w:spacing w:after="0" w:line="257" w:lineRule="auto"/>
        <w:rPr>
          <w:sz w:val="20"/>
          <w:szCs w:val="20"/>
          <w:color w:val="auto"/>
        </w:rPr>
      </w:pPr>
      <w:r>
        <w:rPr>
          <w:rFonts w:ascii="Arial" w:cs="Arial" w:eastAsia="Arial" w:hAnsi="Arial"/>
          <w:sz w:val="19"/>
          <w:szCs w:val="19"/>
          <w:color w:val="auto"/>
        </w:rPr>
        <w:t>out of Airspan’s negligence or willful misconduct; (ii) damages resulting from the breach of Airspan’s data privacy and security obligations set forth in this Agreement; and (iii) any third-party claim that such third party’s patent, trademark, trade secret, copyright or trade dress right is infringed, misappropriated or violated by any Deliverable or a claim that it was developed utilizing that third party’s confidential or proprietary information that would constitute a breach of a non-disclosure agreement (including any Airspan Background IP incorporated into a Deliverable). To the extent permissible, Airspan shall pass through to Gogo any indemnification provided to Airspan by non-Airspan companies for such non-Airspan services and non-Airspan products, along with any warranties (likewise, to the extent permissible), further to its obligation under Section 9.4 of this Agreement.</w:t>
      </w:r>
    </w:p>
    <w:p>
      <w:pPr>
        <w:spacing w:after="0" w:line="72" w:lineRule="exact"/>
        <w:rPr>
          <w:sz w:val="20"/>
          <w:szCs w:val="20"/>
          <w:color w:val="auto"/>
        </w:rPr>
      </w:pPr>
    </w:p>
    <w:p>
      <w:pPr>
        <w:jc w:val="both"/>
        <w:ind w:left="1500" w:hanging="750"/>
        <w:spacing w:after="0" w:line="269" w:lineRule="auto"/>
        <w:tabs>
          <w:tab w:leader="none" w:pos="1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If any of the Deliverables or any portion thereof is held, or in Airspan’s reasonable opinion is likely to be held, in any such suit to constitute an infringement, misappropriation or violation of the rights (including breach of a non-disclosure agreement) of a third party, Airspan shall promptly, at its expense and option, either: (i) secure for Gogo the right to continue the use of such Deliverable; or (ii) replace such Deliverable with a substantially equivalent item that is not subject to any such claim, or modify such Deliverable so that it becomes no longer subject to any such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any such replacement or modification, the Deliverable must continue to substantially conform to the Specifications, and </w:t>
      </w:r>
      <w:r>
        <w:rPr>
          <w:rFonts w:ascii="Arial" w:cs="Arial" w:eastAsia="Arial" w:hAnsi="Arial"/>
          <w:sz w:val="18"/>
          <w:szCs w:val="18"/>
          <w:u w:val="single" w:color="auto"/>
          <w:color w:val="auto"/>
        </w:rPr>
        <w:t>further provided</w:t>
      </w:r>
      <w:r>
        <w:rPr>
          <w:rFonts w:ascii="Arial" w:cs="Arial" w:eastAsia="Arial" w:hAnsi="Arial"/>
          <w:sz w:val="18"/>
          <w:szCs w:val="18"/>
          <w:color w:val="auto"/>
        </w:rPr>
        <w:t>, that any such modified or replaced Deliverable shall be subject to all Airspan warranties contained herein. If Airspan is unable to procure the right to continued use of such Deliverable, or to modify or replace such Deliverable, as provided in clauses (i) and (ii) of the immediately preceding sentence, then Gogo shall return such Deliverable to Airspan, and Airspan shall refund to Gogo the amount paid to Airspan for such Deliverables. In addition, if SOW are specifically identified as phases of the same project in each of the applicable SOW, and Airspan fails to correct an infringement, misappropriation or violation in one of the phases, Airspan shall refund to Gogo (A) all amounts paid to Airspan for the applicable Deliverable, and (B) all amounts paid to Airspan for other Deliverables that are part of the same project but are rendered to be of no reasonable utility to Gogo without the applicable Deliverable.</w:t>
      </w:r>
    </w:p>
    <w:p>
      <w:pPr>
        <w:spacing w:after="0" w:line="73" w:lineRule="exact"/>
        <w:rPr>
          <w:sz w:val="20"/>
          <w:szCs w:val="20"/>
          <w:color w:val="auto"/>
        </w:rPr>
      </w:pPr>
    </w:p>
    <w:p>
      <w:pPr>
        <w:jc w:val="both"/>
        <w:ind w:left="760" w:hanging="741"/>
        <w:spacing w:after="0" w:line="244" w:lineRule="auto"/>
        <w:tabs>
          <w:tab w:leader="none" w:pos="7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u w:val="single" w:color="auto"/>
          <w:color w:val="auto"/>
        </w:rPr>
        <w:t>Indemnification by Gogo</w:t>
      </w:r>
      <w:r>
        <w:rPr>
          <w:rFonts w:ascii="Arial" w:cs="Arial" w:eastAsia="Arial" w:hAnsi="Arial"/>
          <w:sz w:val="20"/>
          <w:szCs w:val="20"/>
          <w:color w:val="auto"/>
        </w:rPr>
        <w:t>. Gogo shall indemnify, defend (at Gogo’s expense) and hold Airspan, its Affiliates and their respective</w:t>
      </w:r>
      <w:r>
        <w:rPr>
          <w:rFonts w:ascii="Arial" w:cs="Arial" w:eastAsia="Arial" w:hAnsi="Arial"/>
          <w:sz w:val="20"/>
          <w:szCs w:val="20"/>
          <w:u w:val="single" w:color="auto"/>
          <w:color w:val="auto"/>
        </w:rPr>
        <w:t xml:space="preserve"> </w:t>
      </w:r>
      <w:r>
        <w:rPr>
          <w:rFonts w:ascii="Arial" w:cs="Arial" w:eastAsia="Arial" w:hAnsi="Arial"/>
          <w:sz w:val="20"/>
          <w:szCs w:val="20"/>
          <w:color w:val="auto"/>
        </w:rPr>
        <w:t>officers, directors, agents and employees harmless from and against any claims, losses, damages, liabilities or expenses (including reasonable attorneys’ fees and expenses) that a court finally awards or that are included in a settlement approved by Gogo arising out of or resulting from any bodily injury or real or tangible personal property damage arising out of Gogo’s negligence or willful misconduct.</w:t>
      </w:r>
    </w:p>
    <w:p>
      <w:pPr>
        <w:spacing w:after="0" w:line="86" w:lineRule="exact"/>
        <w:rPr>
          <w:sz w:val="20"/>
          <w:szCs w:val="20"/>
          <w:color w:val="auto"/>
        </w:rPr>
      </w:pPr>
    </w:p>
    <w:p>
      <w:pPr>
        <w:jc w:val="both"/>
        <w:ind w:left="760" w:hanging="741"/>
        <w:spacing w:after="0" w:line="271" w:lineRule="auto"/>
        <w:tabs>
          <w:tab w:leader="none" w:pos="7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Promptly after receipt by an indemnified party of a notice of any claim or the commencement of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action, such indemnified party shall: (a) notify the indemnifying party in writing of any such claim; (b) provide the indemnifying party with reasonable assistance to settle or defend such claim, at the indemnifying party’s own expense; and (c) grant to the indemnifying party the right to control the defense and/or settlement of such claim, at the indemnifying party’s own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failure to so notify, provide assistance and grant authority and control shall only relieve the indemnifying party of its obligation to the indemnified party to the extent that the indemnifying party is prejudiced thereby; (ii) the indemnifying party shall not, without the indemnified party’s consent (such consent not to be unreasonably withheld or delayed), agree to any settlement that: (A) makes any admission on behalf of the indemnified party; or (B) consents to any injunction against the indemnified party (except an injunction relating solely to the indemnified party’s continued use of any infringing Deliverable or Gogo Background IP); and (iii) the indemnified party shall have the right, at its expense, to monitor any legal proceeding through legal counsel of its choosing, but shall have no right to settle a claim without the indemnifying party’s written consent.</w:t>
      </w:r>
    </w:p>
    <w:p>
      <w:pPr>
        <w:spacing w:after="0" w:line="56" w:lineRule="exact"/>
        <w:rPr>
          <w:sz w:val="20"/>
          <w:szCs w:val="20"/>
          <w:color w:val="auto"/>
        </w:rPr>
      </w:pPr>
    </w:p>
    <w:p>
      <w:pPr>
        <w:ind w:left="760" w:hanging="752"/>
        <w:spacing w:after="0"/>
        <w:tabs>
          <w:tab w:leader="none" w:pos="760" w:val="left"/>
        </w:tabs>
        <w:numPr>
          <w:ilvl w:val="0"/>
          <w:numId w:val="102"/>
        </w:numPr>
        <w:rPr>
          <w:rFonts w:ascii="Arial" w:cs="Arial" w:eastAsia="Arial" w:hAnsi="Arial"/>
          <w:sz w:val="20"/>
          <w:szCs w:val="20"/>
          <w:color w:val="auto"/>
        </w:rPr>
      </w:pPr>
      <w:r>
        <w:rPr>
          <w:rFonts w:ascii="Arial" w:cs="Arial" w:eastAsia="Arial" w:hAnsi="Arial"/>
          <w:sz w:val="20"/>
          <w:szCs w:val="20"/>
          <w:b w:val="1"/>
          <w:bCs w:val="1"/>
          <w:u w:val="single" w:color="auto"/>
          <w:color w:val="auto"/>
        </w:rPr>
        <w:t>LIMITATION OF LIABILITY.</w:t>
      </w:r>
    </w:p>
    <w:p>
      <w:pPr>
        <w:spacing w:after="0" w:line="114" w:lineRule="exact"/>
        <w:rPr>
          <w:sz w:val="20"/>
          <w:szCs w:val="20"/>
          <w:color w:val="auto"/>
        </w:rPr>
      </w:pPr>
    </w:p>
    <w:p>
      <w:pPr>
        <w:jc w:val="both"/>
        <w:ind w:left="760" w:hanging="741"/>
        <w:spacing w:after="0" w:line="243" w:lineRule="auto"/>
        <w:tabs>
          <w:tab w:leader="none" w:pos="7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u w:val="single" w:color="auto"/>
          <w:color w:val="auto"/>
        </w:rPr>
        <w:t>Limitation of Liability</w:t>
      </w:r>
      <w:r>
        <w:rPr>
          <w:rFonts w:ascii="Arial" w:cs="Arial" w:eastAsia="Arial" w:hAnsi="Arial"/>
          <w:sz w:val="20"/>
          <w:szCs w:val="20"/>
          <w:color w:val="auto"/>
        </w:rPr>
        <w:t>. EXCEPT IN CONNECTION WITH (a) SECTION 5, (b) SECTION 10, AND (c) EITHER PARTY’S</w:t>
      </w:r>
      <w:r>
        <w:rPr>
          <w:rFonts w:ascii="Arial" w:cs="Arial" w:eastAsia="Arial" w:hAnsi="Arial"/>
          <w:sz w:val="20"/>
          <w:szCs w:val="20"/>
          <w:u w:val="single" w:color="auto"/>
          <w:color w:val="auto"/>
        </w:rPr>
        <w:t xml:space="preserve"> </w:t>
      </w:r>
      <w:r>
        <w:rPr>
          <w:rFonts w:ascii="Arial" w:cs="Arial" w:eastAsia="Arial" w:hAnsi="Arial"/>
          <w:sz w:val="20"/>
          <w:szCs w:val="20"/>
          <w:color w:val="auto"/>
        </w:rPr>
        <w:t>INFRINGEMENT OR VIOLATION OF THE OTHER PARTY’S OR A THIRD PARTY’S INTELLECTUAL PROPERTY RIGHTS, IN NO EVENT SHALL EITHER PARTY, ITS AFFILIATES, OR THEIR RESPECTIVE DIRECTORS, OFFICERS, AGENTS, SUBCONTRACTORS OR EMPLOYEES, BE LIABLE TO THE OTHER PARTY FOR ANY REASON, WHETHER IN CONTRACT OR IN TORT, FOR ANY DIRECT DAMAGES ARISING OUT OF OR BASED UPON THIS AGREEMENT (INCLUDING ALL</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48" w:name="page149"/>
    <w:bookmarkEnd w:id="148"/>
    <w:p>
      <w:pPr>
        <w:ind w:left="1030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ind w:left="760"/>
        <w:spacing w:after="0" w:line="260" w:lineRule="auto"/>
        <w:rPr>
          <w:sz w:val="20"/>
          <w:szCs w:val="20"/>
          <w:color w:val="auto"/>
        </w:rPr>
      </w:pPr>
      <w:r>
        <w:rPr>
          <w:rFonts w:ascii="Arial" w:cs="Arial" w:eastAsia="Arial" w:hAnsi="Arial"/>
          <w:sz w:val="20"/>
          <w:szCs w:val="20"/>
          <w:color w:val="auto"/>
        </w:rPr>
        <w:t>STATEMENTS OF WORK) EXCEEDING [***], REGARDLESS OF THE FORM IN WHICH ANY LEGAL OR EQUITABLE ACTION MAY BE BROUGHT.</w:t>
      </w:r>
    </w:p>
    <w:p>
      <w:pPr>
        <w:spacing w:after="0" w:line="69" w:lineRule="exact"/>
        <w:rPr>
          <w:sz w:val="20"/>
          <w:szCs w:val="20"/>
          <w:color w:val="auto"/>
        </w:rPr>
      </w:pPr>
    </w:p>
    <w:p>
      <w:pPr>
        <w:jc w:val="both"/>
        <w:ind w:left="760" w:hanging="741"/>
        <w:spacing w:after="0" w:line="257" w:lineRule="auto"/>
        <w:tabs>
          <w:tab w:leader="none" w:pos="7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9"/>
          <w:szCs w:val="19"/>
          <w:u w:val="single" w:color="auto"/>
          <w:color w:val="auto"/>
        </w:rPr>
        <w:t>No Consequential Damages</w:t>
      </w:r>
      <w:r>
        <w:rPr>
          <w:rFonts w:ascii="Arial" w:cs="Arial" w:eastAsia="Arial" w:hAnsi="Arial"/>
          <w:sz w:val="19"/>
          <w:szCs w:val="19"/>
          <w:color w:val="auto"/>
        </w:rPr>
        <w:t>. EXCEPT IN CONNECTION WITH (a) SECTION 5, (b) SECTION 10, AND (c) EITHER PARTY’S</w:t>
      </w:r>
      <w:r>
        <w:rPr>
          <w:rFonts w:ascii="Arial" w:cs="Arial" w:eastAsia="Arial" w:hAnsi="Arial"/>
          <w:sz w:val="19"/>
          <w:szCs w:val="19"/>
          <w:u w:val="single" w:color="auto"/>
          <w:color w:val="auto"/>
        </w:rPr>
        <w:t xml:space="preserve"> </w:t>
      </w:r>
      <w:r>
        <w:rPr>
          <w:rFonts w:ascii="Arial" w:cs="Arial" w:eastAsia="Arial" w:hAnsi="Arial"/>
          <w:sz w:val="19"/>
          <w:szCs w:val="19"/>
          <w:color w:val="auto"/>
        </w:rPr>
        <w:t>INFRINGEMENT OR VIOLATION OF THE OTHER PARTY’S OR A THIRD PARTY’S INTELLECTUAL PROPERTY RIGHTS, IN NO EVENT SHALL EITHER PARTY, ITS AFFILIATES, OR THEIR RESPECTIVE DIRECTORS, OFFICERS, AGENTS, SUBCONTRACTORS OR EMPLOYEES, BE LIABLE TO THE OTHER PARTY UNDER ANY THEORY OF TORT, CONTRACT, STRICT LIABILITY OR OTHER LEGAL OR EQUITABLE THEORY FOR EXEMPLARY, PUNITIVE, INDIRECT, SPECIAL, LOST PROFITS, ECONOMIC, CONSEQUENTIAL, LOSS OR DAMAGE TO DATA OR SIMILAR DAMAGES, EACH OF WHICH IS HEREBY EXCLUDED BY AGREEMENT OF THE PARTIES REGARDLESS OF WHETHER OR NOT SUCH PARTY HAS BEEN ADVISED OF THE POSSIBILITY OF SUCH DAMAGES.</w:t>
      </w:r>
    </w:p>
    <w:p>
      <w:pPr>
        <w:spacing w:after="0" w:line="66" w:lineRule="exact"/>
        <w:rPr>
          <w:sz w:val="20"/>
          <w:szCs w:val="20"/>
          <w:color w:val="auto"/>
        </w:rPr>
      </w:pPr>
    </w:p>
    <w:p>
      <w:pPr>
        <w:ind w:left="760" w:hanging="752"/>
        <w:spacing w:after="0"/>
        <w:tabs>
          <w:tab w:leader="none" w:pos="760" w:val="left"/>
        </w:tabs>
        <w:numPr>
          <w:ilvl w:val="0"/>
          <w:numId w:val="103"/>
        </w:numPr>
        <w:rPr>
          <w:rFonts w:ascii="Arial" w:cs="Arial" w:eastAsia="Arial" w:hAnsi="Arial"/>
          <w:sz w:val="20"/>
          <w:szCs w:val="20"/>
          <w:color w:val="auto"/>
        </w:rPr>
      </w:pPr>
      <w:r>
        <w:rPr>
          <w:rFonts w:ascii="Arial" w:cs="Arial" w:eastAsia="Arial" w:hAnsi="Arial"/>
          <w:sz w:val="20"/>
          <w:szCs w:val="20"/>
          <w:b w:val="1"/>
          <w:bCs w:val="1"/>
          <w:u w:val="single" w:color="auto"/>
          <w:color w:val="auto"/>
        </w:rPr>
        <w:t>GENERAL.</w:t>
      </w:r>
    </w:p>
    <w:p>
      <w:pPr>
        <w:spacing w:after="0" w:line="114" w:lineRule="exact"/>
        <w:rPr>
          <w:sz w:val="20"/>
          <w:szCs w:val="20"/>
          <w:color w:val="auto"/>
        </w:rPr>
      </w:pPr>
    </w:p>
    <w:p>
      <w:pPr>
        <w:jc w:val="both"/>
        <w:ind w:left="760" w:hanging="741"/>
        <w:spacing w:after="0" w:line="243" w:lineRule="auto"/>
        <w:tabs>
          <w:tab w:leader="none" w:pos="7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u w:val="single" w:color="auto"/>
          <w:color w:val="auto"/>
        </w:rPr>
        <w:t>Assignment</w:t>
      </w:r>
      <w:r>
        <w:rPr>
          <w:rFonts w:ascii="Arial" w:cs="Arial" w:eastAsia="Arial" w:hAnsi="Arial"/>
          <w:sz w:val="20"/>
          <w:szCs w:val="20"/>
          <w:color w:val="auto"/>
        </w:rPr>
        <w:t>. Neither Party may assign or transfer its rights or obligations in this agreement (by operation of law or otherwise),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whole or in part, to any person or entity without the prior written consent of the other Party, which consent shall not be unreasonable withheld; provided, however, that Gogo may assign such rights or obligations to (a) a successor or surviving corporation resulting from a merger, consolidation, sale of assets or stock or other corporate reorganization, or (b) its parent or affiliate, upon condition that the assignee will assume all of the Party’s obligations hereunder. Any attempt to assign or delegate in violation of this clause will be void.</w:t>
      </w:r>
    </w:p>
    <w:p>
      <w:pPr>
        <w:spacing w:after="0" w:line="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108" w:lineRule="exact"/>
        <w:rPr>
          <w:sz w:val="20"/>
          <w:szCs w:val="20"/>
          <w:color w:val="auto"/>
        </w:rPr>
      </w:pPr>
    </w:p>
    <w:p>
      <w:pPr>
        <w:jc w:val="both"/>
        <w:ind w:left="1500" w:hanging="750"/>
        <w:spacing w:after="0" w:line="259" w:lineRule="auto"/>
        <w:tabs>
          <w:tab w:leader="none" w:pos="15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If Airspan receives a bona fide offer with respect to a proposed Change of Control Transaction [***], prior to entering into any legally binding commitment with respect to a Change of Control Transaction, subject to Gogo providing an undertaking to maintain such information in strict confidence and to use it solely for the purposes of Section 12.2(b) below, Airspan will deliver a written notice to Gogo specifying in reasonable detail [***] (the “Proposed Transaction”). As part of any Proposed Transaction, the Buyer (or surviving entity or successor in interest, as applicable) must be required to assume, in writing, all of the obligations of Airspan under the Agreement.</w:t>
      </w:r>
    </w:p>
    <w:p>
      <w:pPr>
        <w:spacing w:after="0" w:line="70" w:lineRule="exact"/>
        <w:rPr>
          <w:rFonts w:ascii="Arial" w:cs="Arial" w:eastAsia="Arial" w:hAnsi="Arial"/>
          <w:sz w:val="19"/>
          <w:szCs w:val="19"/>
          <w:color w:val="auto"/>
        </w:rPr>
      </w:pPr>
    </w:p>
    <w:p>
      <w:pPr>
        <w:ind w:left="1500" w:hanging="750"/>
        <w:spacing w:after="0"/>
        <w:tabs>
          <w:tab w:leader="none" w:pos="15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With respect to a Proposed Transaction:</w:t>
      </w:r>
    </w:p>
    <w:p>
      <w:pPr>
        <w:spacing w:after="0" w:line="107" w:lineRule="exact"/>
        <w:rPr>
          <w:rFonts w:ascii="Arial" w:cs="Arial" w:eastAsia="Arial" w:hAnsi="Arial"/>
          <w:sz w:val="20"/>
          <w:szCs w:val="20"/>
          <w:color w:val="auto"/>
        </w:rPr>
      </w:pPr>
    </w:p>
    <w:p>
      <w:pPr>
        <w:ind w:left="1500" w:hanging="750"/>
        <w:spacing w:after="0"/>
        <w:tabs>
          <w:tab w:leader="none" w:pos="15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1500" w:hanging="750"/>
        <w:spacing w:after="0"/>
        <w:tabs>
          <w:tab w:leader="none" w:pos="15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1500" w:right="20" w:hanging="750"/>
        <w:spacing w:after="0" w:line="260" w:lineRule="auto"/>
        <w:tabs>
          <w:tab w:leader="none" w:pos="15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If Airspan consummates the Change of Control Transaction, Gogo may, in its sole discretion, terminate this Agreement and all SOWs hereunder.</w:t>
      </w:r>
    </w:p>
    <w:p>
      <w:pPr>
        <w:spacing w:after="0" w:line="68" w:lineRule="exact"/>
        <w:rPr>
          <w:rFonts w:ascii="Arial" w:cs="Arial" w:eastAsia="Arial" w:hAnsi="Arial"/>
          <w:sz w:val="20"/>
          <w:szCs w:val="20"/>
          <w:color w:val="auto"/>
        </w:rPr>
      </w:pPr>
    </w:p>
    <w:p>
      <w:pPr>
        <w:ind w:left="1500" w:hanging="750"/>
        <w:spacing w:after="0"/>
        <w:tabs>
          <w:tab w:leader="none" w:pos="15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 and all the provisions of this Section 12.2 shall expire upon the first to occur of the following:</w:t>
      </w:r>
    </w:p>
    <w:p>
      <w:pPr>
        <w:spacing w:after="0" w:line="107" w:lineRule="exact"/>
        <w:rPr>
          <w:rFonts w:ascii="Arial" w:cs="Arial" w:eastAsia="Arial" w:hAnsi="Arial"/>
          <w:sz w:val="20"/>
          <w:szCs w:val="20"/>
          <w:color w:val="auto"/>
        </w:rPr>
      </w:pPr>
    </w:p>
    <w:p>
      <w:pPr>
        <w:ind w:left="2240" w:hanging="747"/>
        <w:spacing w:after="0" w:line="260" w:lineRule="auto"/>
        <w:tabs>
          <w:tab w:leader="none" w:pos="224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Airspan’s or its direct or indirect parent company’s securities are offered to the public or listed for trading on a recognized public securities exchange;</w:t>
      </w:r>
    </w:p>
    <w:p>
      <w:pPr>
        <w:spacing w:after="0" w:line="68" w:lineRule="exact"/>
        <w:rPr>
          <w:rFonts w:ascii="Arial" w:cs="Arial" w:eastAsia="Arial" w:hAnsi="Arial"/>
          <w:sz w:val="20"/>
          <w:szCs w:val="20"/>
          <w:color w:val="auto"/>
        </w:rPr>
      </w:pPr>
    </w:p>
    <w:p>
      <w:pPr>
        <w:ind w:left="2240" w:hanging="747"/>
        <w:spacing w:after="0"/>
        <w:tabs>
          <w:tab w:leader="none" w:pos="224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Gogo’s ATG network developed under this Agreement is decommissioned; and</w:t>
      </w:r>
    </w:p>
    <w:p>
      <w:pPr>
        <w:spacing w:after="0" w:line="107" w:lineRule="exact"/>
        <w:rPr>
          <w:rFonts w:ascii="Arial" w:cs="Arial" w:eastAsia="Arial" w:hAnsi="Arial"/>
          <w:sz w:val="20"/>
          <w:szCs w:val="20"/>
          <w:color w:val="auto"/>
        </w:rPr>
      </w:pPr>
    </w:p>
    <w:p>
      <w:pPr>
        <w:ind w:left="2240" w:hanging="747"/>
        <w:spacing w:after="0"/>
        <w:tabs>
          <w:tab w:leader="none" w:pos="224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The termination of exclusivity pursuant to Sections 3.4 or 3.5 hereof.</w:t>
      </w:r>
    </w:p>
    <w:p>
      <w:pPr>
        <w:spacing w:after="0" w:line="10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u w:val="single" w:color="auto"/>
          <w:color w:val="auto"/>
        </w:rPr>
        <w:t>Bankruptcy</w:t>
      </w:r>
      <w:r>
        <w:rPr>
          <w:rFonts w:ascii="Arial" w:cs="Arial" w:eastAsia="Arial" w:hAnsi="Arial"/>
          <w:sz w:val="18"/>
          <w:szCs w:val="18"/>
          <w:color w:val="auto"/>
        </w:rPr>
        <w:t>.</w:t>
      </w:r>
    </w:p>
    <w:p>
      <w:pPr>
        <w:spacing w:after="0" w:line="216" w:lineRule="exact"/>
        <w:rPr>
          <w:sz w:val="20"/>
          <w:szCs w:val="20"/>
          <w:color w:val="auto"/>
        </w:rPr>
      </w:pPr>
    </w:p>
    <w:p>
      <w:pPr>
        <w:jc w:val="both"/>
        <w:ind w:left="1500" w:hanging="750"/>
        <w:spacing w:after="0" w:line="263" w:lineRule="auto"/>
        <w:tabs>
          <w:tab w:leader="none" w:pos="15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Parties intend that all licenses granted under this Agreement are, for purposes of Section 365(n) of Title 11 of the United States Code, as amended from time to time (the “</w:t>
      </w:r>
      <w:r>
        <w:rPr>
          <w:rFonts w:ascii="Arial" w:cs="Arial" w:eastAsia="Arial" w:hAnsi="Arial"/>
          <w:sz w:val="19"/>
          <w:szCs w:val="19"/>
          <w:u w:val="single" w:color="auto"/>
          <w:color w:val="auto"/>
        </w:rPr>
        <w:t>Bankruptcy Code</w:t>
      </w:r>
      <w:r>
        <w:rPr>
          <w:rFonts w:ascii="Arial" w:cs="Arial" w:eastAsia="Arial" w:hAnsi="Arial"/>
          <w:sz w:val="19"/>
          <w:szCs w:val="19"/>
          <w:color w:val="auto"/>
        </w:rPr>
        <w:t>”), licenses of rights to “intellectual property,” as that term is defined in section 101 of the Bankruptcy Code. Nothing in this agreement limits the licensee’s rights under section 365(n). The foregoing does not constitute an election under section 365(n).</w:t>
      </w:r>
    </w:p>
    <w:p>
      <w:pPr>
        <w:spacing w:after="0" w:line="176" w:lineRule="exact"/>
        <w:rPr>
          <w:rFonts w:ascii="Arial" w:cs="Arial" w:eastAsia="Arial" w:hAnsi="Arial"/>
          <w:sz w:val="19"/>
          <w:szCs w:val="19"/>
          <w:color w:val="auto"/>
        </w:rPr>
      </w:pPr>
    </w:p>
    <w:p>
      <w:pPr>
        <w:jc w:val="both"/>
        <w:ind w:left="1500" w:hanging="750"/>
        <w:spacing w:after="0" w:line="250" w:lineRule="auto"/>
        <w:tabs>
          <w:tab w:leader="none" w:pos="150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With respect to any proposed or purported assumption or assignment of any right or duty under this Agreement by a Party or any Affiliate during or in connection with any bankruptcy proceeding related to that Party or Affiliate, the Parties agree and stipulate as follows: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5520" w:hanging="110"/>
        <w:spacing w:after="0"/>
        <w:tabs>
          <w:tab w:leader="none" w:pos="552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4"/>
          <w:szCs w:val="14"/>
          <w:b w:val="1"/>
          <w:bCs w:val="1"/>
          <w:i w:val="1"/>
          <w:iCs w:val="1"/>
          <w:color w:val="auto"/>
        </w:rPr>
        <w:t>Execution Copy</w:t>
      </w:r>
    </w:p>
    <w:p>
      <w:pPr>
        <w:spacing w:after="0" w:line="138" w:lineRule="exact"/>
        <w:rPr>
          <w:sz w:val="20"/>
          <w:szCs w:val="20"/>
          <w:color w:val="auto"/>
        </w:rPr>
      </w:pPr>
    </w:p>
    <w:p>
      <w:pPr>
        <w:ind w:left="2240" w:hanging="747"/>
        <w:spacing w:after="0"/>
        <w:tabs>
          <w:tab w:leader="none" w:pos="224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This Agreement is an executory agreement under Section 365 of the Bankruptcy Code;</w:t>
      </w:r>
    </w:p>
    <w:p>
      <w:pPr>
        <w:spacing w:after="0" w:line="215" w:lineRule="exact"/>
        <w:rPr>
          <w:rFonts w:ascii="Arial" w:cs="Arial" w:eastAsia="Arial" w:hAnsi="Arial"/>
          <w:sz w:val="20"/>
          <w:szCs w:val="20"/>
          <w:color w:val="auto"/>
        </w:rPr>
      </w:pPr>
    </w:p>
    <w:p>
      <w:pPr>
        <w:jc w:val="both"/>
        <w:ind w:left="2240" w:hanging="747"/>
        <w:spacing w:after="0" w:line="270" w:lineRule="auto"/>
        <w:tabs>
          <w:tab w:leader="none" w:pos="22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This Agreement is personal to the Parties and their Affiliates. Except for the licenses granted herein, as a licensor of intellectual property (as that term is defined in Section 101 of the Bankruptcy Code) under this Agreement, in entering this Agreement and granting the rights it grants under this Agreement, each Party has, in its efforts to protect its own valuable intellectual property, relied on the particular skills and business qualities of the recipients of such rights. Such skills and business qualities include the expected future innovation of the other Party and its Affiliates licensed under this Agreement, and the particular market segments addressed by the other Party and its Affiliates in their businesses. Therefore, the Parties agree that in the event of any Party’s entry into bankruptcy proceedings of any kind (including without limitation the entry into bankruptcy proceedings of any kind by any Affiliate), this Agreement is of the type described in Section 365(c)(1) of the Bankruptcy Code because U.S. patent and copyright law prohibits the assignment of a patent or copyright license without the consent of the licensor, and thus this Agreement may not be assumed or assigned in bankruptcy by a Party or any of its Affiliates without the consent of the other Party to this Agreement.</w:t>
      </w:r>
    </w:p>
    <w:p>
      <w:pPr>
        <w:spacing w:after="0" w:line="175" w:lineRule="exact"/>
        <w:rPr>
          <w:rFonts w:ascii="Arial" w:cs="Arial" w:eastAsia="Arial" w:hAnsi="Arial"/>
          <w:sz w:val="18"/>
          <w:szCs w:val="18"/>
          <w:color w:val="auto"/>
        </w:rPr>
      </w:pPr>
    </w:p>
    <w:p>
      <w:pPr>
        <w:jc w:val="both"/>
        <w:ind w:left="2240" w:hanging="747"/>
        <w:spacing w:after="0" w:line="246" w:lineRule="auto"/>
        <w:tabs>
          <w:tab w:leader="none" w:pos="224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Any purported assignment, assumption or transfer in violation of this Section 12.3 shall be deemed a material breach of this Agreement and shall be null and void. Subject to the provisions of this Section 12.3, this Agreement shall be binding upon and inure to the benefit of the Parties, their Affiliates and their permitted successors and assigns.</w:t>
      </w:r>
    </w:p>
    <w:p>
      <w:pPr>
        <w:spacing w:after="0" w:line="191" w:lineRule="exact"/>
        <w:rPr>
          <w:rFonts w:ascii="Arial" w:cs="Arial" w:eastAsia="Arial" w:hAnsi="Arial"/>
          <w:sz w:val="20"/>
          <w:szCs w:val="20"/>
          <w:color w:val="auto"/>
        </w:rPr>
      </w:pPr>
    </w:p>
    <w:p>
      <w:pPr>
        <w:jc w:val="both"/>
        <w:ind w:left="1500" w:hanging="750"/>
        <w:spacing w:after="0" w:line="244" w:lineRule="auto"/>
        <w:tabs>
          <w:tab w:leader="none" w:pos="150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In connection with any bankruptcy petition filed by or against a Party or any Affiliate of such Party, such Party will make an election under Section 365(a) of the Bankruptcy Code to assume or reject this Agreement within five (5) business days following the filing of bankruptcy petition by or against such Party or Affiliate. The Parties acknowledge and agree that any assignment or assumption of this Agreement under Section 365 of the Bankruptcy Code constitutes a Change of Control Transaction.</w:t>
      </w:r>
    </w:p>
    <w:p>
      <w:pPr>
        <w:spacing w:after="0" w:line="194" w:lineRule="exact"/>
        <w:rPr>
          <w:sz w:val="20"/>
          <w:szCs w:val="20"/>
          <w:color w:val="auto"/>
        </w:rPr>
      </w:pPr>
    </w:p>
    <w:p>
      <w:pPr>
        <w:jc w:val="both"/>
        <w:ind w:left="760" w:right="20" w:hanging="741"/>
        <w:spacing w:after="0" w:line="260" w:lineRule="auto"/>
        <w:tabs>
          <w:tab w:leader="none" w:pos="74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20"/>
          <w:szCs w:val="20"/>
          <w:u w:val="single" w:color="auto"/>
          <w:color w:val="auto"/>
        </w:rPr>
        <w:t>Financial Information</w:t>
      </w:r>
      <w:r>
        <w:rPr>
          <w:rFonts w:ascii="Arial" w:cs="Arial" w:eastAsia="Arial" w:hAnsi="Arial"/>
          <w:sz w:val="20"/>
          <w:szCs w:val="20"/>
          <w:color w:val="auto"/>
        </w:rPr>
        <w:t>. Airspan will provide Gogo quarterly unaudited financial statements and annual audited financial statements</w:t>
      </w:r>
      <w:r>
        <w:rPr>
          <w:rFonts w:ascii="Arial" w:cs="Arial" w:eastAsia="Arial" w:hAnsi="Arial"/>
          <w:sz w:val="20"/>
          <w:szCs w:val="20"/>
          <w:u w:val="single" w:color="auto"/>
          <w:color w:val="auto"/>
        </w:rPr>
        <w:t xml:space="preserve"> </w:t>
      </w:r>
      <w:r>
        <w:rPr>
          <w:rFonts w:ascii="Arial" w:cs="Arial" w:eastAsia="Arial" w:hAnsi="Arial"/>
          <w:sz w:val="20"/>
          <w:szCs w:val="20"/>
          <w:color w:val="auto"/>
        </w:rPr>
        <w:t>at the time as such reports are provided to its equity holders.</w:t>
      </w:r>
    </w:p>
    <w:p>
      <w:pPr>
        <w:spacing w:after="0" w:line="177" w:lineRule="exact"/>
        <w:rPr>
          <w:sz w:val="20"/>
          <w:szCs w:val="20"/>
          <w:color w:val="auto"/>
        </w:rPr>
      </w:pPr>
    </w:p>
    <w:p>
      <w:pPr>
        <w:jc w:val="both"/>
        <w:ind w:left="760" w:hanging="741"/>
        <w:spacing w:after="0" w:line="274" w:lineRule="auto"/>
        <w:tabs>
          <w:tab w:leader="none" w:pos="74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u w:val="single" w:color="auto"/>
          <w:color w:val="auto"/>
        </w:rPr>
        <w:t>Relationship</w:t>
      </w:r>
      <w:r>
        <w:rPr>
          <w:rFonts w:ascii="Arial" w:cs="Arial" w:eastAsia="Arial" w:hAnsi="Arial"/>
          <w:sz w:val="18"/>
          <w:szCs w:val="18"/>
          <w:color w:val="auto"/>
        </w:rPr>
        <w:t>. The relationship between the Parties to this Agreement is and shall be that of independent contractors. It is expressly</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agreed that nothing in this Agreement shall be construed to create or imply a partnership, joint venture, agency relationship or contract of employment. Neither Party shall have the authority to make any statement, representation nor commitment of any kind, or to take any action that shall be binding on the other Party except as authorized in writing by the Party to be bound. Personnel supplied by Airspan hereunder are not Gogo’s employees or agents, and Airspan assumes full responsibility for: (a) their acts, (b) compensation of Airspan personnel, and (c) the payment of worker’s compensation, disability benefits, or unemployment insurance or for withholding or paying employment related taxes for any such Airspan personnel.</w:t>
      </w:r>
    </w:p>
    <w:p>
      <w:pPr>
        <w:spacing w:after="0" w:line="60" w:lineRule="exact"/>
        <w:rPr>
          <w:sz w:val="20"/>
          <w:szCs w:val="20"/>
          <w:color w:val="auto"/>
        </w:rPr>
      </w:pPr>
    </w:p>
    <w:p>
      <w:pPr>
        <w:jc w:val="both"/>
        <w:ind w:left="760" w:hanging="741"/>
        <w:spacing w:after="0" w:line="242" w:lineRule="auto"/>
        <w:tabs>
          <w:tab w:leader="none" w:pos="74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20"/>
          <w:szCs w:val="20"/>
          <w:u w:val="single" w:color="auto"/>
          <w:color w:val="auto"/>
        </w:rPr>
        <w:t>Entire Agreement; Binding Effect; Amendment; Order of Precedence</w:t>
      </w:r>
      <w:r>
        <w:rPr>
          <w:rFonts w:ascii="Arial" w:cs="Arial" w:eastAsia="Arial" w:hAnsi="Arial"/>
          <w:sz w:val="20"/>
          <w:szCs w:val="20"/>
          <w:color w:val="auto"/>
        </w:rPr>
        <w:t>. This Agreement (together with the Exhibits, and SOW(s)</w:t>
      </w:r>
      <w:r>
        <w:rPr>
          <w:rFonts w:ascii="Arial" w:cs="Arial" w:eastAsia="Arial" w:hAnsi="Arial"/>
          <w:sz w:val="20"/>
          <w:szCs w:val="20"/>
          <w:u w:val="single" w:color="auto"/>
          <w:color w:val="auto"/>
        </w:rPr>
        <w:t xml:space="preserve"> </w:t>
      </w:r>
      <w:r>
        <w:rPr>
          <w:rFonts w:ascii="Arial" w:cs="Arial" w:eastAsia="Arial" w:hAnsi="Arial"/>
          <w:sz w:val="20"/>
          <w:szCs w:val="20"/>
          <w:color w:val="auto"/>
        </w:rPr>
        <w:t>hereto) constitutes the entire agreement between Airspan and Gogo regarding the subject matter hereof. All prior or contemporaneous agreements, proposals, understandings and communications between Airspan and Gogo regarding the subject matter hereof, whether oral or written, are superseded by and merged into this Agreement. Neither this Agreement nor any SOW hereto may be modified or amended except by a written instrument executed by both Airspan and Gogo. In the event of any inconsistency between the terms of this Agreement and any SOW issued under this Agreement, the terms and conditions of the SOW shall govern and control. Additional or different terms in any written communication from Airspan (such as an invoice or purchase order) are void.</w:t>
      </w:r>
    </w:p>
    <w:p>
      <w:pPr>
        <w:spacing w:after="0" w:line="89" w:lineRule="exact"/>
        <w:rPr>
          <w:sz w:val="20"/>
          <w:szCs w:val="20"/>
          <w:color w:val="auto"/>
        </w:rPr>
      </w:pPr>
    </w:p>
    <w:p>
      <w:pPr>
        <w:jc w:val="both"/>
        <w:ind w:left="760" w:hanging="741"/>
        <w:spacing w:after="0" w:line="316" w:lineRule="auto"/>
        <w:tabs>
          <w:tab w:leader="none" w:pos="74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in this Agreement shall for any reason be held to be invalid, illegal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unenforceable in any respect, the remaining provisions of this Agreement shall be enforceable to the maximum extent possible.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50" w:name="page151"/>
    <w:bookmarkEnd w:id="150"/>
    <w:p>
      <w:pPr>
        <w:ind w:left="1030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ind w:left="760" w:hanging="741"/>
        <w:spacing w:after="0" w:line="259" w:lineRule="auto"/>
        <w:tabs>
          <w:tab w:leader="none" w:pos="74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Each Party must provide notices or other communications to the other Party in writing by: (i) certified mail, hand delivery</w:t>
      </w:r>
      <w:r>
        <w:rPr>
          <w:rFonts w:ascii="Arial" w:cs="Arial" w:eastAsia="Arial" w:hAnsi="Arial"/>
          <w:sz w:val="19"/>
          <w:szCs w:val="19"/>
          <w:u w:val="single" w:color="auto"/>
          <w:color w:val="auto"/>
        </w:rPr>
        <w:t xml:space="preserve"> </w:t>
      </w:r>
      <w:r>
        <w:rPr>
          <w:rFonts w:ascii="Arial" w:cs="Arial" w:eastAsia="Arial" w:hAnsi="Arial"/>
          <w:sz w:val="19"/>
          <w:szCs w:val="19"/>
          <w:color w:val="auto"/>
        </w:rPr>
        <w:t>or delivery by a courier service to the address below set forth (or such other address as may have been furnished by or on behalf of such Party by like notice), (ii) facsimile with receipt of a “transmission ok” acknowledgement, or (iii) e-mail. Communications sent by facsimile or e-mail shall be deemed effectively served upon dispatch, if receipt is confirmed electronically. Communications sent by certified mail or courier service shall be deemed effectively served three (3) calendar days after deposit. All other general correspondence may be communicated by electronic means (e-mail).</w:t>
      </w:r>
    </w:p>
    <w:p>
      <w:pPr>
        <w:spacing w:after="0" w:line="60"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20"/>
                <w:szCs w:val="20"/>
                <w:color w:val="auto"/>
                <w:w w:val="85"/>
              </w:rPr>
              <w:t>Gogo</w:t>
            </w:r>
          </w:p>
        </w:tc>
        <w:tc>
          <w:tcPr>
            <w:tcW w:w="3120" w:type="dxa"/>
            <w:vAlign w:val="bottom"/>
          </w:tcPr>
          <w:p>
            <w:pPr>
              <w:spacing w:after="0"/>
              <w:rPr>
                <w:sz w:val="19"/>
                <w:szCs w:val="19"/>
                <w:color w:val="auto"/>
              </w:rPr>
            </w:pPr>
          </w:p>
        </w:tc>
        <w:tc>
          <w:tcPr>
            <w:tcW w:w="3320" w:type="dxa"/>
            <w:vAlign w:val="bottom"/>
            <w:gridSpan w:val="3"/>
          </w:tcPr>
          <w:p>
            <w:pPr>
              <w:ind w:left="900"/>
              <w:spacing w:after="0"/>
              <w:rPr>
                <w:sz w:val="20"/>
                <w:szCs w:val="20"/>
                <w:color w:val="auto"/>
              </w:rPr>
            </w:pPr>
            <w:r>
              <w:rPr>
                <w:rFonts w:ascii="Arial" w:cs="Arial" w:eastAsia="Arial" w:hAnsi="Arial"/>
                <w:sz w:val="20"/>
                <w:szCs w:val="20"/>
                <w:color w:val="auto"/>
              </w:rPr>
              <w:t>Airspan</w:t>
            </w:r>
          </w:p>
        </w:tc>
      </w:tr>
      <w:tr>
        <w:trPr>
          <w:trHeight w:val="20"/>
        </w:trPr>
        <w:tc>
          <w:tcPr>
            <w:tcW w:w="4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41"/>
        </w:trPr>
        <w:tc>
          <w:tcPr>
            <w:tcW w:w="3560" w:type="dxa"/>
            <w:vAlign w:val="bottom"/>
            <w:gridSpan w:val="2"/>
          </w:tcPr>
          <w:p>
            <w:pPr>
              <w:spacing w:after="0"/>
              <w:rPr>
                <w:sz w:val="20"/>
                <w:szCs w:val="20"/>
                <w:color w:val="auto"/>
              </w:rPr>
            </w:pPr>
            <w:r>
              <w:rPr>
                <w:rFonts w:ascii="Arial" w:cs="Arial" w:eastAsia="Arial" w:hAnsi="Arial"/>
                <w:sz w:val="20"/>
                <w:szCs w:val="20"/>
                <w:color w:val="auto"/>
              </w:rPr>
              <w:t>Gogo Business Aviation LLC</w:t>
            </w:r>
          </w:p>
        </w:tc>
        <w:tc>
          <w:tcPr>
            <w:tcW w:w="3320" w:type="dxa"/>
            <w:vAlign w:val="bottom"/>
            <w:gridSpan w:val="3"/>
          </w:tcPr>
          <w:p>
            <w:pPr>
              <w:ind w:left="900"/>
              <w:spacing w:after="0"/>
              <w:rPr>
                <w:sz w:val="20"/>
                <w:szCs w:val="20"/>
                <w:color w:val="auto"/>
              </w:rPr>
            </w:pPr>
            <w:r>
              <w:rPr>
                <w:rFonts w:ascii="Arial" w:cs="Arial" w:eastAsia="Arial" w:hAnsi="Arial"/>
                <w:sz w:val="20"/>
                <w:szCs w:val="20"/>
                <w:color w:val="auto"/>
                <w:w w:val="94"/>
              </w:rPr>
              <w:t>AIRSPAN NETWORKS INC.</w:t>
            </w:r>
          </w:p>
        </w:tc>
      </w:tr>
      <w:tr>
        <w:trPr>
          <w:trHeight w:val="229"/>
        </w:trPr>
        <w:tc>
          <w:tcPr>
            <w:tcW w:w="3560" w:type="dxa"/>
            <w:vAlign w:val="bottom"/>
            <w:gridSpan w:val="2"/>
          </w:tcPr>
          <w:p>
            <w:pPr>
              <w:spacing w:after="0"/>
              <w:rPr>
                <w:sz w:val="20"/>
                <w:szCs w:val="20"/>
                <w:color w:val="auto"/>
              </w:rPr>
            </w:pPr>
            <w:r>
              <w:rPr>
                <w:rFonts w:ascii="Arial" w:cs="Arial" w:eastAsia="Arial" w:hAnsi="Arial"/>
                <w:sz w:val="20"/>
                <w:szCs w:val="20"/>
                <w:color w:val="auto"/>
              </w:rPr>
              <w:t>105 Edgeview Drive, Suite 300</w:t>
            </w:r>
          </w:p>
        </w:tc>
        <w:tc>
          <w:tcPr>
            <w:tcW w:w="3320" w:type="dxa"/>
            <w:vAlign w:val="bottom"/>
            <w:gridSpan w:val="3"/>
          </w:tcPr>
          <w:p>
            <w:pPr>
              <w:ind w:left="900"/>
              <w:spacing w:after="0"/>
              <w:rPr>
                <w:sz w:val="20"/>
                <w:szCs w:val="20"/>
                <w:color w:val="auto"/>
              </w:rPr>
            </w:pPr>
            <w:r>
              <w:rPr>
                <w:rFonts w:ascii="Arial" w:cs="Arial" w:eastAsia="Arial" w:hAnsi="Arial"/>
                <w:sz w:val="20"/>
                <w:szCs w:val="20"/>
                <w:color w:val="auto"/>
                <w:w w:val="93"/>
              </w:rPr>
              <w:t>777 Yamato Road, Suite 310</w:t>
            </w:r>
          </w:p>
        </w:tc>
      </w:tr>
      <w:tr>
        <w:trPr>
          <w:trHeight w:val="230"/>
        </w:trPr>
        <w:tc>
          <w:tcPr>
            <w:tcW w:w="3560" w:type="dxa"/>
            <w:vAlign w:val="bottom"/>
            <w:gridSpan w:val="2"/>
          </w:tcPr>
          <w:p>
            <w:pPr>
              <w:spacing w:after="0"/>
              <w:rPr>
                <w:sz w:val="20"/>
                <w:szCs w:val="20"/>
                <w:color w:val="auto"/>
              </w:rPr>
            </w:pPr>
            <w:r>
              <w:rPr>
                <w:rFonts w:ascii="Arial" w:cs="Arial" w:eastAsia="Arial" w:hAnsi="Arial"/>
                <w:sz w:val="20"/>
                <w:szCs w:val="20"/>
                <w:color w:val="auto"/>
              </w:rPr>
              <w:t>Broomfield, CO 80021</w:t>
            </w:r>
          </w:p>
        </w:tc>
        <w:tc>
          <w:tcPr>
            <w:tcW w:w="3320" w:type="dxa"/>
            <w:vAlign w:val="bottom"/>
            <w:gridSpan w:val="3"/>
          </w:tcPr>
          <w:p>
            <w:pPr>
              <w:ind w:left="900"/>
              <w:spacing w:after="0"/>
              <w:rPr>
                <w:sz w:val="20"/>
                <w:szCs w:val="20"/>
                <w:color w:val="auto"/>
              </w:rPr>
            </w:pPr>
            <w:r>
              <w:rPr>
                <w:rFonts w:ascii="Arial" w:cs="Arial" w:eastAsia="Arial" w:hAnsi="Arial"/>
                <w:sz w:val="20"/>
                <w:szCs w:val="20"/>
                <w:color w:val="auto"/>
              </w:rPr>
              <w:t>Boca Raton, FL 33431</w:t>
            </w:r>
          </w:p>
        </w:tc>
      </w:tr>
      <w:tr>
        <w:trPr>
          <w:trHeight w:val="229"/>
        </w:trPr>
        <w:tc>
          <w:tcPr>
            <w:tcW w:w="3560" w:type="dxa"/>
            <w:vAlign w:val="bottom"/>
            <w:gridSpan w:val="2"/>
          </w:tcPr>
          <w:p>
            <w:pPr>
              <w:spacing w:after="0"/>
              <w:rPr>
                <w:sz w:val="20"/>
                <w:szCs w:val="20"/>
                <w:color w:val="auto"/>
              </w:rPr>
            </w:pPr>
            <w:r>
              <w:rPr>
                <w:rFonts w:ascii="Arial" w:cs="Arial" w:eastAsia="Arial" w:hAnsi="Arial"/>
                <w:sz w:val="20"/>
                <w:szCs w:val="20"/>
                <w:color w:val="auto"/>
              </w:rPr>
              <w:t>Attn: General Counsel</w:t>
            </w:r>
          </w:p>
        </w:tc>
        <w:tc>
          <w:tcPr>
            <w:tcW w:w="3320" w:type="dxa"/>
            <w:vAlign w:val="bottom"/>
            <w:gridSpan w:val="3"/>
          </w:tcPr>
          <w:p>
            <w:pPr>
              <w:ind w:left="900"/>
              <w:spacing w:after="0"/>
              <w:rPr>
                <w:sz w:val="20"/>
                <w:szCs w:val="20"/>
                <w:color w:val="auto"/>
              </w:rPr>
            </w:pPr>
            <w:r>
              <w:rPr>
                <w:rFonts w:ascii="Arial" w:cs="Arial" w:eastAsia="Arial" w:hAnsi="Arial"/>
                <w:sz w:val="20"/>
                <w:szCs w:val="20"/>
                <w:color w:val="auto"/>
                <w:w w:val="98"/>
              </w:rPr>
              <w:t>Attn: Chief Financial Officer</w:t>
            </w:r>
          </w:p>
        </w:tc>
      </w:tr>
      <w:tr>
        <w:trPr>
          <w:trHeight w:val="250"/>
        </w:trPr>
        <w:tc>
          <w:tcPr>
            <w:tcW w:w="3560" w:type="dxa"/>
            <w:vAlign w:val="bottom"/>
            <w:gridSpan w:val="2"/>
          </w:tcPr>
          <w:p>
            <w:pPr>
              <w:spacing w:after="0"/>
              <w:rPr>
                <w:sz w:val="20"/>
                <w:szCs w:val="20"/>
                <w:color w:val="auto"/>
              </w:rPr>
            </w:pPr>
            <w:r>
              <w:rPr>
                <w:rFonts w:ascii="Arial" w:cs="Arial" w:eastAsia="Arial" w:hAnsi="Arial"/>
                <w:sz w:val="20"/>
                <w:szCs w:val="20"/>
                <w:color w:val="auto"/>
              </w:rPr>
              <w:t>eMail: legalnotices@gogoair.com</w:t>
            </w:r>
          </w:p>
        </w:tc>
        <w:tc>
          <w:tcPr>
            <w:tcW w:w="3320" w:type="dxa"/>
            <w:vAlign w:val="bottom"/>
            <w:gridSpan w:val="3"/>
          </w:tcPr>
          <w:p>
            <w:pPr>
              <w:ind w:left="900"/>
              <w:spacing w:after="0"/>
              <w:rPr>
                <w:sz w:val="20"/>
                <w:szCs w:val="20"/>
                <w:color w:val="auto"/>
              </w:rPr>
            </w:pPr>
            <w:r>
              <w:rPr>
                <w:rFonts w:ascii="Arial" w:cs="Arial" w:eastAsia="Arial" w:hAnsi="Arial"/>
                <w:sz w:val="20"/>
                <w:szCs w:val="20"/>
                <w:color w:val="auto"/>
                <w:w w:val="89"/>
              </w:rPr>
              <w:t>eMail: contracts@airspan.com</w:t>
            </w:r>
          </w:p>
        </w:tc>
      </w:tr>
    </w:tbl>
    <w:p>
      <w:pPr>
        <w:spacing w:after="0" w:line="101"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20"/>
          <w:szCs w:val="20"/>
          <w:u w:val="single" w:color="auto"/>
          <w:color w:val="auto"/>
        </w:rPr>
        <w:t>Waiver</w:t>
      </w:r>
      <w:r>
        <w:rPr>
          <w:rFonts w:ascii="Arial" w:cs="Arial" w:eastAsia="Arial" w:hAnsi="Arial"/>
          <w:sz w:val="20"/>
          <w:szCs w:val="20"/>
          <w:color w:val="auto"/>
        </w:rPr>
        <w:t>. No waiver by either Party of a breach of any term, provision or condition of this Agreement by the other Party shall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constitute a waiver of any succeeding breach of the same or any other provision hereof. No such waiver shall be valid unless executed in writing by the Party making the waiver.</w:t>
      </w:r>
    </w:p>
    <w:p>
      <w:pPr>
        <w:spacing w:after="0" w:line="78" w:lineRule="exact"/>
        <w:rPr>
          <w:sz w:val="20"/>
          <w:szCs w:val="20"/>
          <w:color w:val="auto"/>
        </w:rPr>
      </w:pPr>
    </w:p>
    <w:p>
      <w:pPr>
        <w:jc w:val="both"/>
        <w:ind w:left="760" w:right="20" w:hanging="741"/>
        <w:spacing w:after="0" w:line="260" w:lineRule="auto"/>
        <w:tabs>
          <w:tab w:leader="none" w:pos="740" w:val="left"/>
        </w:tabs>
        <w:rPr>
          <w:sz w:val="20"/>
          <w:szCs w:val="20"/>
          <w:color w:val="auto"/>
        </w:rPr>
      </w:pPr>
      <w:r>
        <w:rPr>
          <w:rFonts w:ascii="Arial" w:cs="Arial" w:eastAsia="Arial" w:hAnsi="Arial"/>
          <w:sz w:val="20"/>
          <w:szCs w:val="20"/>
          <w:color w:val="auto"/>
        </w:rPr>
        <w:t>12.10</w:t>
      </w:r>
      <w:r>
        <w:rPr>
          <w:sz w:val="20"/>
          <w:szCs w:val="20"/>
          <w:color w:val="auto"/>
        </w:rPr>
        <w:tab/>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shall be deemed an original, and all of which</w:t>
      </w:r>
      <w:r>
        <w:rPr>
          <w:rFonts w:ascii="Arial" w:cs="Arial" w:eastAsia="Arial" w:hAnsi="Arial"/>
          <w:sz w:val="20"/>
          <w:szCs w:val="20"/>
          <w:u w:val="single" w:color="auto"/>
          <w:color w:val="auto"/>
        </w:rPr>
        <w:t xml:space="preserve"> </w:t>
      </w:r>
      <w:r>
        <w:rPr>
          <w:rFonts w:ascii="Arial" w:cs="Arial" w:eastAsia="Arial" w:hAnsi="Arial"/>
          <w:sz w:val="20"/>
          <w:szCs w:val="20"/>
          <w:color w:val="auto"/>
        </w:rPr>
        <w:t>together shall constitute one instrument.</w:t>
      </w:r>
    </w:p>
    <w:p>
      <w:pPr>
        <w:spacing w:after="0" w:line="69"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12.11</w:t>
      </w:r>
      <w:r>
        <w:rPr>
          <w:sz w:val="20"/>
          <w:szCs w:val="20"/>
          <w:color w:val="auto"/>
        </w:rPr>
        <w:tab/>
      </w:r>
      <w:r>
        <w:rPr>
          <w:rFonts w:ascii="Arial" w:cs="Arial" w:eastAsia="Arial" w:hAnsi="Arial"/>
          <w:sz w:val="20"/>
          <w:szCs w:val="20"/>
          <w:u w:val="single" w:color="auto"/>
          <w:color w:val="auto"/>
        </w:rPr>
        <w:t>Headings</w:t>
      </w:r>
      <w:r>
        <w:rPr>
          <w:rFonts w:ascii="Arial" w:cs="Arial" w:eastAsia="Arial" w:hAnsi="Arial"/>
          <w:sz w:val="20"/>
          <w:szCs w:val="20"/>
          <w:color w:val="auto"/>
        </w:rPr>
        <w:t>. The section and subsection headings used in this Agreement are intended for reference purposes only and shall not affect</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interpretation or construction of any provision of this Agreement.</w:t>
      </w:r>
    </w:p>
    <w:p>
      <w:pPr>
        <w:spacing w:after="0" w:line="69"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12.12</w:t>
      </w:r>
      <w:r>
        <w:rPr>
          <w:sz w:val="20"/>
          <w:szCs w:val="20"/>
          <w:color w:val="auto"/>
        </w:rPr>
        <w:tab/>
      </w:r>
      <w:r>
        <w:rPr>
          <w:rFonts w:ascii="Arial" w:cs="Arial" w:eastAsia="Arial" w:hAnsi="Arial"/>
          <w:sz w:val="20"/>
          <w:szCs w:val="20"/>
          <w:u w:val="single" w:color="auto"/>
          <w:color w:val="auto"/>
        </w:rPr>
        <w:t>Construction</w:t>
      </w:r>
      <w:r>
        <w:rPr>
          <w:rFonts w:ascii="Arial" w:cs="Arial" w:eastAsia="Arial" w:hAnsi="Arial"/>
          <w:sz w:val="20"/>
          <w:szCs w:val="20"/>
          <w:color w:val="auto"/>
        </w:rPr>
        <w:t>. Each Party acknowledges that this Agreement was drafted jointly by the Parties, and it shall be construed neither</w:t>
      </w:r>
      <w:r>
        <w:rPr>
          <w:rFonts w:ascii="Arial" w:cs="Arial" w:eastAsia="Arial" w:hAnsi="Arial"/>
          <w:sz w:val="20"/>
          <w:szCs w:val="20"/>
          <w:u w:val="single" w:color="auto"/>
          <w:color w:val="auto"/>
        </w:rPr>
        <w:t xml:space="preserve"> </w:t>
      </w:r>
      <w:r>
        <w:rPr>
          <w:rFonts w:ascii="Arial" w:cs="Arial" w:eastAsia="Arial" w:hAnsi="Arial"/>
          <w:sz w:val="20"/>
          <w:szCs w:val="20"/>
          <w:color w:val="auto"/>
        </w:rPr>
        <w:t>against nor in favor of either Party. The term “including” or “include”, as used in this Agreement, shall mean “including, but not limited to”.</w:t>
      </w:r>
    </w:p>
    <w:p>
      <w:pPr>
        <w:spacing w:after="0" w:line="78"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12.13</w:t>
      </w:r>
      <w:r>
        <w:rPr>
          <w:sz w:val="20"/>
          <w:szCs w:val="20"/>
          <w:color w:val="auto"/>
        </w:rPr>
        <w:tab/>
      </w:r>
      <w:r>
        <w:rPr>
          <w:rFonts w:ascii="Arial" w:cs="Arial" w:eastAsia="Arial" w:hAnsi="Arial"/>
          <w:sz w:val="20"/>
          <w:szCs w:val="20"/>
          <w:u w:val="single" w:color="auto"/>
          <w:color w:val="auto"/>
        </w:rPr>
        <w:t>Third Party Beneficiaries</w:t>
      </w:r>
      <w:r>
        <w:rPr>
          <w:rFonts w:ascii="Arial" w:cs="Arial" w:eastAsia="Arial" w:hAnsi="Arial"/>
          <w:sz w:val="20"/>
          <w:szCs w:val="20"/>
          <w:color w:val="auto"/>
        </w:rPr>
        <w:t>. Nothing contained in this Agreement is intended to confer nor shall confer upon any person (other than</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Parties hereto and their permitted assigns) any rights, benefits or remedies of any kind or character whatsoever, and no such person shall be deemed a third party beneficiary under or by reason of this Agreement.</w:t>
      </w:r>
    </w:p>
    <w:p>
      <w:pPr>
        <w:spacing w:after="0" w:line="78"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12.14</w:t>
      </w:r>
      <w:r>
        <w:rPr>
          <w:sz w:val="20"/>
          <w:szCs w:val="20"/>
          <w:color w:val="auto"/>
        </w:rPr>
        <w:tab/>
      </w:r>
      <w:r>
        <w:rPr>
          <w:rFonts w:ascii="Arial" w:cs="Arial" w:eastAsia="Arial" w:hAnsi="Arial"/>
          <w:sz w:val="20"/>
          <w:szCs w:val="20"/>
          <w:u w:val="single" w:color="auto"/>
          <w:color w:val="auto"/>
        </w:rPr>
        <w:t xml:space="preserve">Accrued Rights. </w:t>
      </w:r>
      <w:r>
        <w:rPr>
          <w:rFonts w:ascii="Arial" w:cs="Arial" w:eastAsia="Arial" w:hAnsi="Arial"/>
          <w:sz w:val="20"/>
          <w:szCs w:val="20"/>
          <w:color w:val="auto"/>
        </w:rPr>
        <w:t>The termination or expiration of this Agreement shall not effect or prejudice either Party’s accrued rights</w:t>
      </w:r>
      <w:r>
        <w:rPr>
          <w:rFonts w:ascii="Arial" w:cs="Arial" w:eastAsia="Arial" w:hAnsi="Arial"/>
          <w:sz w:val="20"/>
          <w:szCs w:val="20"/>
          <w:u w:val="single" w:color="auto"/>
          <w:color w:val="auto"/>
        </w:rPr>
        <w:t xml:space="preserve"> </w:t>
      </w:r>
      <w:r>
        <w:rPr>
          <w:rFonts w:ascii="Arial" w:cs="Arial" w:eastAsia="Arial" w:hAnsi="Arial"/>
          <w:sz w:val="20"/>
          <w:szCs w:val="20"/>
          <w:color w:val="auto"/>
        </w:rPr>
        <w:t>hereunder.</w:t>
      </w:r>
    </w:p>
    <w:p>
      <w:pPr>
        <w:spacing w:after="0" w:line="69" w:lineRule="exact"/>
        <w:rPr>
          <w:sz w:val="20"/>
          <w:szCs w:val="20"/>
          <w:color w:val="auto"/>
        </w:rPr>
      </w:pPr>
    </w:p>
    <w:p>
      <w:pPr>
        <w:jc w:val="both"/>
        <w:ind w:left="760" w:hanging="741"/>
        <w:spacing w:after="0" w:line="242" w:lineRule="auto"/>
        <w:tabs>
          <w:tab w:leader="none" w:pos="740" w:val="left"/>
        </w:tabs>
        <w:rPr>
          <w:sz w:val="20"/>
          <w:szCs w:val="20"/>
          <w:color w:val="auto"/>
        </w:rPr>
      </w:pPr>
      <w:r>
        <w:rPr>
          <w:rFonts w:ascii="Arial" w:cs="Arial" w:eastAsia="Arial" w:hAnsi="Arial"/>
          <w:sz w:val="20"/>
          <w:szCs w:val="20"/>
          <w:color w:val="auto"/>
        </w:rPr>
        <w:t>12.15</w:t>
      </w:r>
      <w:r>
        <w:rPr>
          <w:sz w:val="20"/>
          <w:szCs w:val="20"/>
          <w:color w:val="auto"/>
        </w:rPr>
        <w:tab/>
      </w:r>
      <w:r>
        <w:rPr>
          <w:rFonts w:ascii="Arial" w:cs="Arial" w:eastAsia="Arial" w:hAnsi="Arial"/>
          <w:sz w:val="20"/>
          <w:szCs w:val="20"/>
          <w:u w:val="single" w:color="auto"/>
          <w:color w:val="auto"/>
        </w:rPr>
        <w:t>Governing Law, Venue and Language</w:t>
      </w:r>
      <w:r>
        <w:rPr>
          <w:rFonts w:ascii="Arial" w:cs="Arial" w:eastAsia="Arial" w:hAnsi="Arial"/>
          <w:sz w:val="20"/>
          <w:szCs w:val="20"/>
          <w:color w:val="auto"/>
        </w:rPr>
        <w:t>. THIS AGREEMENT SHALL BE GOVERNED BY AND CONSTRUED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ACCORDANCE WITH THE LAWS OF THE STATE OF NEW YORK, WITHOUT REGARD TO PRINCIPLES OF CONFLICTS OF LAW. THE UNITED NATIONS CONVENTION ON CONTRACTS FOR THE INTERNATIONAL SALE OF GOODS SHALL NOT APPLY TO THIS AGREEMENT. VENUE FOR ANY LEGAL ACTION ARISING OUT OF OR RELATING TO THIS AGREEMENT SHALL BE EXCLUSIVELY THE STATE OR FEDERAL COURTS LOCATED IN THE BOROUGH OF MANHATTAN, NEW YORK CITY, NEW YORK. THE PARTIES HEREBY CONSENT TO THE JURISDICTION OF SUCH COURTS. NOTHING IN THIS AGREEMENT AFFECTS ANY STATUTORY RIGHTS OF CONSUMERS THAT CANNOT BE WAIVED OR LIMITED BY CONTRACT. THE PARTIES WAIVE JURY TRIAL WITH RESPECT TO ANY DISPUTE UNDER THIS AGREEMENT.</w:t>
      </w:r>
    </w:p>
    <w:p>
      <w:pPr>
        <w:spacing w:after="0" w:line="86" w:lineRule="exact"/>
        <w:rPr>
          <w:sz w:val="20"/>
          <w:szCs w:val="20"/>
          <w:color w:val="auto"/>
        </w:rPr>
      </w:pPr>
    </w:p>
    <w:p>
      <w:pPr>
        <w:jc w:val="both"/>
        <w:ind w:left="760" w:hanging="741"/>
        <w:spacing w:after="0" w:line="243" w:lineRule="auto"/>
        <w:tabs>
          <w:tab w:leader="none" w:pos="740" w:val="left"/>
        </w:tabs>
        <w:rPr>
          <w:sz w:val="20"/>
          <w:szCs w:val="20"/>
          <w:color w:val="auto"/>
        </w:rPr>
      </w:pPr>
      <w:r>
        <w:rPr>
          <w:rFonts w:ascii="Arial" w:cs="Arial" w:eastAsia="Arial" w:hAnsi="Arial"/>
          <w:sz w:val="20"/>
          <w:szCs w:val="20"/>
          <w:color w:val="auto"/>
        </w:rPr>
        <w:t>12.16</w:t>
      </w:r>
      <w:r>
        <w:rPr>
          <w:sz w:val="20"/>
          <w:szCs w:val="20"/>
          <w:color w:val="auto"/>
        </w:rPr>
        <w:tab/>
      </w:r>
      <w:r>
        <w:rPr>
          <w:rFonts w:ascii="Arial" w:cs="Arial" w:eastAsia="Arial" w:hAnsi="Arial"/>
          <w:sz w:val="20"/>
          <w:szCs w:val="20"/>
          <w:u w:val="single" w:color="auto"/>
          <w:color w:val="auto"/>
        </w:rPr>
        <w:t>Solicitation of Employees</w:t>
      </w:r>
      <w:r>
        <w:rPr>
          <w:rFonts w:ascii="Arial" w:cs="Arial" w:eastAsia="Arial" w:hAnsi="Arial"/>
          <w:sz w:val="20"/>
          <w:szCs w:val="20"/>
          <w:color w:val="auto"/>
        </w:rPr>
        <w:t>. Either Party may hire any personnel of the other Party who has responded to publicity for a position that</w:t>
      </w:r>
      <w:r>
        <w:rPr>
          <w:rFonts w:ascii="Arial" w:cs="Arial" w:eastAsia="Arial" w:hAnsi="Arial"/>
          <w:sz w:val="20"/>
          <w:szCs w:val="20"/>
          <w:u w:val="single" w:color="auto"/>
          <w:color w:val="auto"/>
        </w:rPr>
        <w:t xml:space="preserve"> </w:t>
      </w:r>
      <w:r>
        <w:rPr>
          <w:rFonts w:ascii="Arial" w:cs="Arial" w:eastAsia="Arial" w:hAnsi="Arial"/>
          <w:sz w:val="20"/>
          <w:szCs w:val="20"/>
          <w:color w:val="auto"/>
        </w:rPr>
        <w:t>has been publicized through local or national newspapers, Internet postings, radio or television advertising, job fairs, notices to colleges or technical schools, or placement professionals. Except as provided above, during the term of this Agreement or any SOW and for a period of 6 months thereafter, neither Party shall solicit any of the other Party’s employees or contractors who has been employed or engaged by the other Party over the preceding 12 month period and specifically worked on or in connection with this Agreement or any SOW.</w:t>
      </w:r>
    </w:p>
    <w:p>
      <w:pPr>
        <w:spacing w:after="0" w:line="88"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12.17</w:t>
      </w:r>
      <w:r>
        <w:rPr>
          <w:sz w:val="20"/>
          <w:szCs w:val="20"/>
          <w:color w:val="auto"/>
        </w:rPr>
        <w:tab/>
      </w:r>
      <w:r>
        <w:rPr>
          <w:rFonts w:ascii="Arial" w:cs="Arial" w:eastAsia="Arial" w:hAnsi="Arial"/>
          <w:sz w:val="20"/>
          <w:szCs w:val="20"/>
          <w:u w:val="single" w:color="auto"/>
          <w:color w:val="auto"/>
        </w:rPr>
        <w:t>Dispute Resolution</w:t>
      </w:r>
      <w:r>
        <w:rPr>
          <w:rFonts w:ascii="Arial" w:cs="Arial" w:eastAsia="Arial" w:hAnsi="Arial"/>
          <w:sz w:val="20"/>
          <w:szCs w:val="20"/>
          <w:color w:val="auto"/>
        </w:rPr>
        <w:t>. Prior to initiating formal dispute resolution procedures with respect to any dispute, the Parties shall attempt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resolve such dispute informally, as follows: (a) the Parties’ respective project managers for the applicable SOW shall attempt in good faith to resolve all disputes. If the project managers are unable to resolve 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51" w:name="page152"/>
    <w:bookmarkEnd w:id="151"/>
    <w:p>
      <w:pPr>
        <w:ind w:left="1030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ind w:left="760"/>
        <w:spacing w:after="0" w:line="272" w:lineRule="auto"/>
        <w:rPr>
          <w:sz w:val="20"/>
          <w:szCs w:val="20"/>
          <w:color w:val="auto"/>
        </w:rPr>
      </w:pPr>
      <w:r>
        <w:rPr>
          <w:rFonts w:ascii="Arial" w:cs="Arial" w:eastAsia="Arial" w:hAnsi="Arial"/>
          <w:sz w:val="18"/>
          <w:szCs w:val="18"/>
          <w:color w:val="auto"/>
        </w:rPr>
        <w:t>dispute in an amount of time that both Parties deem reasonable under the circumstances, then upon written notice to the other Party, either Party may refer the dispute to the applicable senior corporate executives for resolution pursuant to Section 12.17(b); (b) within five (5) business days after receipt of a written notice under Section 12.17(a), the designated senior corporate executives shall discuss the problem and negotiate in good faith in an effort to resolve the dispute without the necessity of any formal dispute resolution proceeding. All negotiations shall be strictly confidential and used solely for the purposes of settlement. Any materials prepared by one Party for these proceedings shall not be used as evidence by the other Party in any subsequent litigation; provided, however, the underlying facts supporting such materials may be subject to discovery. Notwithstanding the foregoing, each Party shall be entitled to injunctive relief from a court of competent jurisdiction without the need to post any bond or demonstrate actual damages in the event of a breach or anticipatory breach by the other Party that would cause irreparable injury and damage.</w:t>
      </w:r>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12.18</w:t>
      </w:r>
      <w:r>
        <w:rPr>
          <w:sz w:val="20"/>
          <w:szCs w:val="20"/>
          <w:color w:val="auto"/>
        </w:rPr>
        <w:tab/>
      </w:r>
      <w:r>
        <w:rPr>
          <w:rFonts w:ascii="Arial" w:cs="Arial" w:eastAsia="Arial" w:hAnsi="Arial"/>
          <w:sz w:val="18"/>
          <w:szCs w:val="18"/>
          <w:u w:val="single" w:color="auto"/>
          <w:color w:val="auto"/>
        </w:rPr>
        <w:t>Jury Trial Wavier</w:t>
      </w:r>
      <w:r>
        <w:rPr>
          <w:rFonts w:ascii="Arial" w:cs="Arial" w:eastAsia="Arial" w:hAnsi="Arial"/>
          <w:sz w:val="18"/>
          <w:szCs w:val="18"/>
          <w:color w:val="auto"/>
        </w:rPr>
        <w:t>. Each Party waives any right to a jury trial in any proceeding arising out of or related to this Agreement.</w:t>
      </w:r>
    </w:p>
    <w:p>
      <w:pPr>
        <w:spacing w:after="0" w:line="108" w:lineRule="exact"/>
        <w:rPr>
          <w:sz w:val="20"/>
          <w:szCs w:val="20"/>
          <w:color w:val="auto"/>
        </w:rPr>
      </w:pPr>
    </w:p>
    <w:p>
      <w:pPr>
        <w:jc w:val="both"/>
        <w:ind w:left="760" w:hanging="741"/>
        <w:spacing w:after="0" w:line="278" w:lineRule="auto"/>
        <w:tabs>
          <w:tab w:leader="none" w:pos="740" w:val="left"/>
        </w:tabs>
        <w:rPr>
          <w:sz w:val="20"/>
          <w:szCs w:val="20"/>
          <w:color w:val="auto"/>
        </w:rPr>
      </w:pPr>
      <w:r>
        <w:rPr>
          <w:rFonts w:ascii="Arial" w:cs="Arial" w:eastAsia="Arial" w:hAnsi="Arial"/>
          <w:sz w:val="20"/>
          <w:szCs w:val="20"/>
          <w:color w:val="auto"/>
        </w:rPr>
        <w:t>12.19</w:t>
      </w:r>
      <w:r>
        <w:rPr>
          <w:sz w:val="20"/>
          <w:szCs w:val="20"/>
          <w:color w:val="auto"/>
        </w:rPr>
        <w:tab/>
      </w:r>
      <w:r>
        <w:rPr>
          <w:rFonts w:ascii="Arial" w:cs="Arial" w:eastAsia="Arial" w:hAnsi="Arial"/>
          <w:sz w:val="18"/>
          <w:szCs w:val="18"/>
          <w:u w:val="single" w:color="auto"/>
          <w:color w:val="auto"/>
        </w:rPr>
        <w:t>Press Releases</w:t>
      </w:r>
      <w:r>
        <w:rPr>
          <w:rFonts w:ascii="Arial" w:cs="Arial" w:eastAsia="Arial" w:hAnsi="Arial"/>
          <w:sz w:val="18"/>
          <w:szCs w:val="18"/>
          <w:color w:val="auto"/>
        </w:rPr>
        <w:t>. Neither Party shall issue any press release concerning this Agreement without the other’s consent. Neither Party</w:t>
      </w:r>
      <w:r>
        <w:rPr>
          <w:rFonts w:ascii="Arial" w:cs="Arial" w:eastAsia="Arial" w:hAnsi="Arial"/>
          <w:sz w:val="18"/>
          <w:szCs w:val="18"/>
          <w:u w:val="single" w:color="auto"/>
          <w:color w:val="auto"/>
        </w:rPr>
        <w:t xml:space="preserve"> </w:t>
      </w:r>
      <w:r>
        <w:rPr>
          <w:rFonts w:ascii="Arial" w:cs="Arial" w:eastAsia="Arial" w:hAnsi="Arial"/>
          <w:sz w:val="18"/>
          <w:szCs w:val="18"/>
          <w:color w:val="auto"/>
        </w:rPr>
        <w:t>may use the name, trade name, trademark, logo, acronym or other designation of the other in connection with any press release, advertising, publicity materials or otherwise without the prior written consent of the other Party. The Parties will coordinate on the timing and content of any public and Gogo-facing press releases, announcements and communications regarding this Agreement or any SOW. Any and all public announcements must be pre-approved by Gogo as to timing and content.</w:t>
      </w:r>
    </w:p>
    <w:p>
      <w:pPr>
        <w:spacing w:after="0" w:line="57" w:lineRule="exact"/>
        <w:rPr>
          <w:sz w:val="20"/>
          <w:szCs w:val="20"/>
          <w:color w:val="auto"/>
        </w:rPr>
      </w:pPr>
    </w:p>
    <w:p>
      <w:pPr>
        <w:jc w:val="both"/>
        <w:ind w:left="760" w:right="20" w:hanging="741"/>
        <w:spacing w:after="0" w:line="260" w:lineRule="auto"/>
        <w:tabs>
          <w:tab w:leader="none" w:pos="740" w:val="left"/>
        </w:tabs>
        <w:rPr>
          <w:sz w:val="20"/>
          <w:szCs w:val="20"/>
          <w:color w:val="auto"/>
        </w:rPr>
      </w:pPr>
      <w:r>
        <w:rPr>
          <w:rFonts w:ascii="Arial" w:cs="Arial" w:eastAsia="Arial" w:hAnsi="Arial"/>
          <w:sz w:val="20"/>
          <w:szCs w:val="20"/>
          <w:color w:val="auto"/>
        </w:rPr>
        <w:t>12.20</w:t>
      </w:r>
      <w:r>
        <w:rPr>
          <w:sz w:val="20"/>
          <w:szCs w:val="20"/>
          <w:color w:val="auto"/>
        </w:rPr>
        <w:tab/>
      </w:r>
      <w:r>
        <w:rPr>
          <w:rFonts w:ascii="Arial" w:cs="Arial" w:eastAsia="Arial" w:hAnsi="Arial"/>
          <w:sz w:val="20"/>
          <w:szCs w:val="20"/>
          <w:u w:val="single" w:color="auto"/>
          <w:color w:val="auto"/>
        </w:rPr>
        <w:t>Export Laws</w:t>
      </w:r>
      <w:r>
        <w:rPr>
          <w:rFonts w:ascii="Arial" w:cs="Arial" w:eastAsia="Arial" w:hAnsi="Arial"/>
          <w:sz w:val="20"/>
          <w:szCs w:val="20"/>
          <w:color w:val="auto"/>
        </w:rPr>
        <w:t>. Each Party will comply with applicable import and export control laws and regulations, including those of the United</w:t>
      </w:r>
      <w:r>
        <w:rPr>
          <w:rFonts w:ascii="Arial" w:cs="Arial" w:eastAsia="Arial" w:hAnsi="Arial"/>
          <w:sz w:val="20"/>
          <w:szCs w:val="20"/>
          <w:u w:val="single" w:color="auto"/>
          <w:color w:val="auto"/>
        </w:rPr>
        <w:t xml:space="preserve"> </w:t>
      </w:r>
      <w:r>
        <w:rPr>
          <w:rFonts w:ascii="Arial" w:cs="Arial" w:eastAsia="Arial" w:hAnsi="Arial"/>
          <w:sz w:val="20"/>
          <w:szCs w:val="20"/>
          <w:color w:val="auto"/>
        </w:rPr>
        <w:t>States that prohibit or limit export for certain uses or to certain end users.</w:t>
      </w:r>
    </w:p>
    <w:p>
      <w:pPr>
        <w:spacing w:after="0" w:line="69"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12.21</w:t>
      </w:r>
      <w:r>
        <w:rPr>
          <w:sz w:val="20"/>
          <w:szCs w:val="20"/>
          <w:color w:val="auto"/>
        </w:rPr>
        <w:tab/>
      </w:r>
      <w:r>
        <w:rPr>
          <w:rFonts w:ascii="Arial" w:cs="Arial" w:eastAsia="Arial" w:hAnsi="Arial"/>
          <w:sz w:val="20"/>
          <w:szCs w:val="20"/>
          <w:u w:val="single" w:color="auto"/>
          <w:color w:val="auto"/>
        </w:rPr>
        <w:t>Third Party Code of Conduct</w:t>
      </w:r>
      <w:r>
        <w:rPr>
          <w:rFonts w:ascii="Arial" w:cs="Arial" w:eastAsia="Arial" w:hAnsi="Arial"/>
          <w:sz w:val="20"/>
          <w:szCs w:val="20"/>
          <w:color w:val="auto"/>
        </w:rPr>
        <w:t>. Airspan shall comply with Gogo’s Third Party Code of Conduct in the performance of the Services</w:t>
      </w:r>
      <w:r>
        <w:rPr>
          <w:rFonts w:ascii="Arial" w:cs="Arial" w:eastAsia="Arial" w:hAnsi="Arial"/>
          <w:sz w:val="20"/>
          <w:szCs w:val="20"/>
          <w:u w:val="single" w:color="auto"/>
          <w:color w:val="auto"/>
        </w:rPr>
        <w:t xml:space="preserve"> </w:t>
      </w:r>
      <w:r>
        <w:rPr>
          <w:rFonts w:ascii="Arial" w:cs="Arial" w:eastAsia="Arial" w:hAnsi="Arial"/>
          <w:sz w:val="20"/>
          <w:szCs w:val="20"/>
          <w:color w:val="auto"/>
        </w:rPr>
        <w:t>hereunder. The Third Party Code of Conduct is located at http://www.gogoair.com/policies.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52" w:name="page153"/>
    <w:bookmarkEnd w:id="152"/>
    <w:p>
      <w:pPr>
        <w:ind w:left="10300"/>
        <w:spacing w:after="0"/>
        <w:rPr>
          <w:sz w:val="20"/>
          <w:szCs w:val="20"/>
          <w:color w:val="auto"/>
        </w:rPr>
      </w:pPr>
      <w:r>
        <w:rPr>
          <w:rFonts w:ascii="Arial" w:cs="Arial" w:eastAsia="Arial" w:hAnsi="Arial"/>
          <w:sz w:val="12"/>
          <w:szCs w:val="12"/>
          <w:b w:val="1"/>
          <w:bCs w:val="1"/>
          <w:i w:val="1"/>
          <w:iCs w:val="1"/>
          <w:color w:val="auto"/>
        </w:rPr>
        <w:t>Execution Copy</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WITNESS WHEREOF the Parties hereto, by their duly authorized representatives, have executed this Agreement as of the date first set forth above.</w:t>
      </w:r>
    </w:p>
    <w:p>
      <w:pPr>
        <w:sectPr>
          <w:pgSz w:w="11900" w:h="16838" w:orient="portrait"/>
          <w:cols w:equalWidth="0" w:num="1">
            <w:col w:w="11240"/>
          </w:cols>
          <w:pgMar w:left="320" w:top="350" w:right="339" w:bottom="1440" w:gutter="0" w:footer="0" w:header="0"/>
        </w:sectPr>
      </w:pPr>
    </w:p>
    <w:p>
      <w:pPr>
        <w:spacing w:after="0" w:line="171" w:lineRule="exact"/>
        <w:rPr>
          <w:sz w:val="20"/>
          <w:szCs w:val="20"/>
          <w:color w:val="auto"/>
        </w:rPr>
      </w:pPr>
    </w:p>
    <w:p>
      <w:pPr>
        <w:ind w:left="860" w:right="1400"/>
        <w:spacing w:after="0" w:line="248" w:lineRule="auto"/>
        <w:rPr>
          <w:sz w:val="20"/>
          <w:szCs w:val="20"/>
          <w:color w:val="auto"/>
        </w:rPr>
      </w:pPr>
      <w:r>
        <w:rPr>
          <w:rFonts w:ascii="Arial" w:cs="Arial" w:eastAsia="Arial" w:hAnsi="Arial"/>
          <w:sz w:val="20"/>
          <w:szCs w:val="20"/>
          <w:b w:val="1"/>
          <w:bCs w:val="1"/>
          <w:color w:val="auto"/>
        </w:rPr>
        <w:t xml:space="preserve">GOGO BUSINESS AVIATION LLC </w:t>
      </w:r>
      <w:r>
        <w:rPr>
          <w:rFonts w:ascii="Arial" w:cs="Arial" w:eastAsia="Arial" w:hAnsi="Arial"/>
          <w:sz w:val="20"/>
          <w:szCs w:val="20"/>
          <w:color w:val="auto"/>
        </w:rPr>
        <w:t>By: /s/ Sergio Aguirre Name:Sergio Aguirre Title: President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AIRSPAN NETWORKS INC.</w:t>
      </w:r>
    </w:p>
    <w:p>
      <w:pPr>
        <w:spacing w:after="0" w:line="3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/s/ Eric Stonestrom</w:t>
      </w:r>
    </w:p>
    <w:p>
      <w:pPr>
        <w:spacing w:after="0"/>
        <w:rPr>
          <w:sz w:val="20"/>
          <w:szCs w:val="20"/>
          <w:color w:val="auto"/>
        </w:rPr>
      </w:pPr>
      <w:r>
        <w:rPr>
          <w:rFonts w:ascii="Arial" w:cs="Arial" w:eastAsia="Arial" w:hAnsi="Arial"/>
          <w:sz w:val="20"/>
          <w:szCs w:val="20"/>
          <w:color w:val="auto"/>
        </w:rPr>
        <w:t>Name:Eric Stonestrom</w:t>
      </w:r>
    </w:p>
    <w:p>
      <w:pPr>
        <w:spacing w:after="0"/>
        <w:rPr>
          <w:sz w:val="20"/>
          <w:szCs w:val="20"/>
          <w:color w:val="auto"/>
        </w:rPr>
      </w:pPr>
      <w:r>
        <w:rPr>
          <w:rFonts w:ascii="Arial" w:cs="Arial" w:eastAsia="Arial" w:hAnsi="Arial"/>
          <w:sz w:val="20"/>
          <w:szCs w:val="20"/>
          <w:color w:val="auto"/>
        </w:rPr>
        <w:t>Title: President &amp; CEO</w:t>
      </w:r>
    </w:p>
    <w:p>
      <w:pPr>
        <w:spacing w:after="0" w:line="210" w:lineRule="exact"/>
        <w:rPr>
          <w:sz w:val="20"/>
          <w:szCs w:val="20"/>
          <w:color w:val="auto"/>
        </w:rPr>
      </w:pPr>
    </w:p>
    <w:p>
      <w:pPr>
        <w:sectPr>
          <w:pgSz w:w="11900" w:h="16838" w:orient="portrait"/>
          <w:cols w:equalWidth="0" w:num="2">
            <w:col w:w="5360" w:space="720"/>
            <w:col w:w="5160"/>
          </w:cols>
          <w:pgMar w:left="320" w:top="350" w:right="33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350" w:right="339"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20"/>
          <w:szCs w:val="20"/>
          <w:b w:val="1"/>
          <w:bCs w:val="1"/>
          <w:color w:val="auto"/>
        </w:rPr>
        <w:t>Exhibit 10.1.6</w:t>
      </w:r>
    </w:p>
    <w:p>
      <w:pPr>
        <w:spacing w:after="0" w:line="229" w:lineRule="exact"/>
        <w:rPr>
          <w:sz w:val="20"/>
          <w:szCs w:val="20"/>
          <w:color w:val="auto"/>
        </w:rPr>
      </w:pPr>
    </w:p>
    <w:p>
      <w:pPr>
        <w:jc w:val="center"/>
        <w:spacing w:after="0" w:line="246" w:lineRule="auto"/>
        <w:rPr>
          <w:sz w:val="20"/>
          <w:szCs w:val="20"/>
          <w:color w:val="auto"/>
        </w:rPr>
      </w:pPr>
      <w:r>
        <w:rPr>
          <w:rFonts w:ascii="Arial" w:cs="Arial" w:eastAsia="Arial" w:hAnsi="Arial"/>
          <w:sz w:val="20"/>
          <w:szCs w:val="20"/>
          <w:b w:val="1"/>
          <w:bCs w:val="1"/>
          <w:color w:val="auto"/>
        </w:rPr>
        <w:t>THE USE OF THE FOLLOWING NOTATION IN THIS EXHIBIT INDICATES THAT THE CONFIDENTIAL PORTION HAS BEEN OMITTED PURSUANT TO ITEM 601(b)(10)(iv) WHEREBY CERTAIN IDENTIFIED INFORMATION HAS BEEN EXCLUDED BECAUSE IT IS BOTH NOT MATERIAL AND WOULD LIKELY CAUSE COMPETITIVE HARM TO THE REGISTRANT IF PUBLICLY DISCLOSED: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SUPPLY AND PRODUCT SUPPORT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BETWEEN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GOGO BUSINESS AVIATION LLC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AIRSPAN NETWORKS INC.</w:t>
      </w:r>
    </w:p>
    <w:p>
      <w:pPr>
        <w:spacing w:after="0" w:line="200" w:lineRule="exact"/>
        <w:rPr>
          <w:sz w:val="20"/>
          <w:szCs w:val="20"/>
          <w:color w:val="auto"/>
        </w:rPr>
      </w:pPr>
    </w:p>
    <w:p>
      <w:pPr>
        <w:spacing w:after="0" w:line="251" w:lineRule="exact"/>
        <w:rPr>
          <w:sz w:val="20"/>
          <w:szCs w:val="20"/>
          <w:color w:val="auto"/>
        </w:rPr>
      </w:pPr>
    </w:p>
    <w:p>
      <w:pPr>
        <w:ind w:left="380" w:right="440"/>
        <w:spacing w:after="0" w:line="260" w:lineRule="auto"/>
        <w:rPr>
          <w:sz w:val="20"/>
          <w:szCs w:val="20"/>
          <w:color w:val="auto"/>
        </w:rPr>
      </w:pPr>
      <w:r>
        <w:rPr>
          <w:rFonts w:ascii="Arial" w:cs="Arial" w:eastAsia="Arial" w:hAnsi="Arial"/>
          <w:sz w:val="20"/>
          <w:szCs w:val="20"/>
          <w:color w:val="auto"/>
        </w:rPr>
        <w:t>NOTICE: The contents of this document are proprietary to Gogo Business Aviation LLC. and Airspan Networks Inc. and constitute Confidential Information of each Party subject to Section 7 (Confidentiality)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108"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b w:val="1"/>
          <w:bCs w:val="1"/>
          <w:color w:val="auto"/>
        </w:rPr>
        <w:t>Exhibit A</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Product Requirements Document</w:t>
      </w:r>
    </w:p>
    <w:p>
      <w:pPr>
        <w:spacing w:after="0" w:line="108"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Exhibit B</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Products and Pricing Sheet</w:t>
      </w:r>
    </w:p>
    <w:p>
      <w:pPr>
        <w:spacing w:after="0" w:line="108"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b w:val="1"/>
          <w:bCs w:val="1"/>
          <w:color w:val="auto"/>
        </w:rPr>
        <w:t>Exhibit C</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Product Support Assurance Agreement</w:t>
      </w:r>
    </w:p>
    <w:p>
      <w:pPr>
        <w:spacing w:after="0" w:line="108"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b w:val="1"/>
          <w:bCs w:val="1"/>
          <w:color w:val="auto"/>
        </w:rPr>
        <w:t>Exhibit D</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Definitions</w:t>
      </w:r>
    </w:p>
    <w:p>
      <w:pPr>
        <w:spacing w:after="0" w:line="108" w:lineRule="exact"/>
        <w:rPr>
          <w:sz w:val="20"/>
          <w:szCs w:val="20"/>
          <w:color w:val="auto"/>
        </w:rPr>
      </w:pPr>
    </w:p>
    <w:p>
      <w:pPr>
        <w:spacing w:after="0"/>
        <w:tabs>
          <w:tab w:leader="none" w:pos="1440" w:val="left"/>
        </w:tabs>
        <w:rPr>
          <w:sz w:val="20"/>
          <w:szCs w:val="20"/>
          <w:color w:val="auto"/>
        </w:rPr>
      </w:pPr>
      <w:r>
        <w:rPr>
          <w:rFonts w:ascii="Arial" w:cs="Arial" w:eastAsia="Arial" w:hAnsi="Arial"/>
          <w:sz w:val="20"/>
          <w:szCs w:val="20"/>
          <w:b w:val="1"/>
          <w:bCs w:val="1"/>
          <w:color w:val="auto"/>
        </w:rPr>
        <w:t>Exhibit E</w:t>
      </w:r>
      <w:r>
        <w:rPr>
          <w:sz w:val="20"/>
          <w:szCs w:val="20"/>
          <w:color w:val="auto"/>
        </w:rPr>
        <w:tab/>
      </w:r>
      <w:r>
        <w:rPr>
          <w:rFonts w:ascii="Arial" w:cs="Arial" w:eastAsia="Arial" w:hAnsi="Arial"/>
          <w:sz w:val="18"/>
          <w:szCs w:val="18"/>
          <w:color w:val="auto"/>
        </w:rPr>
        <w:t>Support Services ASPLUS</w:t>
      </w:r>
    </w:p>
    <w:p>
      <w:pPr>
        <w:spacing w:after="0" w:line="108" w:lineRule="exact"/>
        <w:rPr>
          <w:sz w:val="20"/>
          <w:szCs w:val="20"/>
          <w:color w:val="auto"/>
        </w:rPr>
      </w:pPr>
    </w:p>
    <w:p>
      <w:pPr>
        <w:spacing w:after="0"/>
        <w:tabs>
          <w:tab w:leader="none" w:pos="1440" w:val="left"/>
        </w:tabs>
        <w:rPr>
          <w:sz w:val="20"/>
          <w:szCs w:val="20"/>
          <w:color w:val="auto"/>
        </w:rPr>
      </w:pPr>
      <w:r>
        <w:rPr>
          <w:rFonts w:ascii="Arial" w:cs="Arial" w:eastAsia="Arial" w:hAnsi="Arial"/>
          <w:sz w:val="20"/>
          <w:szCs w:val="20"/>
          <w:b w:val="1"/>
          <w:bCs w:val="1"/>
          <w:color w:val="auto"/>
        </w:rPr>
        <w:t>Exhibit F</w:t>
      </w:r>
      <w:r>
        <w:rPr>
          <w:sz w:val="20"/>
          <w:szCs w:val="20"/>
          <w:color w:val="auto"/>
        </w:rPr>
        <w:tab/>
      </w:r>
      <w:r>
        <w:rPr>
          <w:rFonts w:ascii="Arial" w:cs="Arial" w:eastAsia="Arial" w:hAnsi="Arial"/>
          <w:sz w:val="16"/>
          <w:szCs w:val="16"/>
          <w:color w:val="auto"/>
        </w:rPr>
        <w:t>Support Procedures</w:t>
      </w:r>
    </w:p>
    <w:p>
      <w:pPr>
        <w:spacing w:after="0" w:line="200" w:lineRule="exact"/>
        <w:rPr>
          <w:sz w:val="20"/>
          <w:szCs w:val="20"/>
          <w:color w:val="auto"/>
        </w:rPr>
      </w:pPr>
    </w:p>
    <w:p>
      <w:pPr>
        <w:spacing w:after="0" w:line="286" w:lineRule="exact"/>
        <w:rPr>
          <w:sz w:val="20"/>
          <w:szCs w:val="20"/>
          <w:color w:val="auto"/>
        </w:rPr>
      </w:pPr>
    </w:p>
    <w:p>
      <w:pPr>
        <w:spacing w:after="0"/>
        <w:tabs>
          <w:tab w:leader="none" w:pos="1050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1</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4" w:name="page155"/>
    <w:bookmarkEnd w:id="154"/>
    <w:p>
      <w:pPr>
        <w:jc w:val="both"/>
        <w:spacing w:after="0" w:line="262" w:lineRule="auto"/>
        <w:rPr>
          <w:sz w:val="20"/>
          <w:szCs w:val="20"/>
          <w:color w:val="auto"/>
        </w:rPr>
      </w:pPr>
      <w:r>
        <w:rPr>
          <w:rFonts w:ascii="Arial" w:cs="Arial" w:eastAsia="Arial" w:hAnsi="Arial"/>
          <w:sz w:val="19"/>
          <w:szCs w:val="19"/>
          <w:color w:val="auto"/>
        </w:rPr>
        <w:t>THIS SUPPLY AND PRODUCT SUPPORT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made and entered into as of </w:t>
      </w:r>
      <w:r>
        <w:rPr>
          <w:rFonts w:ascii="Arial" w:cs="Arial" w:eastAsia="Arial" w:hAnsi="Arial"/>
          <w:sz w:val="19"/>
          <w:szCs w:val="19"/>
          <w:b w:val="1"/>
          <w:bCs w:val="1"/>
          <w:color w:val="auto"/>
        </w:rPr>
        <w:t>November 25, 2019</w:t>
      </w:r>
      <w:r>
        <w:rPr>
          <w:rFonts w:ascii="Arial" w:cs="Arial" w:eastAsia="Arial" w:hAnsi="Arial"/>
          <w:sz w:val="19"/>
          <w:szCs w:val="19"/>
          <w:color w:val="auto"/>
        </w:rPr>
        <w:t xml:space="preserve"> (the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Gogo Business Aviation LLC</w:t>
      </w:r>
      <w:r>
        <w:rPr>
          <w:rFonts w:ascii="Arial" w:cs="Arial" w:eastAsia="Arial" w:hAnsi="Arial"/>
          <w:sz w:val="19"/>
          <w:szCs w:val="19"/>
          <w:color w:val="auto"/>
        </w:rPr>
        <w:t>, a Delaware limited liability company, having offices at 105 Edgeview Drive, Suite 300, Broomfield, CO 80021, and its Affiliates (collectively referred to as “</w:t>
      </w:r>
      <w:r>
        <w:rPr>
          <w:rFonts w:ascii="Arial" w:cs="Arial" w:eastAsia="Arial" w:hAnsi="Arial"/>
          <w:sz w:val="19"/>
          <w:szCs w:val="19"/>
          <w:b w:val="1"/>
          <w:bCs w:val="1"/>
          <w:color w:val="auto"/>
        </w:rPr>
        <w:t>Gogo</w:t>
      </w:r>
      <w:r>
        <w:rPr>
          <w:rFonts w:ascii="Arial" w:cs="Arial" w:eastAsia="Arial" w:hAnsi="Arial"/>
          <w:sz w:val="19"/>
          <w:szCs w:val="19"/>
          <w:color w:val="auto"/>
        </w:rPr>
        <w:t>”), and Airspan Networks Inc., a Delaware corporation having its principal place of business at 777 Yamato Road Suite 310 Boca Raton Florida 33431 (“</w:t>
      </w:r>
      <w:r>
        <w:rPr>
          <w:rFonts w:ascii="Arial" w:cs="Arial" w:eastAsia="Arial" w:hAnsi="Arial"/>
          <w:sz w:val="19"/>
          <w:szCs w:val="19"/>
          <w:b w:val="1"/>
          <w:bCs w:val="1"/>
          <w:color w:val="auto"/>
        </w:rPr>
        <w:t>Supplier</w:t>
      </w:r>
      <w:r>
        <w:rPr>
          <w:rFonts w:ascii="Arial" w:cs="Arial" w:eastAsia="Arial" w:hAnsi="Arial"/>
          <w:sz w:val="19"/>
          <w:szCs w:val="19"/>
          <w:color w:val="auto"/>
        </w:rPr>
        <w:t>” or “</w:t>
      </w:r>
      <w:r>
        <w:rPr>
          <w:rFonts w:ascii="Arial" w:cs="Arial" w:eastAsia="Arial" w:hAnsi="Arial"/>
          <w:sz w:val="19"/>
          <w:szCs w:val="19"/>
          <w:b w:val="1"/>
          <w:bCs w:val="1"/>
          <w:color w:val="auto"/>
        </w:rPr>
        <w:t>Airspan</w:t>
      </w:r>
      <w:r>
        <w:rPr>
          <w:rFonts w:ascii="Arial" w:cs="Arial" w:eastAsia="Arial" w:hAnsi="Arial"/>
          <w:sz w:val="19"/>
          <w:szCs w:val="19"/>
          <w:color w:val="auto"/>
        </w:rPr>
        <w:t>”), either or both of which may be hereinafter referred to as a “</w:t>
      </w:r>
      <w:r>
        <w:rPr>
          <w:rFonts w:ascii="Arial" w:cs="Arial" w:eastAsia="Arial" w:hAnsi="Arial"/>
          <w:sz w:val="19"/>
          <w:szCs w:val="19"/>
          <w:b w:val="1"/>
          <w:bCs w:val="1"/>
          <w:color w:val="auto"/>
        </w:rPr>
        <w:t>Party</w:t>
      </w:r>
      <w:r>
        <w:rPr>
          <w:rFonts w:ascii="Arial" w:cs="Arial" w:eastAsia="Arial" w:hAnsi="Arial"/>
          <w:sz w:val="19"/>
          <w:szCs w:val="19"/>
          <w:color w:val="auto"/>
        </w:rPr>
        <w:t>” or the “</w:t>
      </w:r>
      <w:r>
        <w:rPr>
          <w:rFonts w:ascii="Arial" w:cs="Arial" w:eastAsia="Arial" w:hAnsi="Arial"/>
          <w:sz w:val="19"/>
          <w:szCs w:val="19"/>
          <w:b w:val="1"/>
          <w:bCs w:val="1"/>
          <w:color w:val="auto"/>
        </w:rPr>
        <w:t>Parties</w:t>
      </w:r>
      <w:r>
        <w:rPr>
          <w:rFonts w:ascii="Arial" w:cs="Arial" w:eastAsia="Arial" w:hAnsi="Arial"/>
          <w:sz w:val="19"/>
          <w:szCs w:val="19"/>
          <w:color w:val="auto"/>
        </w:rPr>
        <w:t>”, respectively</w:t>
      </w:r>
      <w:r>
        <w:rPr>
          <w:rFonts w:ascii="Arial" w:cs="Arial" w:eastAsia="Arial" w:hAnsi="Arial"/>
          <w:sz w:val="19"/>
          <w:szCs w:val="19"/>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WITNESSETH</w:t>
      </w:r>
    </w:p>
    <w:p>
      <w:pPr>
        <w:spacing w:after="0" w:line="108" w:lineRule="exact"/>
        <w:rPr>
          <w:sz w:val="20"/>
          <w:szCs w:val="20"/>
          <w:color w:val="auto"/>
        </w:rPr>
      </w:pPr>
    </w:p>
    <w:p>
      <w:pPr>
        <w:ind w:left="760"/>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Gogo and its Affiliates desire from time to time to engage Supplier to purchase certain Products and perform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w:t>
      </w:r>
    </w:p>
    <w:p>
      <w:pPr>
        <w:spacing w:after="0" w:line="55" w:lineRule="exact"/>
        <w:rPr>
          <w:sz w:val="20"/>
          <w:szCs w:val="20"/>
          <w:color w:val="auto"/>
        </w:rPr>
      </w:pPr>
    </w:p>
    <w:p>
      <w:pPr>
        <w:ind w:left="760" w:right="320"/>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Supplier is in the business of manufacturing and selling the Products and/or Services itemized in Exhibits A and B</w:t>
      </w:r>
      <w:r>
        <w:rPr>
          <w:rFonts w:ascii="Arial" w:cs="Arial" w:eastAsia="Arial" w:hAnsi="Arial"/>
          <w:sz w:val="20"/>
          <w:szCs w:val="20"/>
          <w:b w:val="1"/>
          <w:bCs w:val="1"/>
          <w:color w:val="auto"/>
        </w:rPr>
        <w:t xml:space="preserve"> </w:t>
      </w:r>
      <w:r>
        <w:rPr>
          <w:rFonts w:ascii="Arial" w:cs="Arial" w:eastAsia="Arial" w:hAnsi="Arial"/>
          <w:sz w:val="20"/>
          <w:szCs w:val="20"/>
          <w:color w:val="auto"/>
        </w:rPr>
        <w:t>and desires to sell the Products to Gogo; and</w:t>
      </w:r>
    </w:p>
    <w:p>
      <w:pPr>
        <w:spacing w:after="0" w:line="5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Gogo and its Affiliates wishes to purchase certain Products and/or Services from Supplier;</w:t>
      </w:r>
    </w:p>
    <w:p>
      <w:pPr>
        <w:spacing w:after="0" w:line="108" w:lineRule="exact"/>
        <w:rPr>
          <w:sz w:val="20"/>
          <w:szCs w:val="20"/>
          <w:color w:val="auto"/>
        </w:rPr>
      </w:pPr>
    </w:p>
    <w:p>
      <w:pPr>
        <w:ind w:left="760"/>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and the mutual covenants and agreements contained herein, the receipt</w:t>
      </w:r>
      <w:r>
        <w:rPr>
          <w:rFonts w:ascii="Arial" w:cs="Arial" w:eastAsia="Arial" w:hAnsi="Arial"/>
          <w:sz w:val="20"/>
          <w:szCs w:val="20"/>
          <w:b w:val="1"/>
          <w:bCs w:val="1"/>
          <w:color w:val="auto"/>
        </w:rPr>
        <w:t xml:space="preserve"> </w:t>
      </w:r>
      <w:r>
        <w:rPr>
          <w:rFonts w:ascii="Arial" w:cs="Arial" w:eastAsia="Arial" w:hAnsi="Arial"/>
          <w:sz w:val="20"/>
          <w:szCs w:val="20"/>
          <w:color w:val="auto"/>
        </w:rPr>
        <w:t>and sufficiency of which are acknowledged, the parties hereto hereby agree as follows:</w:t>
      </w:r>
    </w:p>
    <w:p>
      <w:pPr>
        <w:spacing w:after="0" w:line="55" w:lineRule="exact"/>
        <w:rPr>
          <w:sz w:val="20"/>
          <w:szCs w:val="20"/>
          <w:color w:val="auto"/>
        </w:rPr>
      </w:pPr>
    </w:p>
    <w:p>
      <w:pPr>
        <w:ind w:left="760" w:hanging="752"/>
        <w:spacing w:after="0"/>
        <w:tabs>
          <w:tab w:leader="none" w:pos="760" w:val="left"/>
        </w:tabs>
        <w:numPr>
          <w:ilvl w:val="0"/>
          <w:numId w:val="108"/>
        </w:numPr>
        <w:rPr>
          <w:rFonts w:ascii="Arial" w:cs="Arial" w:eastAsia="Arial" w:hAnsi="Arial"/>
          <w:sz w:val="20"/>
          <w:szCs w:val="20"/>
          <w:color w:val="auto"/>
        </w:rPr>
      </w:pPr>
      <w:r>
        <w:rPr>
          <w:rFonts w:ascii="Arial" w:cs="Arial" w:eastAsia="Arial" w:hAnsi="Arial"/>
          <w:sz w:val="20"/>
          <w:szCs w:val="20"/>
          <w:b w:val="1"/>
          <w:bCs w:val="1"/>
          <w:u w:val="single" w:color="auto"/>
          <w:color w:val="auto"/>
        </w:rPr>
        <w:t>INTERPRETATION AND DEFINITIONS</w:t>
      </w:r>
      <w:r>
        <w:rPr>
          <w:rFonts w:ascii="Arial" w:cs="Arial" w:eastAsia="Arial" w:hAnsi="Arial"/>
          <w:sz w:val="20"/>
          <w:szCs w:val="20"/>
          <w:color w:val="auto"/>
        </w:rPr>
        <w:t>.</w:t>
      </w:r>
    </w:p>
    <w:p>
      <w:pPr>
        <w:spacing w:after="0" w:line="114" w:lineRule="exact"/>
        <w:rPr>
          <w:sz w:val="20"/>
          <w:szCs w:val="20"/>
          <w:color w:val="auto"/>
        </w:rPr>
      </w:pPr>
    </w:p>
    <w:p>
      <w:pPr>
        <w:jc w:val="both"/>
        <w:ind w:left="760" w:hanging="741"/>
        <w:spacing w:after="0" w:line="263" w:lineRule="auto"/>
        <w:tabs>
          <w:tab w:leader="none" w:pos="7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u w:val="single" w:color="auto"/>
          <w:color w:val="auto"/>
        </w:rPr>
        <w:t xml:space="preserve">Interpretation. </w:t>
      </w:r>
      <w:r>
        <w:rPr>
          <w:rFonts w:ascii="Arial" w:cs="Arial" w:eastAsia="Arial" w:hAnsi="Arial"/>
          <w:sz w:val="19"/>
          <w:szCs w:val="19"/>
          <w:color w:val="auto"/>
        </w:rPr>
        <w:t>Unless the context otherwise requires: (i) words importing the singular include the plural and vice versa; (ii) words</w:t>
      </w:r>
      <w:r>
        <w:rPr>
          <w:rFonts w:ascii="Arial" w:cs="Arial" w:eastAsia="Arial" w:hAnsi="Arial"/>
          <w:sz w:val="19"/>
          <w:szCs w:val="19"/>
          <w:u w:val="single" w:color="auto"/>
          <w:color w:val="auto"/>
        </w:rPr>
        <w:t xml:space="preserve"> </w:t>
      </w:r>
      <w:r>
        <w:rPr>
          <w:rFonts w:ascii="Arial" w:cs="Arial" w:eastAsia="Arial" w:hAnsi="Arial"/>
          <w:sz w:val="19"/>
          <w:szCs w:val="19"/>
          <w:color w:val="auto"/>
        </w:rPr>
        <w:t>importing a gender include any gender; (iii) clause headings are for convenient reference only and have no effect in limiting or extending the language to which they refer in this Agreement or any Exhibit; and (iv) expressions importing natural persons include any company, partnership, joint venture, association, corporation or other corporate body.</w:t>
      </w:r>
    </w:p>
    <w:p>
      <w:pPr>
        <w:spacing w:after="0" w:line="6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u w:val="single" w:color="auto"/>
          <w:color w:val="auto"/>
        </w:rPr>
        <w:t xml:space="preserve">Definitions. </w:t>
      </w:r>
      <w:r>
        <w:rPr>
          <w:rFonts w:ascii="Arial" w:cs="Arial" w:eastAsia="Arial" w:hAnsi="Arial"/>
          <w:sz w:val="18"/>
          <w:szCs w:val="18"/>
          <w:color w:val="auto"/>
        </w:rPr>
        <w:t>All definitions not otherwise defined in the body of this Agreement are listed alphabetically in Exhibit D.</w:t>
      </w:r>
    </w:p>
    <w:p>
      <w:pPr>
        <w:spacing w:after="0" w:line="102" w:lineRule="exact"/>
        <w:rPr>
          <w:sz w:val="20"/>
          <w:szCs w:val="20"/>
          <w:color w:val="auto"/>
        </w:rPr>
      </w:pPr>
    </w:p>
    <w:p>
      <w:pPr>
        <w:ind w:left="760" w:hanging="752"/>
        <w:spacing w:after="0"/>
        <w:tabs>
          <w:tab w:leader="none" w:pos="760" w:val="left"/>
        </w:tabs>
        <w:numPr>
          <w:ilvl w:val="0"/>
          <w:numId w:val="109"/>
        </w:numPr>
        <w:rPr>
          <w:rFonts w:ascii="Arial" w:cs="Arial" w:eastAsia="Arial" w:hAnsi="Arial"/>
          <w:sz w:val="20"/>
          <w:szCs w:val="20"/>
          <w:color w:val="auto"/>
        </w:rPr>
      </w:pPr>
      <w:r>
        <w:rPr>
          <w:rFonts w:ascii="Arial" w:cs="Arial" w:eastAsia="Arial" w:hAnsi="Arial"/>
          <w:sz w:val="20"/>
          <w:szCs w:val="20"/>
          <w:b w:val="1"/>
          <w:bCs w:val="1"/>
          <w:u w:val="single" w:color="auto"/>
          <w:color w:val="auto"/>
        </w:rPr>
        <w:t>AGREEMENT APPLICABILITY AND LIMITATION</w:t>
      </w:r>
      <w:r>
        <w:rPr>
          <w:rFonts w:ascii="Arial" w:cs="Arial" w:eastAsia="Arial" w:hAnsi="Arial"/>
          <w:sz w:val="20"/>
          <w:szCs w:val="20"/>
          <w:color w:val="auto"/>
        </w:rPr>
        <w:t>.</w:t>
      </w:r>
    </w:p>
    <w:p>
      <w:pPr>
        <w:spacing w:after="0" w:line="114" w:lineRule="exact"/>
        <w:rPr>
          <w:sz w:val="20"/>
          <w:szCs w:val="20"/>
          <w:color w:val="auto"/>
        </w:rPr>
      </w:pPr>
    </w:p>
    <w:p>
      <w:pPr>
        <w:jc w:val="both"/>
        <w:ind w:left="760" w:right="20" w:hanging="741"/>
        <w:spacing w:after="0" w:line="250" w:lineRule="auto"/>
        <w:tabs>
          <w:tab w:leader="none" w:pos="7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This Agreement and the Exhibits contain the general terms and conditions governing Supplier’s Products, Services, and business transactions to this Agreement. The execution of this Agreement alone does not authorize the conduct of any transactional business between the Parties.</w:t>
      </w:r>
    </w:p>
    <w:p>
      <w:pPr>
        <w:spacing w:after="0" w:line="7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The terms and conditions of any Exhibit are supplemented by the terms and conditions of this Agreement according to Section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17.22 “Order of Precedence” of this Agreement.</w:t>
      </w:r>
    </w:p>
    <w:p>
      <w:pPr>
        <w:spacing w:after="0" w:line="92"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20"/>
          <w:szCs w:val="20"/>
          <w:color w:val="auto"/>
        </w:rPr>
        <w:t>This Agreement will supplement and apply to any Order submitted for Products whether or not this Agreement is referenced in the Order.</w:t>
      </w:r>
    </w:p>
    <w:p>
      <w:pPr>
        <w:spacing w:after="0" w:line="171" w:lineRule="exact"/>
        <w:rPr>
          <w:sz w:val="20"/>
          <w:szCs w:val="20"/>
          <w:color w:val="auto"/>
        </w:rPr>
      </w:pPr>
    </w:p>
    <w:p>
      <w:pPr>
        <w:jc w:val="both"/>
        <w:ind w:left="760" w:hanging="752"/>
        <w:spacing w:after="0" w:line="294" w:lineRule="auto"/>
        <w:tabs>
          <w:tab w:leader="none" w:pos="760"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This Agreement will continue in effect for five (5) years from the Effective Date and thereafter will automatically renew</w:t>
      </w:r>
      <w:r>
        <w:rPr>
          <w:rFonts w:ascii="Arial" w:cs="Arial" w:eastAsia="Arial" w:hAnsi="Arial"/>
          <w:sz w:val="18"/>
          <w:szCs w:val="18"/>
          <w:b w:val="1"/>
          <w:bCs w:val="1"/>
          <w:color w:val="auto"/>
        </w:rPr>
        <w:t xml:space="preserve"> </w:t>
      </w:r>
      <w:r>
        <w:rPr>
          <w:rFonts w:ascii="Arial" w:cs="Arial" w:eastAsia="Arial" w:hAnsi="Arial"/>
          <w:sz w:val="18"/>
          <w:szCs w:val="18"/>
          <w:color w:val="auto"/>
        </w:rPr>
        <w:t>from year to year unless terminated by either Party by providing written notice to the other Party at least 180 Days prior to the renewal date. Either Party may terminate this Agreement in accordance with Section 8 (Termination) of this Agreement.</w:t>
      </w:r>
    </w:p>
    <w:p>
      <w:pPr>
        <w:spacing w:after="0" w:line="143" w:lineRule="exact"/>
        <w:rPr>
          <w:rFonts w:ascii="Arial" w:cs="Arial" w:eastAsia="Arial" w:hAnsi="Arial"/>
          <w:sz w:val="18"/>
          <w:szCs w:val="18"/>
          <w:color w:val="auto"/>
        </w:rPr>
      </w:pPr>
    </w:p>
    <w:p>
      <w:pPr>
        <w:ind w:left="760" w:hanging="752"/>
        <w:spacing w:after="0"/>
        <w:tabs>
          <w:tab w:leader="none" w:pos="760" w:val="left"/>
        </w:tabs>
        <w:numPr>
          <w:ilvl w:val="0"/>
          <w:numId w:val="110"/>
        </w:numPr>
        <w:rPr>
          <w:rFonts w:ascii="Arial" w:cs="Arial" w:eastAsia="Arial" w:hAnsi="Arial"/>
          <w:sz w:val="20"/>
          <w:szCs w:val="20"/>
          <w:color w:val="auto"/>
        </w:rPr>
      </w:pPr>
      <w:r>
        <w:rPr>
          <w:rFonts w:ascii="Arial" w:cs="Arial" w:eastAsia="Arial" w:hAnsi="Arial"/>
          <w:sz w:val="20"/>
          <w:szCs w:val="20"/>
          <w:b w:val="1"/>
          <w:bCs w:val="1"/>
          <w:u w:val="single" w:color="auto"/>
          <w:color w:val="auto"/>
        </w:rPr>
        <w:t>PAYMENT AND PRICES</w:t>
      </w:r>
      <w:r>
        <w:rPr>
          <w:rFonts w:ascii="Arial" w:cs="Arial" w:eastAsia="Arial" w:hAnsi="Arial"/>
          <w:sz w:val="20"/>
          <w:szCs w:val="20"/>
          <w:color w:val="auto"/>
        </w:rPr>
        <w:t>.</w:t>
      </w:r>
    </w:p>
    <w:p>
      <w:pPr>
        <w:spacing w:after="0" w:line="114" w:lineRule="exact"/>
        <w:rPr>
          <w:sz w:val="20"/>
          <w:szCs w:val="20"/>
          <w:color w:val="auto"/>
        </w:rPr>
      </w:pPr>
    </w:p>
    <w:p>
      <w:pPr>
        <w:jc w:val="both"/>
        <w:ind w:left="760" w:hanging="741"/>
        <w:spacing w:after="0" w:line="242" w:lineRule="auto"/>
        <w:tabs>
          <w:tab w:leader="none" w:pos="7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u w:val="single" w:color="auto"/>
          <w:color w:val="auto"/>
        </w:rPr>
        <w:t>Payment Terms</w:t>
      </w:r>
      <w:r>
        <w:rPr>
          <w:rFonts w:ascii="Arial" w:cs="Arial" w:eastAsia="Arial" w:hAnsi="Arial"/>
          <w:sz w:val="20"/>
          <w:szCs w:val="20"/>
          <w:color w:val="auto"/>
        </w:rPr>
        <w:t>. Supplier shall issue an invoice to Gogo on or any time after the completion of delivery and only in accordance</w:t>
      </w:r>
      <w:r>
        <w:rPr>
          <w:rFonts w:ascii="Arial" w:cs="Arial" w:eastAsia="Arial" w:hAnsi="Arial"/>
          <w:sz w:val="20"/>
          <w:szCs w:val="20"/>
          <w:u w:val="single" w:color="auto"/>
          <w:color w:val="auto"/>
        </w:rPr>
        <w:t xml:space="preserve"> </w:t>
      </w:r>
      <w:r>
        <w:rPr>
          <w:rFonts w:ascii="Arial" w:cs="Arial" w:eastAsia="Arial" w:hAnsi="Arial"/>
          <w:sz w:val="20"/>
          <w:szCs w:val="20"/>
          <w:color w:val="auto"/>
        </w:rPr>
        <w:t>with the terms. Gogo shall pay all properly invoiced amounts due to Supplier via ACH transfer within sixty (60) days after Gogo’s receipt of such invoice, except for any amounts disputed by Gogo in good faith. All payments hereunder will be in US dollars unless otherwise agreed to in writing. In the event of a payment dispute, Gogo shall deliver a written statement to Supplier no later than ten (10) business days prior to the date payment is due on the disputed invoice listing all disputed items and providing a reasonably detailed description of each disputed item. Amounts not so disputed are deemed accepted and must be paid, notwithstanding disputes on other items, within the period set forth in this Section 4.1 The Parties shall seek to resolve all such disputes expeditiously and in good faith. Supplier shall continue performing its obligations under the Order notwithstanding any such dispute.</w:t>
      </w:r>
    </w:p>
    <w:p>
      <w:pPr>
        <w:spacing w:after="0" w:line="200" w:lineRule="exact"/>
        <w:rPr>
          <w:sz w:val="20"/>
          <w:szCs w:val="20"/>
          <w:color w:val="auto"/>
        </w:rPr>
      </w:pPr>
    </w:p>
    <w:p>
      <w:pPr>
        <w:spacing w:after="0" w:line="245" w:lineRule="exact"/>
        <w:rPr>
          <w:sz w:val="20"/>
          <w:szCs w:val="20"/>
          <w:color w:val="auto"/>
        </w:rPr>
      </w:pPr>
    </w:p>
    <w:p>
      <w:pPr>
        <w:spacing w:after="0"/>
        <w:tabs>
          <w:tab w:leader="none" w:pos="1050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2</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55" w:name="page156"/>
    <w:bookmarkEnd w:id="155"/>
    <w:p>
      <w:pPr>
        <w:ind w:left="760" w:hanging="741"/>
        <w:spacing w:after="0" w:line="260" w:lineRule="auto"/>
        <w:tabs>
          <w:tab w:leader="none" w:pos="7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u w:val="single" w:color="auto"/>
          <w:color w:val="auto"/>
        </w:rPr>
        <w:t>Price</w:t>
      </w:r>
      <w:r>
        <w:rPr>
          <w:rFonts w:ascii="Arial" w:cs="Arial" w:eastAsia="Arial" w:hAnsi="Arial"/>
          <w:sz w:val="20"/>
          <w:szCs w:val="20"/>
          <w:color w:val="auto"/>
        </w:rPr>
        <w:t>. All pricing listed on the attached Exhibit B Products and Pricing Sheet will be held firm and fixed for the duration of the term</w:t>
      </w:r>
      <w:r>
        <w:rPr>
          <w:rFonts w:ascii="Arial" w:cs="Arial" w:eastAsia="Arial" w:hAnsi="Arial"/>
          <w:sz w:val="20"/>
          <w:szCs w:val="20"/>
          <w:u w:val="single" w:color="auto"/>
          <w:color w:val="auto"/>
        </w:rPr>
        <w:t xml:space="preserve"> </w:t>
      </w:r>
      <w:r>
        <w:rPr>
          <w:rFonts w:ascii="Arial" w:cs="Arial" w:eastAsia="Arial" w:hAnsi="Arial"/>
          <w:sz w:val="20"/>
          <w:szCs w:val="20"/>
          <w:color w:val="auto"/>
        </w:rPr>
        <w:t>stated in such applicable Products and Pricing Sheet.</w:t>
      </w:r>
    </w:p>
    <w:p>
      <w:pPr>
        <w:spacing w:after="0" w:line="6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Records; Audit</w:t>
      </w:r>
      <w:r>
        <w:rPr>
          <w:rFonts w:ascii="Arial" w:cs="Arial" w:eastAsia="Arial" w:hAnsi="Arial"/>
          <w:sz w:val="18"/>
          <w:szCs w:val="18"/>
          <w:color w:val="auto"/>
        </w:rPr>
        <w:t>.</w:t>
      </w:r>
    </w:p>
    <w:p>
      <w:pPr>
        <w:spacing w:after="0" w:line="108" w:lineRule="exact"/>
        <w:rPr>
          <w:sz w:val="20"/>
          <w:szCs w:val="20"/>
          <w:color w:val="auto"/>
        </w:rPr>
      </w:pPr>
    </w:p>
    <w:p>
      <w:pPr>
        <w:jc w:val="both"/>
        <w:ind w:left="1500" w:hanging="750"/>
        <w:spacing w:after="0" w:line="256" w:lineRule="auto"/>
        <w:tabs>
          <w:tab w:leader="none" w:pos="15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Supplier shall maintain adequate records of the fees and expenses charged, and quality records inclusive of FAA required documents pertaining to Gogo with respect to the Products and Services under each Exhibit for ten (10) years after the shipment of the Product or provision of the Service. Supplier shall make such records available to Gogo during normal business hours upon reasonable advance written notice. Supplier shall reasonably cooperate in any audit of such records that Gogo may undertake; provided, however, that any such audit shall be at Gogo’s sole expense. If, as a result of such audit, it is determined that Supplier has overcharged Gogo, Gogo shall notify Supplier of the amount of such overcharge, and Supplier shall credit to Gogo the amount of such overcharge. In addition, if any such audit reveals an overcharge that is equal to or greater than 10% of the amounts paid for the Products purchased for the period of time audited, Supplier shall reimburse Gogo for all costs related to the audit.</w:t>
      </w:r>
    </w:p>
    <w:p>
      <w:pPr>
        <w:spacing w:after="0" w:line="76" w:lineRule="exact"/>
        <w:rPr>
          <w:rFonts w:ascii="Arial" w:cs="Arial" w:eastAsia="Arial" w:hAnsi="Arial"/>
          <w:sz w:val="19"/>
          <w:szCs w:val="19"/>
          <w:color w:val="auto"/>
        </w:rPr>
      </w:pPr>
    </w:p>
    <w:p>
      <w:pPr>
        <w:ind w:left="1500" w:hanging="750"/>
        <w:spacing w:after="0"/>
        <w:tabs>
          <w:tab w:leader="none" w:pos="15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Supplier shall provide Gogo with quarterly unaudited financial statements and annual audited financial statements.</w:t>
      </w:r>
    </w:p>
    <w:p>
      <w:pPr>
        <w:spacing w:after="0" w:line="119" w:lineRule="exact"/>
        <w:rPr>
          <w:sz w:val="20"/>
          <w:szCs w:val="20"/>
          <w:color w:val="auto"/>
        </w:rPr>
      </w:pPr>
    </w:p>
    <w:p>
      <w:pPr>
        <w:jc w:val="both"/>
        <w:ind w:left="760" w:hanging="741"/>
        <w:spacing w:after="0" w:line="246" w:lineRule="auto"/>
        <w:tabs>
          <w:tab w:leader="none" w:pos="7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u w:val="single" w:color="auto"/>
          <w:color w:val="auto"/>
        </w:rPr>
        <w:t>Taxes and Duties</w:t>
      </w:r>
      <w:r>
        <w:rPr>
          <w:rFonts w:ascii="Arial" w:cs="Arial" w:eastAsia="Arial" w:hAnsi="Arial"/>
          <w:sz w:val="20"/>
          <w:szCs w:val="20"/>
          <w:color w:val="auto"/>
        </w:rPr>
        <w:t>. All pricing listed on the attached Exhibit B Products and Pricing Sheet is exclusive of taxes which Supplier is</w:t>
      </w:r>
      <w:r>
        <w:rPr>
          <w:rFonts w:ascii="Arial" w:cs="Arial" w:eastAsia="Arial" w:hAnsi="Arial"/>
          <w:sz w:val="20"/>
          <w:szCs w:val="20"/>
          <w:u w:val="single" w:color="auto"/>
          <w:color w:val="auto"/>
        </w:rPr>
        <w:t xml:space="preserve"> </w:t>
      </w:r>
      <w:r>
        <w:rPr>
          <w:rFonts w:ascii="Arial" w:cs="Arial" w:eastAsia="Arial" w:hAnsi="Arial"/>
          <w:sz w:val="20"/>
          <w:szCs w:val="20"/>
          <w:color w:val="auto"/>
        </w:rPr>
        <w:t>required to collect from Gogo by law, and any import duties that are in addition to the most favored nation or trade agreement tariff rate that appears in Column 1 of Chapters 1 through 97 of the Harmonized Tariff Schedule of the United States or any successor thereto (“Punitive Duties”).</w:t>
      </w:r>
    </w:p>
    <w:p>
      <w:pPr>
        <w:spacing w:after="0" w:line="191" w:lineRule="exact"/>
        <w:rPr>
          <w:sz w:val="20"/>
          <w:szCs w:val="20"/>
          <w:color w:val="auto"/>
        </w:rPr>
      </w:pPr>
    </w:p>
    <w:p>
      <w:pPr>
        <w:ind w:left="1500" w:hanging="750"/>
        <w:spacing w:after="0"/>
        <w:tabs>
          <w:tab w:leader="none" w:pos="15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Gogo will be responsible for paying any taxes which Supplier is required to collect from Gogo by law.</w:t>
      </w:r>
    </w:p>
    <w:p>
      <w:pPr>
        <w:spacing w:after="0" w:line="107" w:lineRule="exact"/>
        <w:rPr>
          <w:rFonts w:ascii="Arial" w:cs="Arial" w:eastAsia="Arial" w:hAnsi="Arial"/>
          <w:sz w:val="20"/>
          <w:szCs w:val="20"/>
          <w:color w:val="auto"/>
        </w:rPr>
      </w:pPr>
    </w:p>
    <w:p>
      <w:pPr>
        <w:ind w:left="1500" w:hanging="750"/>
        <w:spacing w:after="0"/>
        <w:tabs>
          <w:tab w:leader="none" w:pos="15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Gogo will reimburse Airspan for [***].</w:t>
      </w:r>
    </w:p>
    <w:p>
      <w:pPr>
        <w:spacing w:after="0" w:line="107" w:lineRule="exact"/>
        <w:rPr>
          <w:rFonts w:ascii="Arial" w:cs="Arial" w:eastAsia="Arial" w:hAnsi="Arial"/>
          <w:sz w:val="20"/>
          <w:szCs w:val="20"/>
          <w:color w:val="auto"/>
        </w:rPr>
      </w:pPr>
    </w:p>
    <w:p>
      <w:pPr>
        <w:ind w:left="1500" w:hanging="750"/>
        <w:spacing w:after="0"/>
        <w:tabs>
          <w:tab w:leader="none" w:pos="15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Supplier’s invoices will separately itemize any taxes and Gogo’s share of any Punitive Duties.</w:t>
      </w:r>
    </w:p>
    <w:p>
      <w:pPr>
        <w:spacing w:after="0" w:line="108" w:lineRule="exact"/>
        <w:rPr>
          <w:sz w:val="20"/>
          <w:szCs w:val="20"/>
          <w:color w:val="auto"/>
        </w:rPr>
      </w:pPr>
    </w:p>
    <w:p>
      <w:pPr>
        <w:jc w:val="both"/>
        <w:ind w:left="760" w:hanging="741"/>
        <w:spacing w:after="0" w:line="316" w:lineRule="auto"/>
        <w:tabs>
          <w:tab w:leader="none" w:pos="74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Gogo shall reimburse Supplier for its reasonable out-of-pocket costs and expenses specifically authorized in an</w:t>
      </w:r>
      <w:r>
        <w:rPr>
          <w:rFonts w:ascii="Arial" w:cs="Arial" w:eastAsia="Arial" w:hAnsi="Arial"/>
          <w:sz w:val="16"/>
          <w:szCs w:val="16"/>
          <w:u w:val="single" w:color="auto"/>
          <w:color w:val="auto"/>
        </w:rPr>
        <w:t xml:space="preserve"> </w:t>
      </w:r>
      <w:r>
        <w:rPr>
          <w:rFonts w:ascii="Arial" w:cs="Arial" w:eastAsia="Arial" w:hAnsi="Arial"/>
          <w:sz w:val="16"/>
          <w:szCs w:val="16"/>
          <w:color w:val="auto"/>
        </w:rPr>
        <w:t>applicable Order or otherwise authorized reasonably in advance in writing by Gogo in connection with the Services and in accordance with Gogo’s written reimbursement policy. Supplier shall provide documentation of all expenses greater than $75 for which Supplier requests reimbursement on a monthly basis, prior to the generation of any invoice on which such expenses are listed. Notwithstanding anything to the contrary herein, Gogo shall not be required to reimburse Supplier for any expenses to the extent that Supplier has not presented an expense report verifying such expenses within 75 days after such expenses were incurred.</w:t>
      </w:r>
    </w:p>
    <w:p>
      <w:pPr>
        <w:spacing w:after="0" w:line="134" w:lineRule="exact"/>
        <w:rPr>
          <w:sz w:val="20"/>
          <w:szCs w:val="20"/>
          <w:color w:val="auto"/>
        </w:rPr>
      </w:pPr>
    </w:p>
    <w:p>
      <w:pPr>
        <w:ind w:left="760" w:hanging="752"/>
        <w:spacing w:after="0"/>
        <w:tabs>
          <w:tab w:leader="none" w:pos="760" w:val="left"/>
        </w:tabs>
        <w:numPr>
          <w:ilvl w:val="0"/>
          <w:numId w:val="113"/>
        </w:numPr>
        <w:rPr>
          <w:rFonts w:ascii="Arial" w:cs="Arial" w:eastAsia="Arial" w:hAnsi="Arial"/>
          <w:sz w:val="20"/>
          <w:szCs w:val="20"/>
          <w:color w:val="auto"/>
        </w:rPr>
      </w:pPr>
      <w:r>
        <w:rPr>
          <w:rFonts w:ascii="Arial" w:cs="Arial" w:eastAsia="Arial" w:hAnsi="Arial"/>
          <w:sz w:val="20"/>
          <w:szCs w:val="20"/>
          <w:b w:val="1"/>
          <w:bCs w:val="1"/>
          <w:u w:val="single" w:color="auto"/>
          <w:color w:val="auto"/>
        </w:rPr>
        <w:t>ORDER AND PRODUCT ADMINISTRATION.</w:t>
      </w:r>
    </w:p>
    <w:p>
      <w:pPr>
        <w:spacing w:after="0" w:line="114"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u w:val="single" w:color="auto"/>
          <w:color w:val="auto"/>
        </w:rPr>
        <w:t>Obligation to Supply during the Term</w:t>
      </w:r>
      <w:r>
        <w:rPr>
          <w:rFonts w:ascii="Arial" w:cs="Arial" w:eastAsia="Arial" w:hAnsi="Arial"/>
          <w:sz w:val="20"/>
          <w:szCs w:val="20"/>
          <w:color w:val="auto"/>
        </w:rPr>
        <w:t>. Supplier will sell to Gogo the Products ordered by Gogo pursuant to duly issued Orders on</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terms and conditions provided herein. Each Order shall be deemed to be incorporated as part of this Agreement upon Gogo’s issuance thereof.</w:t>
      </w:r>
    </w:p>
    <w:p>
      <w:pPr>
        <w:spacing w:after="0" w:line="78" w:lineRule="exact"/>
        <w:rPr>
          <w:sz w:val="20"/>
          <w:szCs w:val="20"/>
          <w:color w:val="auto"/>
        </w:rPr>
      </w:pPr>
    </w:p>
    <w:p>
      <w:pPr>
        <w:jc w:val="both"/>
        <w:ind w:left="760" w:hanging="741"/>
        <w:spacing w:after="0" w:line="243" w:lineRule="auto"/>
        <w:tabs>
          <w:tab w:leader="none" w:pos="7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u w:val="single" w:color="auto"/>
          <w:color w:val="auto"/>
        </w:rPr>
        <w:t>Order Acceptance</w:t>
      </w:r>
      <w:r>
        <w:rPr>
          <w:rFonts w:ascii="Arial" w:cs="Arial" w:eastAsia="Arial" w:hAnsi="Arial"/>
          <w:sz w:val="20"/>
          <w:szCs w:val="20"/>
          <w:color w:val="auto"/>
        </w:rPr>
        <w:t>. Gogo and Affiliates may place Orders, from time to time, with Supplier for the Products. Orders are deemed</w:t>
      </w:r>
      <w:r>
        <w:rPr>
          <w:rFonts w:ascii="Arial" w:cs="Arial" w:eastAsia="Arial" w:hAnsi="Arial"/>
          <w:sz w:val="20"/>
          <w:szCs w:val="20"/>
          <w:u w:val="single" w:color="auto"/>
          <w:color w:val="auto"/>
        </w:rPr>
        <w:t xml:space="preserve"> </w:t>
      </w:r>
      <w:r>
        <w:rPr>
          <w:rFonts w:ascii="Arial" w:cs="Arial" w:eastAsia="Arial" w:hAnsi="Arial"/>
          <w:sz w:val="20"/>
          <w:szCs w:val="20"/>
          <w:color w:val="auto"/>
        </w:rPr>
        <w:t>accepted by the Supplier unless Gogo receives written notice of rejection from the Supplier explaining the basis for the rejection within three (3) business days of Gogo’s issuance of the Order in accordance with the terms and conditions of this Agreement. All terms and conditions within this Agreement shall govern said Order(s) with the exception of shipping dates, delivery dates, delivery point and invoicing address, which will be identified within that Order in accordance with lead times and delivery destination under this agreement. Any terms conflicting with or in addition to the terms of this Agreement will not apply unless expressly agreed to in writing by the Parties.</w:t>
      </w:r>
    </w:p>
    <w:p>
      <w:pPr>
        <w:spacing w:after="0" w:line="85" w:lineRule="exact"/>
        <w:rPr>
          <w:sz w:val="20"/>
          <w:szCs w:val="20"/>
          <w:color w:val="auto"/>
        </w:rPr>
      </w:pPr>
    </w:p>
    <w:p>
      <w:pPr>
        <w:jc w:val="both"/>
        <w:ind w:left="760" w:hanging="741"/>
        <w:spacing w:after="0" w:line="257" w:lineRule="auto"/>
        <w:tabs>
          <w:tab w:leader="none" w:pos="7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u w:val="single" w:color="auto"/>
          <w:color w:val="auto"/>
        </w:rPr>
        <w:t>Order Rejection and/or Changes</w:t>
      </w:r>
      <w:r>
        <w:rPr>
          <w:rFonts w:ascii="Arial" w:cs="Arial" w:eastAsia="Arial" w:hAnsi="Arial"/>
          <w:sz w:val="19"/>
          <w:szCs w:val="19"/>
          <w:color w:val="auto"/>
        </w:rPr>
        <w:t>. Supplier shall have the right to reject an Order only if the Order does not comply with the express</w:t>
      </w:r>
      <w:r>
        <w:rPr>
          <w:rFonts w:ascii="Arial" w:cs="Arial" w:eastAsia="Arial" w:hAnsi="Arial"/>
          <w:sz w:val="19"/>
          <w:szCs w:val="19"/>
          <w:u w:val="single" w:color="auto"/>
          <w:color w:val="auto"/>
        </w:rPr>
        <w:t xml:space="preserve"> </w:t>
      </w:r>
      <w:r>
        <w:rPr>
          <w:rFonts w:ascii="Arial" w:cs="Arial" w:eastAsia="Arial" w:hAnsi="Arial"/>
          <w:sz w:val="19"/>
          <w:szCs w:val="19"/>
          <w:color w:val="auto"/>
        </w:rPr>
        <w:t>requirements of this Agreement, and then only until Gogo corrects such Order. Supplier shall not reject or fail to accept any Order that is issued in accordance with the terms and conditions of this Agreement. Should Supplier reject an Order based upon the foregoing, Supplier shall notify Gogo in writing within three (3) business days from issuance of the Order of such rejection and must clearly state the reason(s) Supplier is claiming the Order does not comply with this Agreement or contains additional non-agreed upon terms and any changes or additions thereto that would make the Order noncompliant with this Agreement. Changes proposed by Supplier shall not be valid or binding on Gogo unless the changes are accepted by Gogo in writing and formally incorporated into the related Order by issuing a Change Order.</w:t>
      </w:r>
    </w:p>
    <w:p>
      <w:pPr>
        <w:spacing w:after="0" w:line="200" w:lineRule="exact"/>
        <w:rPr>
          <w:sz w:val="20"/>
          <w:szCs w:val="20"/>
          <w:color w:val="auto"/>
        </w:rPr>
      </w:pPr>
    </w:p>
    <w:p>
      <w:pPr>
        <w:spacing w:after="0" w:line="231" w:lineRule="exact"/>
        <w:rPr>
          <w:sz w:val="20"/>
          <w:szCs w:val="20"/>
          <w:color w:val="auto"/>
        </w:rPr>
      </w:pPr>
    </w:p>
    <w:p>
      <w:pPr>
        <w:spacing w:after="0"/>
        <w:tabs>
          <w:tab w:leader="none" w:pos="1050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3</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6" w:name="page157"/>
    <w:bookmarkEnd w:id="156"/>
    <w:p>
      <w:pPr>
        <w:jc w:val="both"/>
        <w:ind w:left="760" w:hanging="741"/>
        <w:spacing w:after="0" w:line="243" w:lineRule="auto"/>
        <w:tabs>
          <w:tab w:leader="none" w:pos="7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u w:val="single" w:color="auto"/>
          <w:color w:val="auto"/>
        </w:rPr>
        <w:t>Forecasted Quantities</w:t>
      </w:r>
      <w:r>
        <w:rPr>
          <w:rFonts w:ascii="Arial" w:cs="Arial" w:eastAsia="Arial" w:hAnsi="Arial"/>
          <w:sz w:val="20"/>
          <w:szCs w:val="20"/>
          <w:color w:val="auto"/>
        </w:rPr>
        <w:t>. Gogo shall make available to Supplier, on a quarterly basis in writing or electronically, a twelve (12) month,</w:t>
      </w:r>
      <w:r>
        <w:rPr>
          <w:rFonts w:ascii="Arial" w:cs="Arial" w:eastAsia="Arial" w:hAnsi="Arial"/>
          <w:sz w:val="20"/>
          <w:szCs w:val="20"/>
          <w:u w:val="single" w:color="auto"/>
          <w:color w:val="auto"/>
        </w:rPr>
        <w:t xml:space="preserve"> </w:t>
      </w:r>
      <w:r>
        <w:rPr>
          <w:rFonts w:ascii="Arial" w:cs="Arial" w:eastAsia="Arial" w:hAnsi="Arial"/>
          <w:sz w:val="20"/>
          <w:szCs w:val="20"/>
          <w:color w:val="auto"/>
        </w:rPr>
        <w:t>non-binding and information-only rolling forecast as a purchase order estimate including an estimated Product Lead-Time (“Forecast”). The quantities listed in any Forecast are for planning purposes only, do not constitute an Order, and shall in no way bind Gogo to actually place Orders for any such quantities indicated in the Forecast or otherwise expose Gogo to any form of liability. Supplier shall make available to Gogo, at least monthly, in writing or electronically, a six (6) month Material Resource Plan (“MRP”) schedule that reflects Orders received.</w:t>
      </w:r>
    </w:p>
    <w:p>
      <w:pPr>
        <w:spacing w:after="0" w:line="190" w:lineRule="exact"/>
        <w:rPr>
          <w:sz w:val="20"/>
          <w:szCs w:val="20"/>
          <w:color w:val="auto"/>
        </w:rPr>
      </w:pPr>
    </w:p>
    <w:p>
      <w:pPr>
        <w:ind w:left="760" w:hanging="752"/>
        <w:spacing w:after="0"/>
        <w:tabs>
          <w:tab w:leader="none" w:pos="760" w:val="left"/>
        </w:tabs>
        <w:numPr>
          <w:ilvl w:val="0"/>
          <w:numId w:val="114"/>
        </w:numPr>
        <w:rPr>
          <w:rFonts w:ascii="Arial" w:cs="Arial" w:eastAsia="Arial" w:hAnsi="Arial"/>
          <w:sz w:val="20"/>
          <w:szCs w:val="20"/>
          <w:color w:val="auto"/>
        </w:rPr>
      </w:pPr>
      <w:r>
        <w:rPr>
          <w:rFonts w:ascii="Arial" w:cs="Arial" w:eastAsia="Arial" w:hAnsi="Arial"/>
          <w:sz w:val="20"/>
          <w:szCs w:val="20"/>
          <w:b w:val="1"/>
          <w:bCs w:val="1"/>
          <w:u w:val="single" w:color="auto"/>
          <w:color w:val="auto"/>
        </w:rPr>
        <w:t>DELIVERY AND TITLE</w:t>
      </w:r>
    </w:p>
    <w:p>
      <w:pPr>
        <w:spacing w:after="0" w:line="114" w:lineRule="exact"/>
        <w:rPr>
          <w:sz w:val="20"/>
          <w:szCs w:val="20"/>
          <w:color w:val="auto"/>
        </w:rPr>
      </w:pPr>
    </w:p>
    <w:p>
      <w:pPr>
        <w:jc w:val="both"/>
        <w:ind w:left="760" w:hanging="741"/>
        <w:spacing w:after="0" w:line="244" w:lineRule="auto"/>
        <w:tabs>
          <w:tab w:leader="none" w:pos="7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u w:val="single" w:color="auto"/>
          <w:color w:val="auto"/>
        </w:rPr>
        <w:t>Time is of the Essence</w:t>
      </w:r>
      <w:r>
        <w:rPr>
          <w:rFonts w:ascii="Arial" w:cs="Arial" w:eastAsia="Arial" w:hAnsi="Arial"/>
          <w:sz w:val="20"/>
          <w:szCs w:val="20"/>
          <w:color w:val="auto"/>
        </w:rPr>
        <w:t>. Supplier acknowledges that time is of the essence with respect to its performance under this</w:t>
      </w:r>
      <w:r>
        <w:rPr>
          <w:rFonts w:ascii="Arial" w:cs="Arial" w:eastAsia="Arial" w:hAnsi="Arial"/>
          <w:sz w:val="20"/>
          <w:szCs w:val="20"/>
          <w:u w:val="single" w:color="auto"/>
          <w:color w:val="auto"/>
        </w:rPr>
        <w:t xml:space="preserve"> </w:t>
      </w:r>
      <w:r>
        <w:rPr>
          <w:rFonts w:ascii="Arial" w:cs="Arial" w:eastAsia="Arial" w:hAnsi="Arial"/>
          <w:sz w:val="20"/>
          <w:szCs w:val="20"/>
          <w:color w:val="auto"/>
        </w:rPr>
        <w:t>Agreement. Supplier’s operations management shall notify Gogo in writing within seven (7) days of any occurrence, event, or circumstance which will impede the proper and timely execution of Supplier’s obligations hereunder. Such notification by Supplier shall include a detailed preventative/recovery plan for such delay, including the expedited shipment of Product at Supplier’s reasonable cost.</w:t>
      </w:r>
    </w:p>
    <w:p>
      <w:pPr>
        <w:spacing w:after="0" w:line="86" w:lineRule="exact"/>
        <w:rPr>
          <w:sz w:val="20"/>
          <w:szCs w:val="20"/>
          <w:color w:val="auto"/>
        </w:rPr>
      </w:pPr>
    </w:p>
    <w:p>
      <w:pPr>
        <w:jc w:val="both"/>
        <w:ind w:left="760" w:hanging="741"/>
        <w:spacing w:after="0" w:line="259" w:lineRule="auto"/>
        <w:tabs>
          <w:tab w:leader="none" w:pos="7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9"/>
          <w:szCs w:val="19"/>
          <w:u w:val="single" w:color="auto"/>
          <w:color w:val="auto"/>
        </w:rPr>
        <w:t>Delivery Terms</w:t>
      </w:r>
      <w:r>
        <w:rPr>
          <w:rFonts w:ascii="Arial" w:cs="Arial" w:eastAsia="Arial" w:hAnsi="Arial"/>
          <w:sz w:val="19"/>
          <w:szCs w:val="19"/>
          <w:color w:val="auto"/>
        </w:rPr>
        <w:t>. Delivery terms shall be Delivered Duty Paid (DDP Incoterms 2010) Gogo’s United States facility in Illinois for</w:t>
      </w:r>
      <w:r>
        <w:rPr>
          <w:rFonts w:ascii="Arial" w:cs="Arial" w:eastAsia="Arial" w:hAnsi="Arial"/>
          <w:sz w:val="19"/>
          <w:szCs w:val="19"/>
          <w:u w:val="single" w:color="auto"/>
          <w:color w:val="auto"/>
        </w:rPr>
        <w:t xml:space="preserve"> </w:t>
      </w:r>
      <w:r>
        <w:rPr>
          <w:rFonts w:ascii="Arial" w:cs="Arial" w:eastAsia="Arial" w:hAnsi="Arial"/>
          <w:sz w:val="19"/>
          <w:szCs w:val="19"/>
          <w:color w:val="auto"/>
        </w:rPr>
        <w:t>Ground Station Products and Colorado for Airborne Products. Supplier shall deliver Products in accordance with the quantities, date(s), and location specified on the Order. Lead time and minimum order quantities for delivery at receipt of Order (ARO) shall be detailed by Product in Exhibit B. If delivery dates are not stated, Supplier shall offer its best delivery date(s), which will be subject to acceptance by Gogo. Unless otherwise directed, all Product(s) shipped in one (1) day from and to a single location must be consolidated on one (1) bill of lading or air waybill, as appropriate.</w:t>
      </w:r>
    </w:p>
    <w:p>
      <w:pPr>
        <w:spacing w:after="0" w:line="70"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Delivery Notice</w:t>
      </w:r>
      <w:r>
        <w:rPr>
          <w:rFonts w:ascii="Arial" w:cs="Arial" w:eastAsia="Arial" w:hAnsi="Arial"/>
          <w:sz w:val="18"/>
          <w:szCs w:val="18"/>
          <w:color w:val="auto"/>
        </w:rPr>
        <w:t>. Supplier shall send detailed a Delivery Notice to Gogo at the time of dispatch of the Product to Gogo.</w:t>
      </w:r>
    </w:p>
    <w:p>
      <w:pPr>
        <w:spacing w:after="0" w:line="108"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u w:val="single" w:color="auto"/>
          <w:color w:val="auto"/>
        </w:rPr>
        <w:t>Risk of Loss and Title</w:t>
      </w:r>
      <w:r>
        <w:rPr>
          <w:rFonts w:ascii="Arial" w:cs="Arial" w:eastAsia="Arial" w:hAnsi="Arial"/>
          <w:sz w:val="20"/>
          <w:szCs w:val="20"/>
          <w:color w:val="auto"/>
        </w:rPr>
        <w:t>. Supplier bears all risk of loss or damage to Product(s) until received by Gogo in accordance with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delivery terms in Section 6.2. The title passes to Gogo upon receipt of the Product(s) by Gogo at the delivery location designated on the Order.</w:t>
      </w:r>
    </w:p>
    <w:p>
      <w:pPr>
        <w:spacing w:after="0" w:line="7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6"/>
          <w:szCs w:val="16"/>
          <w:u w:val="single" w:color="auto"/>
          <w:color w:val="auto"/>
        </w:rPr>
        <w:t>Export License</w:t>
      </w:r>
      <w:r>
        <w:rPr>
          <w:rFonts w:ascii="Arial" w:cs="Arial" w:eastAsia="Arial" w:hAnsi="Arial"/>
          <w:sz w:val="16"/>
          <w:szCs w:val="16"/>
          <w:color w:val="auto"/>
        </w:rPr>
        <w:t>. Supplier is responsible for obtaining all necessary export licenses and completing all export clearance documents.</w:t>
      </w:r>
    </w:p>
    <w:p>
      <w:pPr>
        <w:spacing w:after="0" w:line="108" w:lineRule="exact"/>
        <w:rPr>
          <w:sz w:val="20"/>
          <w:szCs w:val="20"/>
          <w:color w:val="auto"/>
        </w:rPr>
      </w:pPr>
    </w:p>
    <w:p>
      <w:pPr>
        <w:jc w:val="both"/>
        <w:ind w:left="760" w:hanging="741"/>
        <w:spacing w:after="0" w:line="256" w:lineRule="auto"/>
        <w:tabs>
          <w:tab w:leader="none" w:pos="74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9"/>
          <w:szCs w:val="19"/>
          <w:u w:val="single" w:color="auto"/>
          <w:color w:val="auto"/>
        </w:rPr>
        <w:t>Expeditious Shipping</w:t>
      </w:r>
      <w:r>
        <w:rPr>
          <w:rFonts w:ascii="Arial" w:cs="Arial" w:eastAsia="Arial" w:hAnsi="Arial"/>
          <w:sz w:val="19"/>
          <w:szCs w:val="19"/>
          <w:color w:val="auto"/>
        </w:rPr>
        <w:t>. Supplier shall, at Supplier’s expense, deliver Product(s) by the most expeditious shipping method if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delivery schedule is endangered for any reason other than Gogo’s fault. If Product(s) or Services are delinquent to Gogo’s requirements, Supplier will not give Supplier’s other customers priority over Gogo for the delivery or performance of the particular Products or Services. Gogo reserves the right to reject, at no expense to Gogo, any delivery that materially exceeds the quantity authorized by Gogo for shipment. Supplier will not make any substitutions without Gogo’s prior written approval. Items shipped in advance of Gogo’s delivery schedule may be returned at Supplier’s expense. For domestic shipments, if requested by Gogo, and for all international shipments, Supplier will give notice of shipment to Gogo when the Product(s) are delivered to a carrier for transportation. The Order number(s) must appear on all correspondence, shipping labels, and shipping documents, including all packing sheets, bills of lading, and air waybills.</w:t>
      </w:r>
    </w:p>
    <w:p>
      <w:pPr>
        <w:spacing w:after="0" w:line="76" w:lineRule="exact"/>
        <w:rPr>
          <w:sz w:val="20"/>
          <w:szCs w:val="20"/>
          <w:color w:val="auto"/>
        </w:rPr>
      </w:pPr>
    </w:p>
    <w:p>
      <w:pPr>
        <w:jc w:val="both"/>
        <w:ind w:left="760" w:hanging="741"/>
        <w:spacing w:after="0" w:line="259" w:lineRule="auto"/>
        <w:tabs>
          <w:tab w:leader="none" w:pos="74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9"/>
          <w:szCs w:val="19"/>
          <w:u w:val="single" w:color="auto"/>
          <w:color w:val="auto"/>
        </w:rPr>
        <w:t>Schedule Acceleration/Deceleration</w:t>
      </w:r>
      <w:r>
        <w:rPr>
          <w:rFonts w:ascii="Arial" w:cs="Arial" w:eastAsia="Arial" w:hAnsi="Arial"/>
          <w:sz w:val="19"/>
          <w:szCs w:val="19"/>
          <w:color w:val="auto"/>
        </w:rPr>
        <w:t>. Gogo may, revise any delivery schedule of an Order once, without cost or change to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Product price stated in the applicable Order(s) provided that delivery dates do not fall short of the lead time and that the revised delivery date is not more than 30 days beyond the originally scheduled date, unless otherwise mutually agreed to between the Parties. Upon receipt of written notice of the change, Supplier shall make a good faith effort to meet those requirements as soon• as possible, but in no event shall the revised schedule be implemented later than three (3) months after a notification of a schedule acceleration, or two (2) months after notification •of a schedule deceleration.</w:t>
      </w:r>
    </w:p>
    <w:p>
      <w:pPr>
        <w:spacing w:after="0" w:line="70"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20"/>
          <w:szCs w:val="20"/>
          <w:u w:val="single" w:color="auto"/>
          <w:color w:val="auto"/>
        </w:rPr>
        <w:t>Packaging</w:t>
      </w:r>
      <w:r>
        <w:rPr>
          <w:rFonts w:ascii="Arial" w:cs="Arial" w:eastAsia="Arial" w:hAnsi="Arial"/>
          <w:sz w:val="20"/>
          <w:szCs w:val="20"/>
          <w:color w:val="auto"/>
        </w:rPr>
        <w:t>. Supplier will pack Products in accordance with the international safe transit association (“ISTA”) 2A, 2B specification,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or ATA-300 specification (Category 3, Class A) as applicable.</w:t>
      </w:r>
    </w:p>
    <w:p>
      <w:pPr>
        <w:spacing w:after="0" w:line="69"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6.9</w:t>
      </w:r>
      <w:r>
        <w:rPr>
          <w:sz w:val="20"/>
          <w:szCs w:val="20"/>
          <w:color w:val="auto"/>
        </w:rPr>
        <w:tab/>
      </w:r>
      <w:r>
        <w:rPr>
          <w:rFonts w:ascii="Arial" w:cs="Arial" w:eastAsia="Arial" w:hAnsi="Arial"/>
          <w:sz w:val="20"/>
          <w:szCs w:val="20"/>
          <w:u w:val="single" w:color="auto"/>
          <w:color w:val="auto"/>
        </w:rPr>
        <w:t>Country of Origin</w:t>
      </w:r>
      <w:r>
        <w:rPr>
          <w:rFonts w:ascii="Arial" w:cs="Arial" w:eastAsia="Arial" w:hAnsi="Arial"/>
          <w:sz w:val="20"/>
          <w:szCs w:val="20"/>
          <w:color w:val="auto"/>
        </w:rPr>
        <w:t>. All Product(s), unless specifically exempted by the destination country’s governing authorities, must be marked</w:t>
      </w:r>
      <w:r>
        <w:rPr>
          <w:rFonts w:ascii="Arial" w:cs="Arial" w:eastAsia="Arial" w:hAnsi="Arial"/>
          <w:sz w:val="20"/>
          <w:szCs w:val="20"/>
          <w:u w:val="single" w:color="auto"/>
          <w:color w:val="auto"/>
        </w:rPr>
        <w:t xml:space="preserve"> </w:t>
      </w:r>
      <w:r>
        <w:rPr>
          <w:rFonts w:ascii="Arial" w:cs="Arial" w:eastAsia="Arial" w:hAnsi="Arial"/>
          <w:sz w:val="20"/>
          <w:szCs w:val="20"/>
          <w:color w:val="auto"/>
        </w:rPr>
        <w:t>with the country of origin (manufacture) of the Product(s) in a conspicuous place as legibly, indelibly, and permanently as the nature of the article or container permits.</w:t>
      </w:r>
    </w:p>
    <w:p>
      <w:pPr>
        <w:spacing w:after="0" w:line="200" w:lineRule="exact"/>
        <w:rPr>
          <w:sz w:val="20"/>
          <w:szCs w:val="20"/>
          <w:color w:val="auto"/>
        </w:rPr>
      </w:pPr>
    </w:p>
    <w:p>
      <w:pPr>
        <w:spacing w:after="0" w:line="236" w:lineRule="exact"/>
        <w:rPr>
          <w:sz w:val="20"/>
          <w:szCs w:val="20"/>
          <w:color w:val="auto"/>
        </w:rPr>
      </w:pPr>
    </w:p>
    <w:p>
      <w:pPr>
        <w:spacing w:after="0"/>
        <w:tabs>
          <w:tab w:leader="none" w:pos="1050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4</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7" w:name="page158"/>
    <w:bookmarkEnd w:id="157"/>
    <w:p>
      <w:pPr>
        <w:jc w:val="both"/>
        <w:ind w:left="760" w:hanging="741"/>
        <w:spacing w:after="0" w:line="272" w:lineRule="auto"/>
        <w:tabs>
          <w:tab w:leader="none" w:pos="740" w:val="left"/>
        </w:tabs>
        <w:rPr>
          <w:sz w:val="20"/>
          <w:szCs w:val="20"/>
          <w:color w:val="auto"/>
        </w:rPr>
      </w:pPr>
      <w:r>
        <w:rPr>
          <w:rFonts w:ascii="Arial" w:cs="Arial" w:eastAsia="Arial" w:hAnsi="Arial"/>
          <w:sz w:val="20"/>
          <w:szCs w:val="20"/>
          <w:color w:val="auto"/>
        </w:rPr>
        <w:t>6.10</w:t>
      </w:r>
      <w:r>
        <w:rPr>
          <w:sz w:val="20"/>
          <w:szCs w:val="20"/>
          <w:color w:val="auto"/>
        </w:rPr>
        <w:tab/>
      </w:r>
      <w:r>
        <w:rPr>
          <w:rFonts w:ascii="Arial" w:cs="Arial" w:eastAsia="Arial" w:hAnsi="Arial"/>
          <w:sz w:val="18"/>
          <w:szCs w:val="18"/>
          <w:u w:val="single" w:color="auto"/>
          <w:color w:val="auto"/>
        </w:rPr>
        <w:t>Harmonized Tariff Schedule</w:t>
      </w:r>
      <w:r>
        <w:rPr>
          <w:rFonts w:ascii="Arial" w:cs="Arial" w:eastAsia="Arial" w:hAnsi="Arial"/>
          <w:sz w:val="18"/>
          <w:szCs w:val="18"/>
          <w:color w:val="auto"/>
        </w:rPr>
        <w:t>. Supplier shall provide Gogo with (i) the Harmonized Tariff Schedule number, country of origin</w:t>
      </w:r>
      <w:r>
        <w:rPr>
          <w:rFonts w:ascii="Arial" w:cs="Arial" w:eastAsia="Arial" w:hAnsi="Arial"/>
          <w:sz w:val="18"/>
          <w:szCs w:val="18"/>
          <w:u w:val="single" w:color="auto"/>
          <w:color w:val="auto"/>
        </w:rPr>
        <w:t xml:space="preserve"> </w:t>
      </w:r>
      <w:r>
        <w:rPr>
          <w:rFonts w:ascii="Arial" w:cs="Arial" w:eastAsia="Arial" w:hAnsi="Arial"/>
          <w:sz w:val="18"/>
          <w:szCs w:val="18"/>
          <w:color w:val="auto"/>
        </w:rPr>
        <w:t>information or certificates, manufacturer’s affidavits, applicable free trade agreement (“FTA”) certificates, and any other documents or information Gogo may require to comply with international trade regulations or to lawfully minimize duties, taxes, and fees, and</w:t>
      </w:r>
    </w:p>
    <w:p>
      <w:pPr>
        <w:spacing w:after="0" w:line="1" w:lineRule="exact"/>
        <w:rPr>
          <w:sz w:val="20"/>
          <w:szCs w:val="20"/>
          <w:color w:val="auto"/>
        </w:rPr>
      </w:pPr>
    </w:p>
    <w:p>
      <w:pPr>
        <w:jc w:val="both"/>
        <w:ind w:left="760" w:hanging="10"/>
        <w:spacing w:after="0" w:line="241" w:lineRule="auto"/>
        <w:tabs>
          <w:tab w:leader="none" w:pos="1052" w:val="left"/>
        </w:tabs>
        <w:numPr>
          <w:ilvl w:val="0"/>
          <w:numId w:val="115"/>
        </w:numPr>
        <w:rPr>
          <w:rFonts w:ascii="Arial" w:cs="Arial" w:eastAsia="Arial" w:hAnsi="Arial"/>
          <w:sz w:val="20"/>
          <w:szCs w:val="20"/>
          <w:color w:val="auto"/>
        </w:rPr>
      </w:pPr>
      <w:r>
        <w:rPr>
          <w:rFonts w:ascii="Arial" w:cs="Arial" w:eastAsia="Arial" w:hAnsi="Arial"/>
          <w:sz w:val="20"/>
          <w:szCs w:val="20"/>
          <w:color w:val="auto"/>
        </w:rPr>
        <w:t>FTA certificates for all Product(s) that qualify under one (1) or more FTAs. Supplier shall provide Gogo all documents, records, and other supporting information necessary to substantiate the Product(s)’ qualification under such FTA. Supplier shall exert reasonable efforts to qualify the Product(s) under FTAs.</w:t>
      </w:r>
    </w:p>
    <w:p>
      <w:pPr>
        <w:spacing w:after="0" w:line="88"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20"/>
          <w:szCs w:val="20"/>
          <w:u w:val="single" w:color="auto"/>
          <w:color w:val="auto"/>
        </w:rPr>
        <w:t>Shipping Documents</w:t>
      </w:r>
      <w:r>
        <w:rPr>
          <w:rFonts w:ascii="Arial" w:cs="Arial" w:eastAsia="Arial" w:hAnsi="Arial"/>
          <w:sz w:val="20"/>
          <w:szCs w:val="20"/>
          <w:color w:val="auto"/>
        </w:rPr>
        <w:t>. Within one (1) business day after Supplier delivers the Product(s) to the carrier, Supplier shall send Gogo a</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complete set of shipping documents including the commercial invoice, packing list. The air waybill or bill of lading will include Gogo as the notified party, necessary to release the Product(s) to Gogo’s custody.</w:t>
      </w:r>
    </w:p>
    <w:p>
      <w:pPr>
        <w:spacing w:after="0" w:line="78" w:lineRule="exact"/>
        <w:rPr>
          <w:sz w:val="20"/>
          <w:szCs w:val="20"/>
          <w:color w:val="auto"/>
        </w:rPr>
      </w:pPr>
    </w:p>
    <w:p>
      <w:pPr>
        <w:jc w:val="both"/>
        <w:ind w:left="760" w:hanging="741"/>
        <w:spacing w:after="0" w:line="246" w:lineRule="auto"/>
        <w:tabs>
          <w:tab w:leader="none" w:pos="74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20"/>
          <w:szCs w:val="20"/>
          <w:u w:val="single" w:color="auto"/>
          <w:color w:val="auto"/>
        </w:rPr>
        <w:t>Certification Documents</w:t>
      </w:r>
      <w:r>
        <w:rPr>
          <w:rFonts w:ascii="Arial" w:cs="Arial" w:eastAsia="Arial" w:hAnsi="Arial"/>
          <w:sz w:val="20"/>
          <w:szCs w:val="20"/>
          <w:color w:val="auto"/>
        </w:rPr>
        <w:t>. Where applicable for Airborne Products, Supplier shall attach the necessary airworthiness Certification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document(s), as specified in Exhibit A, to permit installation of the Product on to an aircraft in accordance with the latest revision of the applicable airworthiness authority regulations. The Certification document(s) shall show the configuration / modification status of each Product.</w:t>
      </w:r>
    </w:p>
    <w:p>
      <w:pPr>
        <w:spacing w:after="0" w:line="83"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9"/>
          <w:szCs w:val="19"/>
          <w:u w:val="single" w:color="auto"/>
          <w:color w:val="auto"/>
        </w:rPr>
        <w:t>On Time Delivery (“OTD”)</w:t>
      </w:r>
      <w:r>
        <w:rPr>
          <w:rFonts w:ascii="Arial" w:cs="Arial" w:eastAsia="Arial" w:hAnsi="Arial"/>
          <w:sz w:val="19"/>
          <w:szCs w:val="19"/>
          <w:color w:val="auto"/>
        </w:rPr>
        <w:t>.</w:t>
      </w:r>
    </w:p>
    <w:p>
      <w:pPr>
        <w:spacing w:after="0" w:line="108" w:lineRule="exact"/>
        <w:rPr>
          <w:sz w:val="20"/>
          <w:szCs w:val="20"/>
          <w:color w:val="auto"/>
        </w:rPr>
      </w:pPr>
    </w:p>
    <w:p>
      <w:pPr>
        <w:jc w:val="both"/>
        <w:ind w:left="1500" w:hanging="750"/>
        <w:spacing w:after="0" w:line="250" w:lineRule="auto"/>
        <w:tabs>
          <w:tab w:leader="none" w:pos="15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Supplier shall achieve an OTD of at least [***] based on a six (6) month trailing average of quantity delivered on-time/quantity delivered. In addition, Supplier shall provide an OTD of [***] within ten (10) days of the acknowledged Order delivery date, unless otherwise agreed by the Parties.</w:t>
      </w:r>
    </w:p>
    <w:p>
      <w:pPr>
        <w:spacing w:after="0" w:line="77" w:lineRule="exact"/>
        <w:rPr>
          <w:rFonts w:ascii="Arial" w:cs="Arial" w:eastAsia="Arial" w:hAnsi="Arial"/>
          <w:sz w:val="20"/>
          <w:szCs w:val="20"/>
          <w:color w:val="auto"/>
        </w:rPr>
      </w:pPr>
    </w:p>
    <w:p>
      <w:pPr>
        <w:jc w:val="both"/>
        <w:ind w:left="1500" w:hanging="750"/>
        <w:spacing w:after="0" w:line="246" w:lineRule="auto"/>
        <w:tabs>
          <w:tab w:leader="none" w:pos="15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Following Supplier’s acceptance of an Order, and the specified Product(s) delivery dates therein or delivery dates as otherwise mutually agreed upon between the Parties, if Supplier fails to meet the agreed upon delivery dates for the Product(s), Gogo may in its sole option and discretion, claim liquidated damages for the delay in delivery of the Product(s):</w:t>
      </w:r>
    </w:p>
    <w:p>
      <w:pPr>
        <w:spacing w:after="0" w:line="83" w:lineRule="exact"/>
        <w:rPr>
          <w:rFonts w:ascii="Arial" w:cs="Arial" w:eastAsia="Arial" w:hAnsi="Arial"/>
          <w:sz w:val="20"/>
          <w:szCs w:val="20"/>
          <w:color w:val="auto"/>
        </w:rPr>
      </w:pPr>
    </w:p>
    <w:p>
      <w:pPr>
        <w:ind w:left="2240" w:hanging="747"/>
        <w:spacing w:after="0"/>
        <w:tabs>
          <w:tab w:leader="none" w:pos="224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2240" w:right="20" w:hanging="747"/>
        <w:spacing w:after="0" w:line="260" w:lineRule="auto"/>
        <w:tabs>
          <w:tab w:leader="none" w:pos="224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If Gogo claims liquidated damages Supplier shall apply such amount retroactively to the dates set forth in the applicable Order and issue a corresponding debit note on any payments made.</w:t>
      </w:r>
    </w:p>
    <w:p>
      <w:pPr>
        <w:spacing w:after="0" w:line="68" w:lineRule="exact"/>
        <w:rPr>
          <w:rFonts w:ascii="Arial" w:cs="Arial" w:eastAsia="Arial" w:hAnsi="Arial"/>
          <w:sz w:val="20"/>
          <w:szCs w:val="20"/>
          <w:color w:val="auto"/>
        </w:rPr>
      </w:pPr>
    </w:p>
    <w:p>
      <w:pPr>
        <w:ind w:left="2240" w:hanging="747"/>
        <w:spacing w:after="0"/>
        <w:tabs>
          <w:tab w:leader="none" w:pos="22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Such liquidated damages are intended to represent estimated actual damages and are not intended as a penalty.</w:t>
      </w:r>
    </w:p>
    <w:p>
      <w:pPr>
        <w:spacing w:after="0" w:line="153" w:lineRule="exact"/>
        <w:rPr>
          <w:rFonts w:ascii="Arial" w:cs="Arial" w:eastAsia="Arial" w:hAnsi="Arial"/>
          <w:sz w:val="16"/>
          <w:szCs w:val="16"/>
          <w:color w:val="auto"/>
        </w:rPr>
      </w:pPr>
    </w:p>
    <w:p>
      <w:pPr>
        <w:ind w:left="2240" w:right="20" w:hanging="747"/>
        <w:spacing w:after="0" w:line="260" w:lineRule="auto"/>
        <w:tabs>
          <w:tab w:leader="none" w:pos="224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However Gogo shall not claim liquidated damages under this Section 6.13 unless Gogo itself has incurred costs or damages in relation to the delayed Product(s).</w:t>
      </w:r>
    </w:p>
    <w:p>
      <w:pPr>
        <w:spacing w:after="0" w:line="68" w:lineRule="exact"/>
        <w:rPr>
          <w:rFonts w:ascii="Arial" w:cs="Arial" w:eastAsia="Arial" w:hAnsi="Arial"/>
          <w:sz w:val="20"/>
          <w:szCs w:val="20"/>
          <w:color w:val="auto"/>
        </w:rPr>
      </w:pPr>
    </w:p>
    <w:p>
      <w:pPr>
        <w:jc w:val="both"/>
        <w:ind w:left="1500" w:hanging="750"/>
        <w:spacing w:after="0" w:line="263" w:lineRule="auto"/>
        <w:tabs>
          <w:tab w:leader="none" w:pos="150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In addition to the foregoing, should Supplier fail to meet the OTD, Supplier will take the following corrective actions: (i) Supplier will prepare a corrective action analysis and recovery plan for all part numbers that fail to meet the OTD. (ii) Supplier shall be responsible for funding and absorbing its own costs and expenditures for doing so throughout the period of this Agreement. (iii) Supplier will present the corrective action and recovery plan to Gogo.</w:t>
      </w:r>
    </w:p>
    <w:p>
      <w:pPr>
        <w:spacing w:after="0" w:line="6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6.14</w:t>
      </w:r>
      <w:r>
        <w:rPr>
          <w:sz w:val="20"/>
          <w:szCs w:val="20"/>
          <w:color w:val="auto"/>
        </w:rPr>
        <w:tab/>
      </w:r>
      <w:r>
        <w:rPr>
          <w:rFonts w:ascii="Arial" w:cs="Arial" w:eastAsia="Arial" w:hAnsi="Arial"/>
          <w:sz w:val="16"/>
          <w:szCs w:val="16"/>
          <w:u w:val="single" w:color="auto"/>
          <w:color w:val="auto"/>
        </w:rPr>
        <w:t>Acceptance</w:t>
      </w:r>
      <w:r>
        <w:rPr>
          <w:rFonts w:ascii="Arial" w:cs="Arial" w:eastAsia="Arial" w:hAnsi="Arial"/>
          <w:sz w:val="16"/>
          <w:szCs w:val="16"/>
          <w:color w:val="auto"/>
        </w:rPr>
        <w:t>.</w:t>
      </w:r>
    </w:p>
    <w:p>
      <w:pPr>
        <w:spacing w:after="0" w:line="108" w:lineRule="exact"/>
        <w:rPr>
          <w:sz w:val="20"/>
          <w:szCs w:val="20"/>
          <w:color w:val="auto"/>
        </w:rPr>
      </w:pPr>
    </w:p>
    <w:p>
      <w:pPr>
        <w:jc w:val="both"/>
        <w:ind w:left="1500" w:hanging="750"/>
        <w:spacing w:after="0" w:line="260" w:lineRule="auto"/>
        <w:tabs>
          <w:tab w:leader="none" w:pos="15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Following the delivery of each Product by the Supplier, Gogo may conduct acceptance testing to determine whether the Product was delivered in conformance with the requirements of this Agreement. Gogo may reject (i) any Product that does not conform to any of the Product Warranties described in Section 10 and Exhibit C-Product Support Assurance Agreement; (ii) any Product that is damaged during shipment to Gogo or (iii) any delivery of Products which does not conform with the requirements identified in the applicable Specification or Order.</w:t>
      </w:r>
    </w:p>
    <w:p>
      <w:pPr>
        <w:spacing w:after="0" w:line="72" w:lineRule="exact"/>
        <w:rPr>
          <w:rFonts w:ascii="Arial" w:cs="Arial" w:eastAsia="Arial" w:hAnsi="Arial"/>
          <w:sz w:val="19"/>
          <w:szCs w:val="19"/>
          <w:color w:val="auto"/>
        </w:rPr>
      </w:pPr>
    </w:p>
    <w:p>
      <w:pPr>
        <w:jc w:val="both"/>
        <w:ind w:left="1500" w:hanging="750"/>
        <w:spacing w:after="0" w:line="250" w:lineRule="auto"/>
        <w:tabs>
          <w:tab w:leader="none" w:pos="150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Any Products rejected by Gogo, in accordance with Section 6.14(a), within thirty (30) days after delivery by Supplier may be returned to Supplier, and Supplier shall reimburse Gogo for the Return Price. Such Return Price shall be paid within ten (10) business days after receipt of the returned Products by Supplier.</w:t>
      </w:r>
    </w:p>
    <w:p>
      <w:pPr>
        <w:spacing w:after="0" w:line="72" w:lineRule="exact"/>
        <w:rPr>
          <w:sz w:val="20"/>
          <w:szCs w:val="20"/>
          <w:color w:val="auto"/>
        </w:rPr>
      </w:pPr>
    </w:p>
    <w:p>
      <w:pPr>
        <w:ind w:left="760" w:hanging="752"/>
        <w:spacing w:after="0"/>
        <w:tabs>
          <w:tab w:leader="none" w:pos="760" w:val="left"/>
        </w:tabs>
        <w:numPr>
          <w:ilvl w:val="0"/>
          <w:numId w:val="118"/>
        </w:numPr>
        <w:rPr>
          <w:rFonts w:ascii="Arial" w:cs="Arial" w:eastAsia="Arial" w:hAnsi="Arial"/>
          <w:sz w:val="20"/>
          <w:szCs w:val="20"/>
          <w:color w:val="auto"/>
        </w:rPr>
      </w:pPr>
      <w:r>
        <w:rPr>
          <w:rFonts w:ascii="Arial" w:cs="Arial" w:eastAsia="Arial" w:hAnsi="Arial"/>
          <w:sz w:val="20"/>
          <w:szCs w:val="20"/>
          <w:b w:val="1"/>
          <w:bCs w:val="1"/>
          <w:u w:val="single" w:color="auto"/>
          <w:color w:val="auto"/>
        </w:rPr>
        <w:t>CONFIDENTIALITY.</w:t>
      </w:r>
    </w:p>
    <w:p>
      <w:pPr>
        <w:spacing w:after="0" w:line="114" w:lineRule="exact"/>
        <w:rPr>
          <w:sz w:val="20"/>
          <w:szCs w:val="20"/>
          <w:color w:val="auto"/>
        </w:rPr>
      </w:pPr>
    </w:p>
    <w:p>
      <w:pPr>
        <w:ind w:left="760" w:hanging="741"/>
        <w:spacing w:after="0" w:line="260" w:lineRule="auto"/>
        <w:tabs>
          <w:tab w:leader="none" w:pos="7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u w:val="single" w:color="auto"/>
          <w:color w:val="auto"/>
        </w:rPr>
        <w:t>Obligations</w:t>
      </w:r>
      <w:r>
        <w:rPr>
          <w:rFonts w:ascii="Arial" w:cs="Arial" w:eastAsia="Arial" w:hAnsi="Arial"/>
          <w:sz w:val="20"/>
          <w:szCs w:val="20"/>
          <w:color w:val="auto"/>
        </w:rPr>
        <w:t>. Subject to Section 7.2, Recipient agrees that it will use Discloser’s Confidential Information only for the purpose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discharging its obligations and exercising its rights under this Agreement or any Order (the</w:t>
      </w:r>
    </w:p>
    <w:p>
      <w:pPr>
        <w:spacing w:after="0" w:line="200" w:lineRule="exact"/>
        <w:rPr>
          <w:sz w:val="20"/>
          <w:szCs w:val="20"/>
          <w:color w:val="auto"/>
        </w:rPr>
      </w:pPr>
    </w:p>
    <w:p>
      <w:pPr>
        <w:spacing w:after="0" w:line="227" w:lineRule="exact"/>
        <w:rPr>
          <w:sz w:val="20"/>
          <w:szCs w:val="20"/>
          <w:color w:val="auto"/>
        </w:rPr>
      </w:pPr>
    </w:p>
    <w:p>
      <w:pPr>
        <w:spacing w:after="0"/>
        <w:tabs>
          <w:tab w:leader="none" w:pos="1050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5</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8" w:name="page159"/>
    <w:bookmarkEnd w:id="158"/>
    <w:p>
      <w:pPr>
        <w:jc w:val="both"/>
        <w:ind w:left="760"/>
        <w:spacing w:after="0" w:line="270" w:lineRule="auto"/>
        <w:rPr>
          <w:sz w:val="20"/>
          <w:szCs w:val="20"/>
          <w:color w:val="auto"/>
        </w:rPr>
      </w:pPr>
      <w:r>
        <w:rPr>
          <w:rFonts w:ascii="Arial" w:cs="Arial" w:eastAsia="Arial" w:hAnsi="Arial"/>
          <w:sz w:val="18"/>
          <w:szCs w:val="18"/>
          <w:color w:val="auto"/>
        </w:rPr>
        <w:t>“Permitted Purpose”) and only during the term of this Agreement, and it will hold Discloser’s Confidential Information in strict confidence and not disclose it to any third party except as approved in writing by Discloser. Recipient will protect Discloser’s Confidential Information using the same degree of care that Recipient uses to protect its confidential materials of a similar nature, but in no case will Recipient employ less than a commercially reasonable degree of care. Recipient will not reverse engineer or attempt to derive the composition or underlying information, structure or ideas of Discloser’s Confidential Information. Recipient will only permit access to Discloser’s Confidential Information to those of its employees, authorized representatives, or airline partners (collectively, the “Representatives”) who have a need to know such Confidential Information for the Permitted Purpose, have been informed of the confidential nature of the Confidential Information, and are bound by written confidentiality obligations no less restrictive than those contained herein. All of Recipient’s Representatives shall only use the Confidential Information for the Permitted Purpose and will be responsible for the disclosure and use of Confidential Information as though they were Recipient, and Recipient will be responsible for all violations of this Agreement resulting from the actions of its Representatives. Recipient will immediately notify Discloser upon discovery of any loss or unauthorized disclosure of Discloser’s Confidential Information.</w:t>
      </w:r>
    </w:p>
    <w:p>
      <w:pPr>
        <w:spacing w:after="0" w:line="68" w:lineRule="exact"/>
        <w:rPr>
          <w:sz w:val="20"/>
          <w:szCs w:val="20"/>
          <w:color w:val="auto"/>
        </w:rPr>
      </w:pPr>
    </w:p>
    <w:p>
      <w:pPr>
        <w:jc w:val="both"/>
        <w:ind w:left="760" w:hanging="741"/>
        <w:spacing w:after="0" w:line="270" w:lineRule="auto"/>
        <w:tabs>
          <w:tab w:leader="none" w:pos="7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u w:val="single" w:color="auto"/>
          <w:color w:val="auto"/>
        </w:rPr>
        <w:t>Exclusions</w:t>
      </w:r>
      <w:r>
        <w:rPr>
          <w:rFonts w:ascii="Arial" w:cs="Arial" w:eastAsia="Arial" w:hAnsi="Arial"/>
          <w:sz w:val="18"/>
          <w:szCs w:val="18"/>
          <w:color w:val="auto"/>
        </w:rPr>
        <w:t>. Recipient has no obligations under this Agreement with respect to any portion of Discloser’s Confidential Information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if Recipient can establish that: (a) it was publicly available at the time it was communicated to Recipient by Discloser; (b) it became publicly available subsequent to the time it was communicated to Recipient by Discloser through no fault of Recipient, or Recipient’s Representatives; (c) it was in Recipient’s possession free of any obligation of confidence at the time it was communicated to Recipient by Discloser; (d) it was rightfully communicated to Recipient free of any obligation of confidence subsequent to the time it was communicated to Recipient by Discloser; or (e) it was developed by employees or agents of Recipient independently of and without reference to Discloser’s Confidential Information. In any dispute with respect to these exclusions, Recipient shall have the burden of proof, and such proof shall be by clear and convincing evidence. Recipient will not be in violation of this Agreement with regard to a disclosure that is in response to a requirement of applicable law, an order by a court or other governmental body, or to the extent required by the Securities and Exchange Commission in a securities filing, provided that, if feasible, Recipient provides Discloser with reasonable prior written notice of such disclosure to permit Discloser to seek confidential treatment of such information or otherwise contest or limit the disclosure thereof.</w:t>
      </w:r>
    </w:p>
    <w:p>
      <w:pPr>
        <w:spacing w:after="0" w:line="68" w:lineRule="exact"/>
        <w:rPr>
          <w:sz w:val="20"/>
          <w:szCs w:val="20"/>
          <w:color w:val="auto"/>
        </w:rPr>
      </w:pPr>
    </w:p>
    <w:p>
      <w:pPr>
        <w:jc w:val="both"/>
        <w:ind w:left="760" w:hanging="741"/>
        <w:spacing w:after="0" w:line="257" w:lineRule="auto"/>
        <w:tabs>
          <w:tab w:leader="none" w:pos="7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u w:val="single" w:color="auto"/>
          <w:color w:val="auto"/>
        </w:rPr>
        <w:t>No License Granted</w:t>
      </w:r>
      <w:r>
        <w:rPr>
          <w:rFonts w:ascii="Arial" w:cs="Arial" w:eastAsia="Arial" w:hAnsi="Arial"/>
          <w:sz w:val="19"/>
          <w:szCs w:val="19"/>
          <w:color w:val="auto"/>
        </w:rPr>
        <w:t>. Except as expressly provided otherwise in this Agreement, Discloser will retain all right, title and interest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and to its own Confidential Information. The Parties recognize and agree that, </w:t>
      </w:r>
      <w:r>
        <w:rPr>
          <w:rFonts w:ascii="Arial" w:cs="Arial" w:eastAsia="Arial" w:hAnsi="Arial"/>
          <w:sz w:val="19"/>
          <w:szCs w:val="19"/>
          <w:u w:val="single" w:color="auto"/>
          <w:color w:val="auto"/>
        </w:rPr>
        <w:t>except as expressly provided otherwise in this</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nothing contained in the Agreement will be construed as granting any property rights, by license or otherwise, to any of Discloser’s Confidential Information, or to any work based on such Confidential Information. Recipient has no obligation to comment on any of Discloser’s Confidential Information, but Discloser may exploit any feedback received from Recipient without obligation to Recipient. Recipient will not make, have made, use or sell for any purpose any product or other item using, incorporating, or derived from any of Discloser’s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4657090</wp:posOffset>
            </wp:positionH>
            <wp:positionV relativeFrom="paragraph">
              <wp:posOffset>-762635</wp:posOffset>
            </wp:positionV>
            <wp:extent cx="482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4">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57" w:lineRule="exact"/>
        <w:rPr>
          <w:sz w:val="20"/>
          <w:szCs w:val="20"/>
          <w:color w:val="auto"/>
        </w:rPr>
      </w:pPr>
    </w:p>
    <w:p>
      <w:pPr>
        <w:jc w:val="both"/>
        <w:ind w:left="760" w:hanging="741"/>
        <w:spacing w:after="0" w:line="246" w:lineRule="auto"/>
        <w:tabs>
          <w:tab w:leader="none" w:pos="7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u w:val="single" w:color="auto"/>
          <w:color w:val="auto"/>
        </w:rPr>
        <w:t>Restrictions</w:t>
      </w:r>
      <w:r>
        <w:rPr>
          <w:rFonts w:ascii="Arial" w:cs="Arial" w:eastAsia="Arial" w:hAnsi="Arial"/>
          <w:sz w:val="20"/>
          <w:szCs w:val="20"/>
          <w:color w:val="auto"/>
        </w:rPr>
        <w:t>. Recipient will not reproduce Discloser’s Confidential Information in any form except as required to accomplish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Permitted Purpose. Any reproduction of any Confidential Information will remain Discloser’s property and will contain any and all confidential or proprietary notices or legends that appear on the original. Neither Party will communicate any information to the other in violation of its confidentiality obligations to any third party.</w:t>
      </w:r>
    </w:p>
    <w:p>
      <w:pPr>
        <w:spacing w:after="0" w:line="83" w:lineRule="exact"/>
        <w:rPr>
          <w:sz w:val="20"/>
          <w:szCs w:val="20"/>
          <w:color w:val="auto"/>
        </w:rPr>
      </w:pPr>
    </w:p>
    <w:p>
      <w:pPr>
        <w:jc w:val="both"/>
        <w:ind w:left="760" w:hanging="741"/>
        <w:spacing w:after="0" w:line="242" w:lineRule="auto"/>
        <w:tabs>
          <w:tab w:leader="none" w:pos="74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20"/>
          <w:szCs w:val="20"/>
          <w:color w:val="auto"/>
        </w:rPr>
        <w:t>Recipient’s obligations of confidentiality hereunder will continue in full force and effect for five (5) years from the initial date of disclosure of such Confidential Information, or in the case of any trade secret, for as long as such Confidential Information remains a trade secret. Upon written request of Discloser, Recipient will promptly destroy or return to Discloser all of Discloser’s Confidential Information in any form (including electronic media and including Recipient’s notes or materials that incorporate any of Discloser’s Confidential Information), except as described in the following sentence. Recipient shall not, in connection with the foregoing obligations, be required to delete Confidential Information held electronically in archive or backup systems in accordance with general systems archiving or backup policies, and Recipient’s obligations under this Agreement will continue to apply to such Confidential Information.</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8"/>
          <w:szCs w:val="18"/>
          <w:color w:val="auto"/>
        </w:rPr>
        <w:t>The terms and conditions of this Section 7 shall survive expiration or any termination of this Agreement or applicable attachment.</w:t>
      </w:r>
    </w:p>
    <w:p>
      <w:pPr>
        <w:spacing w:after="0" w:line="200" w:lineRule="exact"/>
        <w:rPr>
          <w:sz w:val="20"/>
          <w:szCs w:val="20"/>
          <w:color w:val="auto"/>
        </w:rPr>
      </w:pPr>
    </w:p>
    <w:p>
      <w:pPr>
        <w:spacing w:after="0" w:line="374" w:lineRule="exact"/>
        <w:rPr>
          <w:sz w:val="20"/>
          <w:szCs w:val="20"/>
          <w:color w:val="auto"/>
        </w:rPr>
      </w:pPr>
    </w:p>
    <w:p>
      <w:pPr>
        <w:spacing w:after="0"/>
        <w:tabs>
          <w:tab w:leader="none" w:pos="1050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6</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9" w:name="page160"/>
    <w:bookmarkEnd w:id="159"/>
    <w:p>
      <w:pPr>
        <w:ind w:left="760" w:hanging="752"/>
        <w:spacing w:after="0"/>
        <w:tabs>
          <w:tab w:leader="none" w:pos="760" w:val="left"/>
        </w:tabs>
        <w:numPr>
          <w:ilvl w:val="0"/>
          <w:numId w:val="119"/>
        </w:numPr>
        <w:rPr>
          <w:rFonts w:ascii="Arial" w:cs="Arial" w:eastAsia="Arial" w:hAnsi="Arial"/>
          <w:sz w:val="20"/>
          <w:szCs w:val="20"/>
          <w:color w:val="auto"/>
        </w:rPr>
      </w:pPr>
      <w:r>
        <w:rPr>
          <w:rFonts w:ascii="Arial" w:cs="Arial" w:eastAsia="Arial" w:hAnsi="Arial"/>
          <w:sz w:val="20"/>
          <w:szCs w:val="20"/>
          <w:b w:val="1"/>
          <w:bCs w:val="1"/>
          <w:u w:val="single" w:color="auto"/>
          <w:color w:val="auto"/>
        </w:rPr>
        <w:t>TERMINATION.</w:t>
      </w:r>
    </w:p>
    <w:p>
      <w:pPr>
        <w:spacing w:after="0" w:line="11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8.1</w:t>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107" w:lineRule="exact"/>
        <w:rPr>
          <w:rFonts w:ascii="Arial" w:cs="Arial" w:eastAsia="Arial" w:hAnsi="Arial"/>
          <w:sz w:val="20"/>
          <w:szCs w:val="20"/>
          <w:color w:val="auto"/>
        </w:rPr>
      </w:pPr>
    </w:p>
    <w:p>
      <w:pPr>
        <w:jc w:val="both"/>
        <w:ind w:left="1500" w:hanging="750"/>
        <w:spacing w:after="0" w:line="250" w:lineRule="auto"/>
        <w:tabs>
          <w:tab w:leader="none" w:pos="150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Supplier may terminate this Agreement in the event Supplier provides written notice to Gogo in accordance with Section 17.7 that Gogo failed to pay an undisputed invoice in accordance with Section 4.1 and Gogo fails to pay the undisputed amounts due within thirty (30) days from receipt of such notice.</w:t>
      </w:r>
    </w:p>
    <w:p>
      <w:pPr>
        <w:spacing w:after="0" w:line="77" w:lineRule="exact"/>
        <w:rPr>
          <w:rFonts w:ascii="Arial" w:cs="Arial" w:eastAsia="Arial" w:hAnsi="Arial"/>
          <w:sz w:val="20"/>
          <w:szCs w:val="20"/>
          <w:color w:val="auto"/>
        </w:rPr>
      </w:pPr>
    </w:p>
    <w:p>
      <w:pPr>
        <w:jc w:val="both"/>
        <w:ind w:left="1500" w:hanging="750"/>
        <w:spacing w:after="0" w:line="308" w:lineRule="auto"/>
        <w:tabs>
          <w:tab w:leader="none" w:pos="15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Gogo or Supplier may terminate this Agreement, immediately upon written notice of termination to the other Party, in the event the other Party: (i) becomes insolvent; (ii) makes an assignment for the benefit of creditors; (iii) files a voluntary bankruptcy petition; (iv) acquiesces to any involuntary bankruptcy petition; (v) is adjudicated bankrupt; (vi) stops or suspends payment of all or a material part of its debts or is unable to pay its debts as they fall due; (vii) ceases to carry on all or a substantial part of its business; (viii) begins negotiations for, takes any proceedings concerning, proposes or makes any agreement for the deferral, rescheduling or other readjustment, reorganization, compromise, general assignment of or an arrangement or composition with or for the benefit of some or all of its creditors of all or substantially all of its debts, or for a moratorium in respect of or affecting all or substantially all of its debts; (ix) takes any step with a view to the administration, winding up or bankruptcy of the Party; or (x) takes any step to enforce security over, or a distress, execution or other similar process is levied or served against all or substantially all of the assets or undertaking of, the Party including the appointment of a receiver, administrative receiver, trustee in bankruptcy, manager or similar officer.</w:t>
      </w:r>
    </w:p>
    <w:p>
      <w:pPr>
        <w:spacing w:after="0" w:line="271" w:lineRule="exact"/>
        <w:rPr>
          <w:rFonts w:ascii="Arial" w:cs="Arial" w:eastAsia="Arial" w:hAnsi="Arial"/>
          <w:sz w:val="16"/>
          <w:szCs w:val="16"/>
          <w:color w:val="auto"/>
        </w:rPr>
      </w:pPr>
    </w:p>
    <w:p>
      <w:pPr>
        <w:ind w:left="1500" w:hanging="750"/>
        <w:spacing w:after="0"/>
        <w:tabs>
          <w:tab w:leader="none" w:pos="150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Gogo may terminate this Agreement for any or no reason upon thirty (30) days written notice to Supplier.</w:t>
      </w:r>
    </w:p>
    <w:p>
      <w:pPr>
        <w:spacing w:after="0" w:line="107" w:lineRule="exact"/>
        <w:rPr>
          <w:rFonts w:ascii="Arial" w:cs="Arial" w:eastAsia="Arial" w:hAnsi="Arial"/>
          <w:sz w:val="20"/>
          <w:szCs w:val="20"/>
          <w:color w:val="auto"/>
        </w:rPr>
      </w:pPr>
    </w:p>
    <w:p>
      <w:pPr>
        <w:jc w:val="both"/>
        <w:ind w:left="1500" w:hanging="750"/>
        <w:spacing w:after="0" w:line="250" w:lineRule="auto"/>
        <w:tabs>
          <w:tab w:leader="none" w:pos="150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Gogo or Supplier may terminate this Agreement immediately upon written notice of termination, in the event of a material breach of this Agreement by the other Party, if such breach continues uncured for a period of thirty (30) days after written notice of such breach.</w:t>
      </w:r>
    </w:p>
    <w:p>
      <w:pPr>
        <w:spacing w:after="0" w:line="77" w:lineRule="exact"/>
        <w:rPr>
          <w:rFonts w:ascii="Arial" w:cs="Arial" w:eastAsia="Arial" w:hAnsi="Arial"/>
          <w:sz w:val="20"/>
          <w:szCs w:val="20"/>
          <w:color w:val="auto"/>
        </w:rPr>
      </w:pPr>
    </w:p>
    <w:p>
      <w:pPr>
        <w:ind w:left="1500" w:hanging="750"/>
        <w:spacing w:after="0" w:line="260" w:lineRule="auto"/>
        <w:tabs>
          <w:tab w:leader="none" w:pos="150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Gogo may terminate this Agreement and all Orders hereunder in connection with the consummation of a Change of Control Transaction as set forth in Section 17.4(b)(iii).</w:t>
      </w:r>
    </w:p>
    <w:p>
      <w:pPr>
        <w:spacing w:after="0" w:line="68" w:lineRule="exact"/>
        <w:rPr>
          <w:rFonts w:ascii="Arial" w:cs="Arial" w:eastAsia="Arial" w:hAnsi="Arial"/>
          <w:sz w:val="20"/>
          <w:szCs w:val="20"/>
          <w:color w:val="auto"/>
        </w:rPr>
      </w:pPr>
    </w:p>
    <w:p>
      <w:pPr>
        <w:ind w:left="1500" w:hanging="750"/>
        <w:spacing w:after="0"/>
        <w:tabs>
          <w:tab w:leader="none" w:pos="150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Either Party may terminate this Agreement in connection with a Force Majeure Event as set forth in Section 17.2.</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u w:val="single" w:color="auto"/>
          <w:color w:val="auto"/>
        </w:rPr>
        <w:t>Consequences of Termination</w:t>
      </w:r>
      <w:r>
        <w:rPr>
          <w:rFonts w:ascii="Arial" w:cs="Arial" w:eastAsia="Arial" w:hAnsi="Arial"/>
          <w:sz w:val="18"/>
          <w:szCs w:val="18"/>
          <w:color w:val="auto"/>
        </w:rPr>
        <w:t>. Upon the termination of this Agreement:</w:t>
      </w:r>
    </w:p>
    <w:p>
      <w:pPr>
        <w:spacing w:after="0" w:line="108" w:lineRule="exact"/>
        <w:rPr>
          <w:sz w:val="20"/>
          <w:szCs w:val="20"/>
          <w:color w:val="auto"/>
        </w:rPr>
      </w:pPr>
    </w:p>
    <w:p>
      <w:pPr>
        <w:jc w:val="both"/>
        <w:ind w:left="1500" w:hanging="750"/>
        <w:spacing w:after="0" w:line="250" w:lineRule="auto"/>
        <w:tabs>
          <w:tab w:leader="none" w:pos="150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 final invoice including all fees and charges for Products and Services performed and expenses incurred prior to and including the effective date of termination shall be generated by Supplier as set forth in each applicable Exhibit, and Gogo shall pay such bill in accordance with Section 4.1.</w:t>
      </w:r>
    </w:p>
    <w:p>
      <w:pPr>
        <w:spacing w:after="0" w:line="77" w:lineRule="exact"/>
        <w:rPr>
          <w:rFonts w:ascii="Arial" w:cs="Arial" w:eastAsia="Arial" w:hAnsi="Arial"/>
          <w:sz w:val="20"/>
          <w:szCs w:val="20"/>
          <w:color w:val="auto"/>
        </w:rPr>
      </w:pPr>
    </w:p>
    <w:p>
      <w:pPr>
        <w:ind w:left="1500" w:hanging="750"/>
        <w:spacing w:after="0" w:line="260" w:lineRule="auto"/>
        <w:tabs>
          <w:tab w:leader="none" w:pos="150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Supplier shall deliver all ordered Products to Gogo. Upon Gogo’s compliance with its obligations pursuant to Section 4.1, Gogo shall be deemed to have paid Supplier for the applicable Products.</w:t>
      </w:r>
    </w:p>
    <w:p>
      <w:pPr>
        <w:spacing w:after="0" w:line="68" w:lineRule="exact"/>
        <w:rPr>
          <w:rFonts w:ascii="Arial" w:cs="Arial" w:eastAsia="Arial" w:hAnsi="Arial"/>
          <w:sz w:val="20"/>
          <w:szCs w:val="20"/>
          <w:color w:val="auto"/>
        </w:rPr>
      </w:pPr>
    </w:p>
    <w:p>
      <w:pPr>
        <w:ind w:left="1500" w:hanging="750"/>
        <w:spacing w:after="0"/>
        <w:tabs>
          <w:tab w:leader="none" w:pos="150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Supplier’s warranty and Product support obligations shall survive the termination of this Agreement.</w:t>
      </w:r>
    </w:p>
    <w:p>
      <w:pPr>
        <w:spacing w:after="0" w:line="107" w:lineRule="exact"/>
        <w:rPr>
          <w:rFonts w:ascii="Arial" w:cs="Arial" w:eastAsia="Arial" w:hAnsi="Arial"/>
          <w:sz w:val="20"/>
          <w:szCs w:val="20"/>
          <w:color w:val="auto"/>
        </w:rPr>
      </w:pPr>
    </w:p>
    <w:p>
      <w:pPr>
        <w:ind w:left="1500" w:right="20" w:hanging="750"/>
        <w:spacing w:after="0" w:line="260" w:lineRule="auto"/>
        <w:tabs>
          <w:tab w:leader="none" w:pos="150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If this Agreement is terminated by Gogo under Section 8.1(b) or 8.1(d) in order to provide Gogo continuity for its business, including manufacturing, procuring, and supporting the Products, Airspan will [***].</w:t>
      </w:r>
    </w:p>
    <w:p>
      <w:pPr>
        <w:spacing w:after="0" w:line="62" w:lineRule="exact"/>
        <w:rPr>
          <w:rFonts w:ascii="Arial" w:cs="Arial" w:eastAsia="Arial" w:hAnsi="Arial"/>
          <w:sz w:val="20"/>
          <w:szCs w:val="20"/>
          <w:color w:val="auto"/>
        </w:rPr>
      </w:pPr>
    </w:p>
    <w:p>
      <w:pPr>
        <w:ind w:left="760" w:hanging="752"/>
        <w:spacing w:after="0"/>
        <w:tabs>
          <w:tab w:leader="none" w:pos="760" w:val="left"/>
        </w:tabs>
        <w:numPr>
          <w:ilvl w:val="0"/>
          <w:numId w:val="121"/>
        </w:numPr>
        <w:rPr>
          <w:rFonts w:ascii="Arial" w:cs="Arial" w:eastAsia="Arial" w:hAnsi="Arial"/>
          <w:sz w:val="20"/>
          <w:szCs w:val="20"/>
          <w:color w:val="auto"/>
        </w:rPr>
      </w:pPr>
      <w:r>
        <w:rPr>
          <w:rFonts w:ascii="Arial" w:cs="Arial" w:eastAsia="Arial" w:hAnsi="Arial"/>
          <w:sz w:val="20"/>
          <w:szCs w:val="20"/>
          <w:b w:val="1"/>
          <w:bCs w:val="1"/>
          <w:u w:val="single" w:color="auto"/>
          <w:color w:val="auto"/>
        </w:rPr>
        <w:t>INSURANCE</w:t>
      </w:r>
      <w:r>
        <w:rPr>
          <w:rFonts w:ascii="Arial" w:cs="Arial" w:eastAsia="Arial" w:hAnsi="Arial"/>
          <w:sz w:val="20"/>
          <w:szCs w:val="20"/>
          <w:color w:val="auto"/>
        </w:rPr>
        <w:t>.</w:t>
      </w:r>
    </w:p>
    <w:p>
      <w:pPr>
        <w:spacing w:after="0" w:line="114" w:lineRule="exact"/>
        <w:rPr>
          <w:sz w:val="20"/>
          <w:szCs w:val="20"/>
          <w:color w:val="auto"/>
        </w:rPr>
      </w:pPr>
    </w:p>
    <w:p>
      <w:pPr>
        <w:jc w:val="both"/>
        <w:ind w:left="760" w:hanging="741"/>
        <w:spacing w:after="0" w:line="255" w:lineRule="auto"/>
        <w:tabs>
          <w:tab w:leader="none" w:pos="7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color w:val="auto"/>
        </w:rPr>
        <w:t>Supplier shall maintain during the term of this Agreement, at its own expense, with insurance companies rated A- VIII or better by A.M. Best, the following insurance coverage: (a) Workers’ Compensation including Occupational Disease insurance, in compliance with the statutory requirements of the state, province or other jurisdiction in which the work is performed, and Employers’ Liability insurance with an insured limit of at least $1,000,000 per occurrence.; (b) Commercial General Liability insurance on an occurrence basis with a minimum amount of $1,000,000 per occurrence and $2,000,000 in the aggregate for bodily injury including death, personal injury, and property damage including loss of use and also covering products/completed operations liability, broad form property damage, independent contractor coverage, and contractual liability. Cross-liability coverage as would be achieved under the standard ISO separation of insured’s clause shall be included; (c) Umbrella or Excess Liability insurance on an occurrence basis of at least $5,000,000 per occurrence; (d) Auto liability insurance covering all vehicles owned by or registered in the name of Supplier or its affiliates and including liability for hired, rented or other non-owned vehicles with a minimum insured limit of $1,000,000 per occurrence; and (e) Professional Liability or Errors and Omissions insurance with a limit not less than $5,000,000.</w:t>
      </w:r>
    </w:p>
    <w:p>
      <w:pPr>
        <w:spacing w:after="0" w:line="184"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The Workers’ Compensation and Occupational Disease insurance coverage in Section 9.1(a) above shall include a waiver of subrogation against Customer. Insurance coverage in Section 9.1(b) above shall (i) name Customer, its</w:t>
      </w:r>
    </w:p>
    <w:p>
      <w:pPr>
        <w:spacing w:after="0" w:line="200" w:lineRule="exact"/>
        <w:rPr>
          <w:sz w:val="20"/>
          <w:szCs w:val="20"/>
          <w:color w:val="auto"/>
        </w:rPr>
      </w:pPr>
    </w:p>
    <w:p>
      <w:pPr>
        <w:spacing w:after="0" w:line="335" w:lineRule="exact"/>
        <w:rPr>
          <w:sz w:val="20"/>
          <w:szCs w:val="20"/>
          <w:color w:val="auto"/>
        </w:rPr>
      </w:pPr>
    </w:p>
    <w:p>
      <w:pPr>
        <w:spacing w:after="0"/>
        <w:tabs>
          <w:tab w:leader="none" w:pos="1050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7</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0" w:name="page161"/>
    <w:bookmarkEnd w:id="160"/>
    <w:p>
      <w:pPr>
        <w:jc w:val="both"/>
        <w:ind w:left="760"/>
        <w:spacing w:after="0" w:line="263" w:lineRule="auto"/>
        <w:rPr>
          <w:sz w:val="20"/>
          <w:szCs w:val="20"/>
          <w:color w:val="auto"/>
        </w:rPr>
      </w:pPr>
      <w:r>
        <w:rPr>
          <w:rFonts w:ascii="Arial" w:cs="Arial" w:eastAsia="Arial" w:hAnsi="Arial"/>
          <w:sz w:val="19"/>
          <w:szCs w:val="19"/>
          <w:color w:val="auto"/>
        </w:rPr>
        <w:t>parent, subsidiaries and affiliates as additional insured; (ii) designate Customer as primary with respect to, and not contributing to or in excess of, any other similar insurance maintained by Customer; and (iii) include a waiver of subrogation against Customer. Insurance coverage in Section 9.1(c) and Section 9.1(e) above shall (i) name Customer, its parent, subsidiaries and affiliates as an additional insured; and (ii) include a waiver of subrogation against Customer.</w:t>
      </w:r>
    </w:p>
    <w:p>
      <w:pPr>
        <w:spacing w:after="0" w:line="176" w:lineRule="exact"/>
        <w:rPr>
          <w:sz w:val="20"/>
          <w:szCs w:val="20"/>
          <w:color w:val="auto"/>
        </w:rPr>
      </w:pPr>
    </w:p>
    <w:p>
      <w:pPr>
        <w:jc w:val="both"/>
        <w:ind w:left="760" w:hanging="741"/>
        <w:spacing w:after="0" w:line="287" w:lineRule="auto"/>
        <w:tabs>
          <w:tab w:leader="none" w:pos="7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9"/>
          <w:szCs w:val="19"/>
          <w:color w:val="auto"/>
        </w:rPr>
        <w:t>For all above mentioned policies such endorsements shall be evidenced on a certificate of insurance furnished to Customer and must provide Customer with at least 30 days’ written notice in the event of cancellation of any such policy.</w:t>
      </w:r>
    </w:p>
    <w:p>
      <w:pPr>
        <w:spacing w:after="0" w:line="152"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Supplier will ensure that any company, vendor or subcontractor being engaged for work under this Agreement, including without limitation under any statement of work, is bound to the same terms under this Section and that appropriate Certificates of Insurance or other evidence of such insurance coverage shall be provided to Customer.</w:t>
      </w:r>
    </w:p>
    <w:p>
      <w:pPr>
        <w:spacing w:after="0" w:line="180" w:lineRule="exact"/>
        <w:rPr>
          <w:sz w:val="20"/>
          <w:szCs w:val="20"/>
          <w:color w:val="auto"/>
        </w:rPr>
      </w:pPr>
    </w:p>
    <w:p>
      <w:pPr>
        <w:ind w:left="760" w:hanging="752"/>
        <w:spacing w:after="0" w:line="267" w:lineRule="auto"/>
        <w:tabs>
          <w:tab w:leader="none" w:pos="760" w:val="left"/>
        </w:tabs>
        <w:numPr>
          <w:ilvl w:val="0"/>
          <w:numId w:val="122"/>
        </w:numPr>
        <w:rPr>
          <w:rFonts w:ascii="Arial" w:cs="Arial" w:eastAsia="Arial" w:hAnsi="Arial"/>
          <w:sz w:val="20"/>
          <w:szCs w:val="20"/>
          <w:color w:val="auto"/>
        </w:rPr>
      </w:pPr>
      <w:r>
        <w:rPr>
          <w:rFonts w:ascii="Arial" w:cs="Arial" w:eastAsia="Arial" w:hAnsi="Arial"/>
          <w:sz w:val="20"/>
          <w:szCs w:val="20"/>
          <w:b w:val="1"/>
          <w:bCs w:val="1"/>
          <w:u w:val="single" w:color="auto"/>
          <w:color w:val="auto"/>
        </w:rPr>
        <w:t>PRODUCT WARRANTIES</w:t>
      </w:r>
      <w:r>
        <w:rPr>
          <w:rFonts w:ascii="Arial" w:cs="Arial" w:eastAsia="Arial" w:hAnsi="Arial"/>
          <w:sz w:val="20"/>
          <w:szCs w:val="20"/>
          <w:color w:val="auto"/>
        </w:rPr>
        <w:t>. The Product warranty and out of warranty Product repairs are set forth in Exhibit C-Product Support</w:t>
      </w:r>
      <w:r>
        <w:rPr>
          <w:rFonts w:ascii="Arial" w:cs="Arial" w:eastAsia="Arial" w:hAnsi="Arial"/>
          <w:sz w:val="20"/>
          <w:szCs w:val="20"/>
          <w:b w:val="1"/>
          <w:bCs w:val="1"/>
          <w:color w:val="auto"/>
        </w:rPr>
        <w:t xml:space="preserve"> </w:t>
      </w:r>
      <w:r>
        <w:rPr>
          <w:rFonts w:ascii="Arial" w:cs="Arial" w:eastAsia="Arial" w:hAnsi="Arial"/>
          <w:sz w:val="20"/>
          <w:szCs w:val="20"/>
          <w:color w:val="auto"/>
        </w:rPr>
        <w:t>Assurance Agreement.</w:t>
      </w:r>
    </w:p>
    <w:p>
      <w:pPr>
        <w:spacing w:after="0" w:line="163" w:lineRule="exact"/>
        <w:rPr>
          <w:rFonts w:ascii="Arial" w:cs="Arial" w:eastAsia="Arial" w:hAnsi="Arial"/>
          <w:sz w:val="20"/>
          <w:szCs w:val="20"/>
          <w:color w:val="auto"/>
        </w:rPr>
      </w:pPr>
    </w:p>
    <w:p>
      <w:pPr>
        <w:ind w:left="760" w:hanging="752"/>
        <w:spacing w:after="0"/>
        <w:tabs>
          <w:tab w:leader="none" w:pos="760" w:val="left"/>
        </w:tabs>
        <w:numPr>
          <w:ilvl w:val="0"/>
          <w:numId w:val="122"/>
        </w:numPr>
        <w:rPr>
          <w:rFonts w:ascii="Arial" w:cs="Arial" w:eastAsia="Arial" w:hAnsi="Arial"/>
          <w:sz w:val="20"/>
          <w:szCs w:val="20"/>
          <w:color w:val="auto"/>
        </w:rPr>
      </w:pPr>
      <w:r>
        <w:rPr>
          <w:rFonts w:ascii="Arial" w:cs="Arial" w:eastAsia="Arial" w:hAnsi="Arial"/>
          <w:sz w:val="20"/>
          <w:szCs w:val="20"/>
          <w:b w:val="1"/>
          <w:bCs w:val="1"/>
          <w:u w:val="single" w:color="auto"/>
          <w:color w:val="auto"/>
        </w:rPr>
        <w:t>INDEMNIFICATION</w:t>
      </w:r>
      <w:r>
        <w:rPr>
          <w:rFonts w:ascii="Arial" w:cs="Arial" w:eastAsia="Arial" w:hAnsi="Arial"/>
          <w:sz w:val="20"/>
          <w:szCs w:val="20"/>
          <w:color w:val="auto"/>
        </w:rPr>
        <w:t>.</w:t>
      </w:r>
    </w:p>
    <w:p>
      <w:pPr>
        <w:spacing w:after="0" w:line="114" w:lineRule="exact"/>
        <w:rPr>
          <w:sz w:val="20"/>
          <w:szCs w:val="20"/>
          <w:color w:val="auto"/>
        </w:rPr>
      </w:pPr>
    </w:p>
    <w:p>
      <w:pPr>
        <w:jc w:val="both"/>
        <w:ind w:left="760" w:hanging="741"/>
        <w:spacing w:after="0" w:line="255" w:lineRule="auto"/>
        <w:tabs>
          <w:tab w:leader="none" w:pos="7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u w:val="single" w:color="auto"/>
          <w:color w:val="auto"/>
        </w:rPr>
        <w:t>Indemnification by Supplier</w:t>
      </w:r>
      <w:r>
        <w:rPr>
          <w:rFonts w:ascii="Arial" w:cs="Arial" w:eastAsia="Arial" w:hAnsi="Arial"/>
          <w:sz w:val="19"/>
          <w:szCs w:val="19"/>
          <w:color w:val="auto"/>
        </w:rPr>
        <w:t>. Supplier shall indemnify, defend (at Supplier’s expense) and hold Gogo, its Affiliates and their</w:t>
      </w:r>
      <w:r>
        <w:rPr>
          <w:rFonts w:ascii="Arial" w:cs="Arial" w:eastAsia="Arial" w:hAnsi="Arial"/>
          <w:sz w:val="19"/>
          <w:szCs w:val="19"/>
          <w:u w:val="single" w:color="auto"/>
          <w:color w:val="auto"/>
        </w:rPr>
        <w:t xml:space="preserve"> </w:t>
      </w:r>
      <w:r>
        <w:rPr>
          <w:rFonts w:ascii="Arial" w:cs="Arial" w:eastAsia="Arial" w:hAnsi="Arial"/>
          <w:sz w:val="19"/>
          <w:szCs w:val="19"/>
          <w:color w:val="auto"/>
        </w:rPr>
        <w:t>respective officers, directors, agents and employees harmless from and against any court costs, reasonable attorneys’ fees and expenses, settlements and settlement expenses, third party liabilities, claims, penalties, fines, reasonable costs of investigation arising out of or resulting from: (a) any bodily injury or real or tangible personal property damage arising out of Supplier’s negligence or willful misconduct; and (b) any third-party claim that such third party’s rights in Intellectual Property are infringed, misappropriated or violated by any Product (including any Supplier tools incorporated into a Product) except to the extent such infringement, misappropriation, or violation arises from the use of such Product in combination with any other product not provided or approved by Airspan or by any modification to the Product(s) made by Gogo. To the extent permissible, Supplier shall pass through to Gogo any indemnification provided to Supplier by third-party suppliers for such third-party services and third-party products, along with any warranties (likewise, to the extent permissible), further to its obligation under the Exhibit C Product Support Assurance Agreement of this Agreement.</w:t>
      </w:r>
    </w:p>
    <w:p>
      <w:pPr>
        <w:spacing w:after="0" w:line="79" w:lineRule="exact"/>
        <w:rPr>
          <w:sz w:val="20"/>
          <w:szCs w:val="20"/>
          <w:color w:val="auto"/>
        </w:rPr>
      </w:pPr>
    </w:p>
    <w:p>
      <w:pPr>
        <w:jc w:val="both"/>
        <w:ind w:left="760"/>
        <w:spacing w:after="0" w:line="256" w:lineRule="auto"/>
        <w:rPr>
          <w:sz w:val="20"/>
          <w:szCs w:val="20"/>
          <w:color w:val="auto"/>
        </w:rPr>
      </w:pPr>
      <w:r>
        <w:rPr>
          <w:rFonts w:ascii="Arial" w:cs="Arial" w:eastAsia="Arial" w:hAnsi="Arial"/>
          <w:sz w:val="19"/>
          <w:szCs w:val="19"/>
          <w:color w:val="auto"/>
        </w:rPr>
        <w:t>If any of the Products or any portion thereof is held, or in Supplier’s reasonable opinion is likely to be held in any such suit to constitute an infringement, misappropriation or violation of the rights of a third party, Supplier shall promptly, at its expense and option, either: (i) secure for Gogo the right to continue the use of such Product; or (ii) replace such Product with a substantially equivalent item that is not subject to any such claim, or modify such Product so that it becomes no longer subject to any such claim; provided, however, that after any such replacement or modification, the Product must continue to substantially conform to the Specifications, and further provided, that any such modified or replaced Product shall be subject to all Supplier warranties contained herein. If Supplier is unable to procure the right to continued use of such Product, or to modify or replace such Product, as provided in clauses (i) and (ii) of the immediately preceding sentence, then Gogo shall return such Product to Supplier, and Supplier shall refund to Gogo the amount paid to Supplier for such Products.</w:t>
      </w:r>
    </w:p>
    <w:p>
      <w:pPr>
        <w:spacing w:after="0" w:line="76" w:lineRule="exact"/>
        <w:rPr>
          <w:sz w:val="20"/>
          <w:szCs w:val="20"/>
          <w:color w:val="auto"/>
        </w:rPr>
      </w:pPr>
    </w:p>
    <w:p>
      <w:pPr>
        <w:jc w:val="both"/>
        <w:ind w:left="760" w:hanging="741"/>
        <w:spacing w:after="0" w:line="282" w:lineRule="auto"/>
        <w:tabs>
          <w:tab w:leader="none" w:pos="7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u w:val="single" w:color="auto"/>
          <w:color w:val="auto"/>
        </w:rPr>
        <w:t>Indemnification for breach of contract</w:t>
      </w:r>
      <w:r>
        <w:rPr>
          <w:rFonts w:ascii="Arial" w:cs="Arial" w:eastAsia="Arial" w:hAnsi="Arial"/>
          <w:sz w:val="18"/>
          <w:szCs w:val="18"/>
          <w:color w:val="auto"/>
        </w:rPr>
        <w:t>. Supplier shall indemnify, defend (at Supplier’s expense) and hold Gogo, its Affiliates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their respective officers, directors, agents and employees harmless from and against any court costs, reasonable attorneys’ fees and expenses, settlements and settlement expenses, third party liabilities, claims, penalties, fines, reasonable costs of investigation arising out of or resulting from the breach of Supplier’s obligations set forth in this Agreement.</w:t>
      </w:r>
    </w:p>
    <w:p>
      <w:pPr>
        <w:spacing w:after="0" w:line="161" w:lineRule="exact"/>
        <w:rPr>
          <w:sz w:val="20"/>
          <w:szCs w:val="20"/>
          <w:color w:val="auto"/>
        </w:rPr>
      </w:pPr>
    </w:p>
    <w:p>
      <w:pPr>
        <w:jc w:val="both"/>
        <w:ind w:left="760" w:hanging="741"/>
        <w:spacing w:after="0" w:line="269" w:lineRule="auto"/>
        <w:tabs>
          <w:tab w:leader="none" w:pos="7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After receipt by Gogo of a notice of any claim or the commencement of any action, Gogo</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(a) notify the Supplier in writing of any such claim; (b) provide the Supplier with reasonable assistance to settle or defend such claim, at the Supplier’s own expense; and (c) grant to the Supplier the right to control the defense and/or settlement of such claim, at the Supplier’s own expense; provided, however, that: (i) the failure to so notify, provide assistance and grant authority and control shall only relieve the Supplier of its obligation to Gogo to the extent that the Supplier is prejudiced thereby; (ii) the Supplier shall not, without Gogo’s consent (such consent not to be unreasonably withheld or delayed), agree to any settlement that: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 makes any admission on behalf of</w:t>
      </w:r>
    </w:p>
    <w:p>
      <w:pPr>
        <w:spacing w:after="0" w:line="200" w:lineRule="exact"/>
        <w:rPr>
          <w:sz w:val="20"/>
          <w:szCs w:val="20"/>
          <w:color w:val="auto"/>
        </w:rPr>
      </w:pPr>
    </w:p>
    <w:p>
      <w:pPr>
        <w:spacing w:after="0" w:line="358" w:lineRule="exact"/>
        <w:rPr>
          <w:sz w:val="20"/>
          <w:szCs w:val="20"/>
          <w:color w:val="auto"/>
        </w:rPr>
      </w:pPr>
    </w:p>
    <w:p>
      <w:pPr>
        <w:spacing w:after="0"/>
        <w:tabs>
          <w:tab w:leader="none" w:pos="1050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8</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1" w:name="page162"/>
    <w:bookmarkEnd w:id="161"/>
    <w:p>
      <w:pPr>
        <w:jc w:val="both"/>
        <w:ind w:left="760"/>
        <w:spacing w:after="0" w:line="269" w:lineRule="auto"/>
        <w:rPr>
          <w:sz w:val="20"/>
          <w:szCs w:val="20"/>
          <w:color w:val="auto"/>
        </w:rPr>
      </w:pPr>
      <w:r>
        <w:rPr>
          <w:rFonts w:ascii="Arial" w:cs="Arial" w:eastAsia="Arial" w:hAnsi="Arial"/>
          <w:sz w:val="19"/>
          <w:szCs w:val="19"/>
          <w:color w:val="auto"/>
        </w:rPr>
        <w:t>Gogo; or (B) consents to any injunction against Gogo (except an injunction relating solely to Gogo’s continued use of any infringing Product or Gogo Materials); and (iii) Gogo shall have the right, at its expense, to monitor any legal proceeding through legal counsel of its choosing, but shall have no right to settle a claim without the Supplier’s written consent.</w:t>
      </w:r>
    </w:p>
    <w:p>
      <w:pPr>
        <w:spacing w:after="0" w:line="164" w:lineRule="exact"/>
        <w:rPr>
          <w:sz w:val="20"/>
          <w:szCs w:val="20"/>
          <w:color w:val="auto"/>
        </w:rPr>
      </w:pPr>
    </w:p>
    <w:p>
      <w:pPr>
        <w:ind w:left="760" w:hanging="752"/>
        <w:spacing w:after="0"/>
        <w:tabs>
          <w:tab w:leader="none" w:pos="760" w:val="left"/>
        </w:tabs>
        <w:numPr>
          <w:ilvl w:val="0"/>
          <w:numId w:val="123"/>
        </w:numPr>
        <w:rPr>
          <w:rFonts w:ascii="Arial" w:cs="Arial" w:eastAsia="Arial" w:hAnsi="Arial"/>
          <w:sz w:val="20"/>
          <w:szCs w:val="20"/>
          <w:color w:val="auto"/>
        </w:rPr>
      </w:pPr>
      <w:r>
        <w:rPr>
          <w:rFonts w:ascii="Arial" w:cs="Arial" w:eastAsia="Arial" w:hAnsi="Arial"/>
          <w:sz w:val="20"/>
          <w:szCs w:val="20"/>
          <w:b w:val="1"/>
          <w:bCs w:val="1"/>
          <w:u w:val="single" w:color="auto"/>
          <w:color w:val="auto"/>
        </w:rPr>
        <w:t>LIMITATION OF LIABILITY</w:t>
      </w:r>
      <w:r>
        <w:rPr>
          <w:rFonts w:ascii="Arial" w:cs="Arial" w:eastAsia="Arial" w:hAnsi="Arial"/>
          <w:sz w:val="20"/>
          <w:szCs w:val="20"/>
          <w:color w:val="auto"/>
        </w:rPr>
        <w:t>.</w:t>
      </w:r>
    </w:p>
    <w:p>
      <w:pPr>
        <w:spacing w:after="0" w:line="222" w:lineRule="exact"/>
        <w:rPr>
          <w:sz w:val="20"/>
          <w:szCs w:val="20"/>
          <w:color w:val="auto"/>
        </w:rPr>
      </w:pPr>
    </w:p>
    <w:p>
      <w:pPr>
        <w:jc w:val="both"/>
        <w:ind w:left="760" w:hanging="741"/>
        <w:spacing w:after="0" w:line="244" w:lineRule="auto"/>
        <w:tabs>
          <w:tab w:leader="none" w:pos="7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color w:val="auto"/>
        </w:rPr>
        <w:t>EXCEPT IN CONNECTION WITH (a) SECTION 7, AND (b) SECTION 11.1, IN NO EVENT SHALL EITHER PARTY, ITS AFFILIATES, OR ITS RESPECTIVE DIRECTORS, OFFICERS, AGENTS, SUBCONTRACTORS OR EMPLOYEES, HAVE ANY LIABILITY HEREUNDER FOR AN INDIRECT, SPECIAL, PUNITIVE OR CONSEQUENTIAL DAMAGES INCLUDING, WITHOUT LIMITATION, LOSS OF PROFITS OR BUSINESS OPPORTUNITIES, WHETHER OR NOT THE PARTY WAS ADVISED OF THE POSSIBILITY OF SUCH LOSSES.</w:t>
      </w:r>
    </w:p>
    <w:p>
      <w:pPr>
        <w:spacing w:after="0" w:line="194" w:lineRule="exact"/>
        <w:rPr>
          <w:sz w:val="20"/>
          <w:szCs w:val="20"/>
          <w:color w:val="auto"/>
        </w:rPr>
      </w:pPr>
    </w:p>
    <w:p>
      <w:pPr>
        <w:jc w:val="both"/>
        <w:ind w:left="760" w:hanging="741"/>
        <w:spacing w:after="0" w:line="243" w:lineRule="auto"/>
        <w:tabs>
          <w:tab w:leader="none" w:pos="7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0"/>
          <w:szCs w:val="20"/>
          <w:color w:val="auto"/>
        </w:rPr>
        <w:t>EXCEPT IN CONNECTION WITH (a) SECTION 7, AND (b) SECTION 11.1, IN NO EVENT SHALL EITHER PARTY, ITS AFFILIATES, OR THEIR RESPECTIVE DIRECTORS, OFFICERS, AGENTS, SUBCONTRACTORS OR EMPLOYEES, BE LIABLE TO THE OTHER PARTY FOR ANY REASON, WHETHER IN CONTRACT OR IN TORT, FOR ANY DIRECT DAMAGES ARISING OUT OF OR BASED UPON THIS AGREEMENT (INCLUDING ALL STATEMENTS OF WORK) EXCEEDING [***] REGARDLESS OF THE FORM IN WHICH ANY LEGAL OR EQUITABLE ACTION MAY BE BROUGHT.</w:t>
      </w:r>
    </w:p>
    <w:p>
      <w:pPr>
        <w:spacing w:after="0" w:line="82" w:lineRule="exact"/>
        <w:rPr>
          <w:sz w:val="20"/>
          <w:szCs w:val="20"/>
          <w:color w:val="auto"/>
        </w:rPr>
      </w:pPr>
    </w:p>
    <w:p>
      <w:pPr>
        <w:ind w:left="760" w:hanging="752"/>
        <w:spacing w:after="0"/>
        <w:tabs>
          <w:tab w:leader="none" w:pos="760" w:val="left"/>
        </w:tabs>
        <w:numPr>
          <w:ilvl w:val="0"/>
          <w:numId w:val="124"/>
        </w:numPr>
        <w:rPr>
          <w:rFonts w:ascii="Arial" w:cs="Arial" w:eastAsia="Arial" w:hAnsi="Arial"/>
          <w:sz w:val="20"/>
          <w:szCs w:val="20"/>
          <w:color w:val="auto"/>
        </w:rPr>
      </w:pPr>
      <w:r>
        <w:rPr>
          <w:rFonts w:ascii="Arial" w:cs="Arial" w:eastAsia="Arial" w:hAnsi="Arial"/>
          <w:sz w:val="20"/>
          <w:szCs w:val="20"/>
          <w:b w:val="1"/>
          <w:bCs w:val="1"/>
          <w:u w:val="single" w:color="auto"/>
          <w:color w:val="auto"/>
        </w:rPr>
        <w:t>PRODUCT MANAGEMENT</w:t>
      </w:r>
      <w:r>
        <w:rPr>
          <w:rFonts w:ascii="Arial" w:cs="Arial" w:eastAsia="Arial" w:hAnsi="Arial"/>
          <w:sz w:val="20"/>
          <w:szCs w:val="20"/>
          <w:color w:val="auto"/>
        </w:rPr>
        <w:t>.</w:t>
      </w:r>
    </w:p>
    <w:p>
      <w:pPr>
        <w:spacing w:after="0" w:line="114" w:lineRule="exact"/>
        <w:rPr>
          <w:sz w:val="20"/>
          <w:szCs w:val="20"/>
          <w:color w:val="auto"/>
        </w:rPr>
      </w:pPr>
    </w:p>
    <w:p>
      <w:pPr>
        <w:jc w:val="both"/>
        <w:ind w:left="760" w:hanging="741"/>
        <w:spacing w:after="0" w:line="270" w:lineRule="auto"/>
        <w:tabs>
          <w:tab w:leader="none" w:pos="7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u w:val="single" w:color="auto"/>
          <w:color w:val="auto"/>
        </w:rPr>
        <w:t>Obsolescence</w:t>
      </w:r>
      <w:r>
        <w:rPr>
          <w:rFonts w:ascii="Arial" w:cs="Arial" w:eastAsia="Arial" w:hAnsi="Arial"/>
          <w:sz w:val="18"/>
          <w:szCs w:val="18"/>
          <w:color w:val="auto"/>
        </w:rPr>
        <w:t>. Supplier shall maintain an obsolescence management program throughout the life cycle of a Product whereby</w:t>
      </w:r>
      <w:r>
        <w:rPr>
          <w:rFonts w:ascii="Arial" w:cs="Arial" w:eastAsia="Arial" w:hAnsi="Arial"/>
          <w:sz w:val="18"/>
          <w:szCs w:val="18"/>
          <w:u w:val="single" w:color="auto"/>
          <w:color w:val="auto"/>
        </w:rPr>
        <w:t xml:space="preserve"> </w:t>
      </w:r>
      <w:r>
        <w:rPr>
          <w:rFonts w:ascii="Arial" w:cs="Arial" w:eastAsia="Arial" w:hAnsi="Arial"/>
          <w:sz w:val="18"/>
          <w:szCs w:val="18"/>
          <w:color w:val="auto"/>
        </w:rPr>
        <w:t>Supplier will (a) monitor all Product components for potential Obsolescence; (b) as of the Effective Date of the Agreement and every six (6) months thereafter, report to Gogo whether there is an Obsolescence issue for each Product or component thereof; (c) maintain availability of sufficient security stock to mitigate potential delays in delivery or repair of Products under this Agreement;</w:t>
      </w:r>
    </w:p>
    <w:p>
      <w:pPr>
        <w:spacing w:after="0" w:line="3" w:lineRule="exact"/>
        <w:rPr>
          <w:sz w:val="20"/>
          <w:szCs w:val="20"/>
          <w:color w:val="auto"/>
        </w:rPr>
      </w:pPr>
    </w:p>
    <w:p>
      <w:pPr>
        <w:ind w:left="760" w:right="20" w:hanging="10"/>
        <w:spacing w:after="0" w:line="297" w:lineRule="auto"/>
        <w:tabs>
          <w:tab w:leader="none" w:pos="10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suggest suitable replacement components for the Products; (e) provide formal written notification to Gogo as soon as a pending Obsolescence event is known to Supplier; and (f) coordinate with Gogo to establish an obsolescence implementation plan.</w:t>
      </w:r>
    </w:p>
    <w:p>
      <w:pPr>
        <w:spacing w:after="0" w:line="39" w:lineRule="exact"/>
        <w:rPr>
          <w:sz w:val="20"/>
          <w:szCs w:val="20"/>
          <w:color w:val="auto"/>
        </w:rPr>
      </w:pPr>
    </w:p>
    <w:p>
      <w:pPr>
        <w:jc w:val="both"/>
        <w:ind w:left="760"/>
        <w:spacing w:after="0" w:line="257" w:lineRule="auto"/>
        <w:rPr>
          <w:sz w:val="20"/>
          <w:szCs w:val="20"/>
          <w:color w:val="auto"/>
        </w:rPr>
      </w:pPr>
      <w:r>
        <w:rPr>
          <w:rFonts w:ascii="Arial" w:cs="Arial" w:eastAsia="Arial" w:hAnsi="Arial"/>
          <w:sz w:val="19"/>
          <w:szCs w:val="19"/>
          <w:color w:val="auto"/>
        </w:rPr>
        <w:t>Supplier shall provide Gogo with written notification within fourteen (14) days of discovery of any potential Obsolescence issue, describing the obsolete item, reason for Obsolescence, estimated date the item will no longer be available, and any proposed alternatives. Timely notification is imperative to allow sufficient time to identify alternates for the affected parts, and perform any necessary Certifications, which may involve OEMs and airline regulatory agencies. Supplier will use diligent efforts to minimize cost and operational impact, including the effects of interchangeability to Gogo and its Customers. Gogo may desire to place additional Orders for items purchased hereunder. Supplier shall provide Gogo with a “Last Time Buy Notice” at as soon as commercially practical, but in no event less than eighteen (18) months prior to any action to discontinue any Product or component purchased under the Agreement.</w:t>
      </w:r>
    </w:p>
    <w:p>
      <w:pPr>
        <w:spacing w:after="0" w:line="72" w:lineRule="exact"/>
        <w:rPr>
          <w:sz w:val="20"/>
          <w:szCs w:val="20"/>
          <w:color w:val="auto"/>
        </w:rPr>
      </w:pPr>
    </w:p>
    <w:p>
      <w:pPr>
        <w:jc w:val="both"/>
        <w:ind w:left="760" w:hanging="741"/>
        <w:spacing w:after="0" w:line="271" w:lineRule="auto"/>
        <w:tabs>
          <w:tab w:leader="none" w:pos="7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u w:val="single" w:color="auto"/>
          <w:color w:val="auto"/>
        </w:rPr>
        <w:t>Product Change</w:t>
      </w:r>
      <w:r>
        <w:rPr>
          <w:rFonts w:ascii="Arial" w:cs="Arial" w:eastAsia="Arial" w:hAnsi="Arial"/>
          <w:sz w:val="18"/>
          <w:szCs w:val="18"/>
          <w:color w:val="auto"/>
        </w:rPr>
        <w:t>. Except as provided herein, Supplier shall not make a Change to any Product affecting the form, fit or function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Product, including (a) applying a Change to the design or modification of the Product; and (b) discontinuing or removing any of the Products covered under this Agreement. Either Party may submit proposals for Changes. For every request for a Change, the Supplier shall submit to Gogo a proposal identifying: (1) whether Supplier believes the change to be a major or minor Change with full justification regarding the reasons for the major or minor Change; (2) a detailed technical explanation of and justification for the contemplated Change; (3) where relevant, a fully itemized and detailed cost explanation of any potential associated costs of Change, as defined below, that Supplier believes should be charged to Gogo; and (4) any impact to the schedule, milestones, guarantees, production rates, forecasts or logistic conditions for the Product. This proposal shall be submitted within twenty-one (21) calendar days from receipt of or need for any request for a major or minor Change. Any information or additional cost not contained in the submitted proposal will be deemed waived by the Supplier for consideration of approval of the request for Change.</w:t>
      </w:r>
    </w:p>
    <w:p>
      <w:pPr>
        <w:spacing w:after="0" w:line="66"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20"/>
          <w:szCs w:val="20"/>
          <w:color w:val="auto"/>
        </w:rPr>
        <w:t>Gogo commits to review any proposals for Change issued by Supplier. Gogo shall reserve the discretionary right to refuse a request for Change submitted by Supplier, with such rejection being reasonably justified in writing by Gogo.</w:t>
      </w:r>
    </w:p>
    <w:p>
      <w:pPr>
        <w:spacing w:after="0" w:line="200" w:lineRule="exact"/>
        <w:rPr>
          <w:sz w:val="20"/>
          <w:szCs w:val="20"/>
          <w:color w:val="auto"/>
        </w:rPr>
      </w:pPr>
    </w:p>
    <w:p>
      <w:pPr>
        <w:spacing w:after="0" w:line="227" w:lineRule="exact"/>
        <w:rPr>
          <w:sz w:val="20"/>
          <w:szCs w:val="20"/>
          <w:color w:val="auto"/>
        </w:rPr>
      </w:pPr>
    </w:p>
    <w:p>
      <w:pPr>
        <w:spacing w:after="0"/>
        <w:tabs>
          <w:tab w:leader="none" w:pos="1050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9</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2" w:name="page163"/>
    <w:bookmarkEnd w:id="162"/>
    <w:p>
      <w:pPr>
        <w:jc w:val="both"/>
        <w:ind w:left="760" w:hanging="741"/>
        <w:spacing w:after="0" w:line="246" w:lineRule="auto"/>
        <w:tabs>
          <w:tab w:leader="none" w:pos="74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20"/>
          <w:szCs w:val="20"/>
          <w:color w:val="auto"/>
        </w:rPr>
        <w:t>For all costs of Change associated with all reasons other than a Change in Regulation: (a) Supplier shall bear the costs of Change deriving from all minor Changes requested and implemented by the Supplier at any time during the Agreement, and (b) cost of Change related to Commercial Off The Shelve (“COTS”) based equipment which are requested by Gogo in the Specification and for major Changes which shall be mutually agreed by the Parties.</w:t>
      </w:r>
    </w:p>
    <w:p>
      <w:pPr>
        <w:spacing w:after="0" w:line="77" w:lineRule="exact"/>
        <w:rPr>
          <w:sz w:val="20"/>
          <w:szCs w:val="20"/>
          <w:color w:val="auto"/>
        </w:rPr>
      </w:pPr>
    </w:p>
    <w:p>
      <w:pPr>
        <w:ind w:left="760" w:hanging="752"/>
        <w:spacing w:after="0"/>
        <w:tabs>
          <w:tab w:leader="none" w:pos="760" w:val="left"/>
        </w:tabs>
        <w:numPr>
          <w:ilvl w:val="0"/>
          <w:numId w:val="126"/>
        </w:numPr>
        <w:rPr>
          <w:rFonts w:ascii="Arial" w:cs="Arial" w:eastAsia="Arial" w:hAnsi="Arial"/>
          <w:sz w:val="20"/>
          <w:szCs w:val="20"/>
          <w:color w:val="auto"/>
        </w:rPr>
      </w:pPr>
      <w:r>
        <w:rPr>
          <w:rFonts w:ascii="Arial" w:cs="Arial" w:eastAsia="Arial" w:hAnsi="Arial"/>
          <w:sz w:val="20"/>
          <w:szCs w:val="20"/>
          <w:b w:val="1"/>
          <w:bCs w:val="1"/>
          <w:u w:val="single" w:color="auto"/>
          <w:color w:val="auto"/>
        </w:rPr>
        <w:t>PERFORMANCE REQUIREMENTS.</w:t>
      </w:r>
    </w:p>
    <w:p>
      <w:pPr>
        <w:spacing w:after="0" w:line="114" w:lineRule="exact"/>
        <w:rPr>
          <w:sz w:val="20"/>
          <w:szCs w:val="20"/>
          <w:color w:val="auto"/>
        </w:rPr>
      </w:pPr>
    </w:p>
    <w:p>
      <w:pPr>
        <w:jc w:val="both"/>
        <w:ind w:left="760" w:hanging="741"/>
        <w:spacing w:after="0" w:line="259" w:lineRule="auto"/>
        <w:tabs>
          <w:tab w:leader="none" w:pos="7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9"/>
          <w:szCs w:val="19"/>
          <w:u w:val="single" w:color="auto"/>
          <w:color w:val="auto"/>
        </w:rPr>
        <w:t>Change in Supplier’s Manufacturing Locations</w:t>
      </w:r>
      <w:r>
        <w:rPr>
          <w:rFonts w:ascii="Arial" w:cs="Arial" w:eastAsia="Arial" w:hAnsi="Arial"/>
          <w:sz w:val="19"/>
          <w:szCs w:val="19"/>
          <w:color w:val="auto"/>
        </w:rPr>
        <w:t>. In the event that Supplier intends to close or change the manufacturing locations of</w:t>
      </w:r>
      <w:r>
        <w:rPr>
          <w:rFonts w:ascii="Arial" w:cs="Arial" w:eastAsia="Arial" w:hAnsi="Arial"/>
          <w:sz w:val="19"/>
          <w:szCs w:val="19"/>
          <w:u w:val="single" w:color="auto"/>
          <w:color w:val="auto"/>
        </w:rPr>
        <w:t xml:space="preserve"> </w:t>
      </w:r>
      <w:r>
        <w:rPr>
          <w:rFonts w:ascii="Arial" w:cs="Arial" w:eastAsia="Arial" w:hAnsi="Arial"/>
          <w:sz w:val="19"/>
          <w:szCs w:val="19"/>
          <w:color w:val="auto"/>
        </w:rPr>
        <w:t>any Product delivered under this Agreement, Supplier shall, at a minimum, give Gogo six (6) months advance notice in writing of its intent to close or change the current manufacturing locations and the impact, if any, that such closure or change will have on the supply of Products under this Agreement. Upon receipt of written notification from Supplier, Gogo may request at its option, and Supplier shall provide, adequate assurances, including a comprehensive plan, detailing how Supplier intends to meet its performance obligations and delivery of conforming Product as required under this Agreement.</w:t>
      </w:r>
    </w:p>
    <w:p>
      <w:pPr>
        <w:spacing w:after="0" w:line="70"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9"/>
          <w:szCs w:val="19"/>
          <w:u w:val="single" w:color="auto"/>
          <w:color w:val="auto"/>
        </w:rPr>
        <w:t>Personnel</w:t>
      </w:r>
      <w:r>
        <w:rPr>
          <w:rFonts w:ascii="Arial" w:cs="Arial" w:eastAsia="Arial" w:hAnsi="Arial"/>
          <w:sz w:val="19"/>
          <w:szCs w:val="19"/>
          <w:color w:val="auto"/>
        </w:rPr>
        <w:t>. While at a Gogo facility, Supplier’s personnel, and subcontractors shall comply with reasonable requests and standard</w:t>
      </w:r>
      <w:r>
        <w:rPr>
          <w:rFonts w:ascii="Arial" w:cs="Arial" w:eastAsia="Arial" w:hAnsi="Arial"/>
          <w:sz w:val="19"/>
          <w:szCs w:val="19"/>
          <w:u w:val="single" w:color="auto"/>
          <w:color w:val="auto"/>
        </w:rPr>
        <w:t xml:space="preserve"> </w:t>
      </w:r>
      <w:r>
        <w:rPr>
          <w:rFonts w:ascii="Arial" w:cs="Arial" w:eastAsia="Arial" w:hAnsi="Arial"/>
          <w:sz w:val="19"/>
          <w:szCs w:val="19"/>
          <w:color w:val="auto"/>
        </w:rPr>
        <w:t>procedures and policies of Gogo. Supplier’s personnel and subcontractors will conduct themselves in a businesslike manner. If Gogo determines in good faith that a particular Supplier employee or agent is not conducting him or herself in accordance with this Agreement, then Gogo may provide Supplier with notice thereof and Supplier shall remove and replace such individual. Gogo reserves the right to deny access to its premises to any such individual.</w:t>
      </w:r>
    </w:p>
    <w:p>
      <w:pPr>
        <w:spacing w:after="0" w:line="72" w:lineRule="exact"/>
        <w:rPr>
          <w:sz w:val="20"/>
          <w:szCs w:val="20"/>
          <w:color w:val="auto"/>
        </w:rPr>
      </w:pPr>
    </w:p>
    <w:p>
      <w:pPr>
        <w:jc w:val="both"/>
        <w:ind w:left="760" w:hanging="741"/>
        <w:spacing w:after="0" w:line="244" w:lineRule="auto"/>
        <w:tabs>
          <w:tab w:leader="none" w:pos="74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20"/>
          <w:szCs w:val="20"/>
          <w:u w:val="single" w:color="auto"/>
          <w:color w:val="auto"/>
        </w:rPr>
        <w:t>Quality Assurance</w:t>
      </w:r>
      <w:r>
        <w:rPr>
          <w:rFonts w:ascii="Arial" w:cs="Arial" w:eastAsia="Arial" w:hAnsi="Arial"/>
          <w:sz w:val="20"/>
          <w:szCs w:val="20"/>
          <w:color w:val="auto"/>
        </w:rPr>
        <w:t>. Supplier will comply with the latest issue of Gogo’s Quality Management Document Number D15692, which is</w:t>
      </w:r>
      <w:r>
        <w:rPr>
          <w:rFonts w:ascii="Arial" w:cs="Arial" w:eastAsia="Arial" w:hAnsi="Arial"/>
          <w:sz w:val="20"/>
          <w:szCs w:val="20"/>
          <w:u w:val="single" w:color="auto"/>
          <w:color w:val="auto"/>
        </w:rPr>
        <w:t xml:space="preserve"> </w:t>
      </w:r>
      <w:r>
        <w:rPr>
          <w:rFonts w:ascii="Arial" w:cs="Arial" w:eastAsia="Arial" w:hAnsi="Arial"/>
          <w:sz w:val="20"/>
          <w:szCs w:val="20"/>
          <w:color w:val="auto"/>
        </w:rPr>
        <w:t>herein incorporated into this Agreement by reference and which the Supplier acknowledges having received and understood. Further, as required under Gogo’s AS9100 certification, Supplier hereby grants Gogo, its Customers and regulatory authorities access to inspect Supplier’s applicable facilities and applicable records during normal business hours with reasonable notice.</w:t>
      </w:r>
    </w:p>
    <w:p>
      <w:pPr>
        <w:spacing w:after="0" w:line="194" w:lineRule="exact"/>
        <w:rPr>
          <w:sz w:val="20"/>
          <w:szCs w:val="20"/>
          <w:color w:val="auto"/>
        </w:rPr>
      </w:pPr>
    </w:p>
    <w:p>
      <w:pPr>
        <w:jc w:val="both"/>
        <w:ind w:left="760" w:hanging="741"/>
        <w:spacing w:after="0" w:line="244" w:lineRule="auto"/>
        <w:tabs>
          <w:tab w:leader="none" w:pos="74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20"/>
          <w:szCs w:val="20"/>
          <w:u w:val="single" w:color="auto"/>
          <w:color w:val="auto"/>
        </w:rPr>
        <w:t>Export Control Compliance</w:t>
      </w:r>
      <w:r>
        <w:rPr>
          <w:rFonts w:ascii="Arial" w:cs="Arial" w:eastAsia="Arial" w:hAnsi="Arial"/>
          <w:sz w:val="20"/>
          <w:szCs w:val="20"/>
          <w:color w:val="auto"/>
        </w:rPr>
        <w:t>. Prior to the first shipment to Gogo of each unique part number of any of the Products, and prior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first shipment following a change to the export classification of any Products, Supplier shall provide to Gogo written certification for each such part number of the following: (a) for each Product supplied from the United States, its EAR Export Control Classification Number (“ECCN”); and (b) for each Product supplied outside of the United States, its Harmonized Tariff Schedule (“HTS”) number.</w:t>
      </w:r>
    </w:p>
    <w:p>
      <w:pPr>
        <w:spacing w:after="0" w:line="86"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20"/>
          <w:szCs w:val="20"/>
          <w:u w:val="single" w:color="auto"/>
          <w:color w:val="auto"/>
        </w:rPr>
        <w:t>Documentation</w:t>
      </w:r>
      <w:r>
        <w:rPr>
          <w:rFonts w:ascii="Arial" w:cs="Arial" w:eastAsia="Arial" w:hAnsi="Arial"/>
          <w:sz w:val="20"/>
          <w:szCs w:val="20"/>
          <w:color w:val="auto"/>
        </w:rPr>
        <w:t>. Supplier shall provide to Gogo all technical manuals applicable to the Products as outlined in Exhibit A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Exhibit C.</w:t>
      </w:r>
    </w:p>
    <w:p>
      <w:pPr>
        <w:spacing w:after="0" w:line="69" w:lineRule="exact"/>
        <w:rPr>
          <w:sz w:val="20"/>
          <w:szCs w:val="20"/>
          <w:color w:val="auto"/>
        </w:rPr>
      </w:pPr>
    </w:p>
    <w:p>
      <w:pPr>
        <w:jc w:val="both"/>
        <w:ind w:left="760" w:hanging="741"/>
        <w:spacing w:after="0" w:line="255" w:lineRule="auto"/>
        <w:tabs>
          <w:tab w:leader="none" w:pos="7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9"/>
          <w:szCs w:val="19"/>
          <w:u w:val="single" w:color="auto"/>
          <w:color w:val="auto"/>
        </w:rPr>
        <w:t>Hazardous and Conflict Minerals</w:t>
      </w:r>
      <w:r>
        <w:rPr>
          <w:rFonts w:ascii="Arial" w:cs="Arial" w:eastAsia="Arial" w:hAnsi="Arial"/>
          <w:sz w:val="19"/>
          <w:szCs w:val="19"/>
          <w:color w:val="auto"/>
        </w:rPr>
        <w:t>. Upon Gogo’s request, Supplier shall promptly provide to Gogo, in such form and detail as Gogo</w:t>
      </w:r>
      <w:r>
        <w:rPr>
          <w:rFonts w:ascii="Arial" w:cs="Arial" w:eastAsia="Arial" w:hAnsi="Arial"/>
          <w:sz w:val="19"/>
          <w:szCs w:val="19"/>
          <w:u w:val="single" w:color="auto"/>
          <w:color w:val="auto"/>
        </w:rPr>
        <w:t xml:space="preserve"> </w:t>
      </w:r>
      <w:r>
        <w:rPr>
          <w:rFonts w:ascii="Arial" w:cs="Arial" w:eastAsia="Arial" w:hAnsi="Arial"/>
          <w:sz w:val="19"/>
          <w:szCs w:val="19"/>
          <w:color w:val="auto"/>
        </w:rPr>
        <w:t>requests, a list of all ingredients and materials incorporated in the Products, the amount of such ingredients and materials, and information concerning any changes in or additions to such ingredients and materials. Without limitation of the foregoing, upon Gogo’s written request, Supplier shall provide to Gogo all information (in sufficient detail), with written certifications thereof, to enable Gogo to timely comply with all of Gogo’s and Gogo’s Customers’ due diligence, disclosure and audit requirements under Section 1502 of the Dodd-Frank Wall Street Reform and Consumer Protection Act (the “Dodd-Frank Act</w:t>
      </w:r>
      <w:r>
        <w:rPr>
          <w:rFonts w:ascii="Arial" w:cs="Arial" w:eastAsia="Arial" w:hAnsi="Arial"/>
          <w:sz w:val="19"/>
          <w:szCs w:val="19"/>
          <w:b w:val="1"/>
          <w:bCs w:val="1"/>
          <w:color w:val="auto"/>
        </w:rPr>
        <w:t>”</w:t>
      </w:r>
      <w:r>
        <w:rPr>
          <w:rFonts w:ascii="Arial" w:cs="Arial" w:eastAsia="Arial" w:hAnsi="Arial"/>
          <w:sz w:val="19"/>
          <w:szCs w:val="19"/>
          <w:color w:val="auto"/>
        </w:rPr>
        <w:t>) and Rule 13p-1 and Form SD under the Securities Exchange Act of 1934, and all similar, applicable statutes and regulations, including due inquiry of Supplier’s supply chain (and certifications by such suppliers) identifying conflict minerals (as defined in Section 1502(e)(4) of the Dodd-Frank Act) contained in each Product and the country of origin of such conflict minerals (or, following due inquiry, why such country of origin cannot be determined).</w:t>
      </w:r>
    </w:p>
    <w:p>
      <w:pPr>
        <w:spacing w:after="0" w:line="82" w:lineRule="exact"/>
        <w:rPr>
          <w:sz w:val="20"/>
          <w:szCs w:val="20"/>
          <w:color w:val="auto"/>
        </w:rPr>
      </w:pPr>
    </w:p>
    <w:p>
      <w:pPr>
        <w:jc w:val="both"/>
        <w:ind w:left="760"/>
        <w:spacing w:after="0" w:line="243" w:lineRule="auto"/>
        <w:rPr>
          <w:sz w:val="20"/>
          <w:szCs w:val="20"/>
          <w:color w:val="auto"/>
        </w:rPr>
      </w:pPr>
      <w:r>
        <w:rPr>
          <w:rFonts w:ascii="Arial" w:cs="Arial" w:eastAsia="Arial" w:hAnsi="Arial"/>
          <w:sz w:val="20"/>
          <w:szCs w:val="20"/>
          <w:color w:val="auto"/>
        </w:rPr>
        <w:t>For each shipment of Products, Supplier shall provide Gogo, in writing, sufficient advance warning and notice (in addition to including appropriate labels on Products, containers and packing) of any hazardous or restricted material that is an ingredient or a part of the shipment, together with such special handling instructions as may be necessary to advise logistics providers, handlers of the Products and personnel of how to exercise that measure of care and precaution that will comply with any applicable Laws and prevent bodily injury or property damage in the handling, transportation, processing, use or disposal of the Products, containers and packing.</w:t>
      </w:r>
    </w:p>
    <w:p>
      <w:pPr>
        <w:spacing w:after="0" w:line="338" w:lineRule="exact"/>
        <w:rPr>
          <w:sz w:val="20"/>
          <w:szCs w:val="20"/>
          <w:color w:val="auto"/>
        </w:rPr>
      </w:pPr>
    </w:p>
    <w:p>
      <w:pPr>
        <w:spacing w:after="0"/>
        <w:tabs>
          <w:tab w:leader="none" w:pos="1042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10</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3" w:name="page164"/>
    <w:bookmarkEnd w:id="163"/>
    <w:p>
      <w:pPr>
        <w:ind w:left="760" w:right="20" w:hanging="741"/>
        <w:spacing w:after="0" w:line="260" w:lineRule="auto"/>
        <w:tabs>
          <w:tab w:leader="none" w:pos="74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20"/>
          <w:szCs w:val="20"/>
          <w:u w:val="single" w:color="auto"/>
          <w:color w:val="auto"/>
        </w:rPr>
        <w:t xml:space="preserve">Annual Hardware Failure Rate (AHFR) Guarantee for Products. </w:t>
      </w:r>
      <w:r>
        <w:rPr>
          <w:rFonts w:ascii="Arial" w:cs="Arial" w:eastAsia="Arial" w:hAnsi="Arial"/>
          <w:sz w:val="20"/>
          <w:szCs w:val="20"/>
          <w:color w:val="auto"/>
        </w:rPr>
        <w:t>In addition to the warranties and obligations contained herein,</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Supplier warrants that the Products shall meet the </w:t>
      </w:r>
      <w:r>
        <w:rPr>
          <w:rFonts w:ascii="Arial" w:cs="Arial" w:eastAsia="Arial" w:hAnsi="Arial"/>
          <w:sz w:val="20"/>
          <w:szCs w:val="20"/>
          <w:u w:val="single" w:color="auto"/>
          <w:color w:val="auto"/>
        </w:rPr>
        <w:t>AHFR</w:t>
      </w:r>
      <w:r>
        <w:rPr>
          <w:rFonts w:ascii="Arial" w:cs="Arial" w:eastAsia="Arial" w:hAnsi="Arial"/>
          <w:sz w:val="20"/>
          <w:szCs w:val="20"/>
          <w:color w:val="auto"/>
        </w:rPr>
        <w:t xml:space="preserve"> guarantees as specified in the Agreement.</w:t>
      </w:r>
    </w:p>
    <w:p>
      <w:pPr>
        <w:spacing w:after="0" w:line="69" w:lineRule="exact"/>
        <w:rPr>
          <w:sz w:val="20"/>
          <w:szCs w:val="20"/>
          <w:color w:val="auto"/>
        </w:rPr>
      </w:pPr>
    </w:p>
    <w:p>
      <w:pPr>
        <w:jc w:val="both"/>
        <w:ind w:left="1500" w:hanging="750"/>
        <w:spacing w:after="0" w:line="269" w:lineRule="auto"/>
        <w:tabs>
          <w:tab w:leader="none" w:pos="1500"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AHFR Analysis &amp; Reporting.</w:t>
      </w:r>
      <w:r>
        <w:rPr>
          <w:rFonts w:ascii="Arial" w:cs="Arial" w:eastAsia="Arial" w:hAnsi="Arial"/>
          <w:sz w:val="19"/>
          <w:szCs w:val="19"/>
          <w:color w:val="auto"/>
        </w:rPr>
        <w:t xml:space="preserve"> The Parties agree as follows: (x) Gogo may, at its discretion, provide periodic reports of Supplier’s AHFR performance with respect to the Products; and (y) Supplier shall provide Gogo with access and available data required to analyze AHFR of Products for any returned/repaired Products including but not limited to:</w:t>
      </w:r>
    </w:p>
    <w:p>
      <w:pPr>
        <w:spacing w:after="0" w:line="61" w:lineRule="exact"/>
        <w:rPr>
          <w:rFonts w:ascii="Arial" w:cs="Arial" w:eastAsia="Arial" w:hAnsi="Arial"/>
          <w:sz w:val="19"/>
          <w:szCs w:val="19"/>
          <w:color w:val="auto"/>
        </w:rPr>
      </w:pPr>
    </w:p>
    <w:p>
      <w:pPr>
        <w:ind w:left="2240" w:hanging="747"/>
        <w:spacing w:after="0"/>
        <w:tabs>
          <w:tab w:leader="none" w:pos="2240" w:val="left"/>
        </w:tabs>
        <w:numPr>
          <w:ilvl w:val="1"/>
          <w:numId w:val="127"/>
        </w:numPr>
        <w:rPr>
          <w:rFonts w:ascii="Arial" w:cs="Arial" w:eastAsia="Arial" w:hAnsi="Arial"/>
          <w:sz w:val="20"/>
          <w:szCs w:val="20"/>
          <w:color w:val="auto"/>
        </w:rPr>
      </w:pPr>
      <w:r>
        <w:rPr>
          <w:rFonts w:ascii="Arial" w:cs="Arial" w:eastAsia="Arial" w:hAnsi="Arial"/>
          <w:sz w:val="20"/>
          <w:szCs w:val="20"/>
          <w:color w:val="auto"/>
        </w:rPr>
        <w:t>Analysis of AHFR; and</w:t>
      </w:r>
    </w:p>
    <w:p>
      <w:pPr>
        <w:spacing w:after="0" w:line="107" w:lineRule="exact"/>
        <w:rPr>
          <w:rFonts w:ascii="Arial" w:cs="Arial" w:eastAsia="Arial" w:hAnsi="Arial"/>
          <w:sz w:val="20"/>
          <w:szCs w:val="20"/>
          <w:color w:val="auto"/>
        </w:rPr>
      </w:pPr>
    </w:p>
    <w:p>
      <w:pPr>
        <w:ind w:left="2240" w:right="20" w:hanging="747"/>
        <w:spacing w:after="0" w:line="260" w:lineRule="auto"/>
        <w:tabs>
          <w:tab w:leader="none" w:pos="2240" w:val="left"/>
        </w:tabs>
        <w:numPr>
          <w:ilvl w:val="1"/>
          <w:numId w:val="127"/>
        </w:numPr>
        <w:rPr>
          <w:rFonts w:ascii="Arial" w:cs="Arial" w:eastAsia="Arial" w:hAnsi="Arial"/>
          <w:sz w:val="20"/>
          <w:szCs w:val="20"/>
          <w:color w:val="auto"/>
        </w:rPr>
      </w:pPr>
      <w:r>
        <w:rPr>
          <w:rFonts w:ascii="Arial" w:cs="Arial" w:eastAsia="Arial" w:hAnsi="Arial"/>
          <w:sz w:val="20"/>
          <w:szCs w:val="20"/>
          <w:color w:val="auto"/>
        </w:rPr>
        <w:t>Analysis reports including but not limited to summary of warranty returns, confirmation of fault or no fault found, root cause analysis and corrective actions.</w:t>
      </w:r>
    </w:p>
    <w:p>
      <w:pPr>
        <w:spacing w:after="0" w:line="69" w:lineRule="exact"/>
        <w:rPr>
          <w:sz w:val="20"/>
          <w:szCs w:val="20"/>
          <w:color w:val="auto"/>
        </w:rPr>
      </w:pPr>
    </w:p>
    <w:p>
      <w:pPr>
        <w:ind w:left="1500" w:right="180"/>
        <w:spacing w:after="0" w:line="260" w:lineRule="auto"/>
        <w:rPr>
          <w:sz w:val="20"/>
          <w:szCs w:val="20"/>
          <w:color w:val="auto"/>
        </w:rPr>
      </w:pPr>
      <w:r>
        <w:rPr>
          <w:rFonts w:ascii="Arial" w:cs="Arial" w:eastAsia="Arial" w:hAnsi="Arial"/>
          <w:sz w:val="20"/>
          <w:szCs w:val="20"/>
          <w:color w:val="auto"/>
        </w:rPr>
        <w:t>Supplier shall, on the 5</w:t>
      </w:r>
      <w:r>
        <w:rPr>
          <w:rFonts w:ascii="Arial" w:cs="Arial" w:eastAsia="Arial" w:hAnsi="Arial"/>
          <w:sz w:val="16"/>
          <w:szCs w:val="16"/>
          <w:color w:val="auto"/>
        </w:rPr>
        <w:t>th</w:t>
      </w:r>
      <w:r>
        <w:rPr>
          <w:rFonts w:ascii="Arial" w:cs="Arial" w:eastAsia="Arial" w:hAnsi="Arial"/>
          <w:sz w:val="20"/>
          <w:szCs w:val="20"/>
          <w:color w:val="auto"/>
        </w:rPr>
        <w:t xml:space="preserve"> day following the end of each quarter throughout the applicable warranty period, provide Gogo with an electronic report detailing the required information as specified above.</w:t>
      </w:r>
    </w:p>
    <w:p>
      <w:pPr>
        <w:spacing w:after="0" w:line="69" w:lineRule="exact"/>
        <w:rPr>
          <w:sz w:val="20"/>
          <w:szCs w:val="20"/>
          <w:color w:val="auto"/>
        </w:rPr>
      </w:pPr>
    </w:p>
    <w:p>
      <w:pPr>
        <w:jc w:val="both"/>
        <w:ind w:left="1500" w:hanging="750"/>
        <w:spacing w:after="0" w:line="243" w:lineRule="auto"/>
        <w:tabs>
          <w:tab w:leader="none" w:pos="1500"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AHFR Remedies</w:t>
      </w:r>
      <w:r>
        <w:rPr>
          <w:rFonts w:ascii="Arial" w:cs="Arial" w:eastAsia="Arial" w:hAnsi="Arial"/>
          <w:sz w:val="20"/>
          <w:szCs w:val="20"/>
          <w:color w:val="auto"/>
        </w:rPr>
        <w:t>. In the event the Products under warranty, (hardware and software) do not meet the AHFR guarantee as specified in this Agreement, Supplier shall provide: (i) within thirty (30) days following Gogo’s request, mutually agreed to quantities of spares to meet the availability criteria to Gogo on a loan basis until the AHFR guarantee values are met; (ii) immediate technical support for investigation via telephone and email or on site if necessary; and (iii) Supplier will work with Gogo to achieve a recovery plan. Supplier will extend the warranty period for all effected components until such time as the quality or workmanship are corrected to Gogo’s satisfaction, which shall be reviewed in a timely manner and not be unreasonably withheld.</w:t>
      </w:r>
    </w:p>
    <w:p>
      <w:pPr>
        <w:spacing w:after="0" w:line="85" w:lineRule="exact"/>
        <w:rPr>
          <w:sz w:val="20"/>
          <w:szCs w:val="20"/>
          <w:color w:val="auto"/>
        </w:rPr>
      </w:pPr>
    </w:p>
    <w:p>
      <w:pPr>
        <w:ind w:left="2240" w:hanging="747"/>
        <w:spacing w:after="0"/>
        <w:tabs>
          <w:tab w:leader="none" w:pos="224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Ground Station Products AHFR</w:t>
      </w:r>
    </w:p>
    <w:p>
      <w:pPr>
        <w:spacing w:after="0" w:line="107" w:lineRule="exact"/>
        <w:rPr>
          <w:rFonts w:ascii="Arial" w:cs="Arial" w:eastAsia="Arial" w:hAnsi="Arial"/>
          <w:sz w:val="20"/>
          <w:szCs w:val="20"/>
          <w:color w:val="auto"/>
        </w:rPr>
      </w:pPr>
    </w:p>
    <w:p>
      <w:pPr>
        <w:jc w:val="both"/>
        <w:ind w:left="3000" w:hanging="751"/>
        <w:spacing w:after="0" w:line="278" w:lineRule="auto"/>
        <w:tabs>
          <w:tab w:leader="none" w:pos="30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If the </w:t>
      </w:r>
      <w:r>
        <w:rPr>
          <w:rFonts w:ascii="Arial" w:cs="Arial" w:eastAsia="Arial" w:hAnsi="Arial"/>
          <w:sz w:val="18"/>
          <w:szCs w:val="18"/>
          <w:u w:val="single" w:color="auto"/>
          <w:color w:val="auto"/>
        </w:rPr>
        <w:t>AHFR</w:t>
      </w:r>
      <w:r>
        <w:rPr>
          <w:rFonts w:ascii="Arial" w:cs="Arial" w:eastAsia="Arial" w:hAnsi="Arial"/>
          <w:sz w:val="18"/>
          <w:szCs w:val="18"/>
          <w:color w:val="auto"/>
        </w:rPr>
        <w:t xml:space="preserve"> problem continues to persist beyond a [***], then the Supplier shall pay Gogo for Direct Labor Costs to perform Direct Labor during the Warranty Period. Supplier will reimburse Gogo reasonable Direct Labor Hours for the removal and replacement of the Product from the ground network. Such reimbursement will be provided for removal and reinstallation of a defective Product. The reimbursement claim for such reimbursement must substantiate the Direct Labor Hours.</w:t>
      </w:r>
    </w:p>
    <w:p>
      <w:pPr>
        <w:spacing w:after="0" w:line="164" w:lineRule="exact"/>
        <w:rPr>
          <w:rFonts w:ascii="Arial" w:cs="Arial" w:eastAsia="Arial" w:hAnsi="Arial"/>
          <w:sz w:val="18"/>
          <w:szCs w:val="18"/>
          <w:color w:val="auto"/>
        </w:rPr>
      </w:pPr>
    </w:p>
    <w:p>
      <w:pPr>
        <w:ind w:left="3000" w:hanging="751"/>
        <w:spacing w:after="0"/>
        <w:tabs>
          <w:tab w:leader="none" w:pos="30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Direct Labor Hours for the Ground Station Products shall not exceed mobilization plus three hours</w:t>
      </w:r>
    </w:p>
    <w:p>
      <w:pPr>
        <w:spacing w:after="0" w:line="38" w:lineRule="exact"/>
        <w:rPr>
          <w:rFonts w:ascii="Arial" w:cs="Arial" w:eastAsia="Arial" w:hAnsi="Arial"/>
          <w:sz w:val="18"/>
          <w:szCs w:val="18"/>
          <w:color w:val="auto"/>
        </w:rPr>
      </w:pPr>
    </w:p>
    <w:p>
      <w:pPr>
        <w:ind w:left="3000" w:hanging="9"/>
        <w:spacing w:after="0" w:line="244" w:lineRule="auto"/>
        <w:tabs>
          <w:tab w:leader="none" w:pos="3314" w:val="left"/>
        </w:tabs>
        <w:numPr>
          <w:ilvl w:val="2"/>
          <w:numId w:val="129"/>
        </w:numPr>
        <w:rPr>
          <w:rFonts w:ascii="Arial" w:cs="Arial" w:eastAsia="Arial" w:hAnsi="Arial"/>
          <w:sz w:val="20"/>
          <w:szCs w:val="20"/>
          <w:color w:val="auto"/>
        </w:rPr>
      </w:pPr>
      <w:r>
        <w:rPr>
          <w:rFonts w:ascii="Arial" w:cs="Arial" w:eastAsia="Arial" w:hAnsi="Arial"/>
          <w:sz w:val="20"/>
          <w:szCs w:val="20"/>
          <w:color w:val="auto"/>
        </w:rPr>
        <w:t>per defective Product [***]. For avoidance of doubt, each antenna failure is considered as one incident.</w:t>
      </w:r>
    </w:p>
    <w:p>
      <w:pPr>
        <w:spacing w:after="0" w:line="191" w:lineRule="exact"/>
        <w:rPr>
          <w:rFonts w:ascii="Arial" w:cs="Arial" w:eastAsia="Arial" w:hAnsi="Arial"/>
          <w:sz w:val="20"/>
          <w:szCs w:val="20"/>
          <w:color w:val="auto"/>
        </w:rPr>
      </w:pPr>
    </w:p>
    <w:p>
      <w:pPr>
        <w:jc w:val="both"/>
        <w:ind w:left="3000" w:hanging="751"/>
        <w:spacing w:after="0" w:line="275" w:lineRule="auto"/>
        <w:tabs>
          <w:tab w:leader="none" w:pos="30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Measured AHFR for Ground Station Products is the number of verified Product failures in any rolling 12-month period divided by the total number of Products </w:t>
      </w:r>
      <w:r>
        <w:rPr>
          <w:rFonts w:ascii="Arial" w:cs="Arial" w:eastAsia="Arial" w:hAnsi="Arial"/>
          <w:sz w:val="18"/>
          <w:szCs w:val="18"/>
          <w:color w:val="1F497D"/>
        </w:rPr>
        <w:t>of that type delivered by Supplier to Gogo</w:t>
      </w:r>
    </w:p>
    <w:p>
      <w:pPr>
        <w:jc w:val="both"/>
        <w:ind w:left="3000"/>
        <w:spacing w:after="0"/>
        <w:rPr>
          <w:rFonts w:ascii="Arial" w:cs="Arial" w:eastAsia="Arial" w:hAnsi="Arial"/>
          <w:sz w:val="18"/>
          <w:szCs w:val="18"/>
          <w:color w:val="auto"/>
        </w:rPr>
      </w:pPr>
      <w:r>
        <w:rPr>
          <w:rFonts w:ascii="Arial" w:cs="Arial" w:eastAsia="Arial" w:hAnsi="Arial"/>
          <w:sz w:val="20"/>
          <w:szCs w:val="20"/>
          <w:color w:val="auto"/>
        </w:rPr>
        <w:t>. This considers the average total quantity of the same Product over the same rolling 12 months and covers the Ground Station Product, and core is excluded. The failure rate shall be tracked and reviewed by Gogo and Supplier on a quarterly basis, except if a high failure rate trend is realized the meetings may be more frequent, and if the failures are trending towards [***] failures (minimum [***] failed units in respect of at least [***] active sites) then the Supplier shall immediately begin initiating corrective action.</w:t>
      </w:r>
    </w:p>
    <w:p>
      <w:pPr>
        <w:spacing w:after="0" w:line="197" w:lineRule="exact"/>
        <w:rPr>
          <w:rFonts w:ascii="Arial" w:cs="Arial" w:eastAsia="Arial" w:hAnsi="Arial"/>
          <w:sz w:val="18"/>
          <w:szCs w:val="18"/>
          <w:color w:val="auto"/>
        </w:rPr>
      </w:pPr>
    </w:p>
    <w:p>
      <w:pPr>
        <w:ind w:left="2240" w:hanging="747"/>
        <w:spacing w:after="0"/>
        <w:tabs>
          <w:tab w:leader="none" w:pos="224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Airborne Products AHFR</w:t>
      </w:r>
    </w:p>
    <w:p>
      <w:pPr>
        <w:spacing w:after="0" w:line="107" w:lineRule="exact"/>
        <w:rPr>
          <w:rFonts w:ascii="Arial" w:cs="Arial" w:eastAsia="Arial" w:hAnsi="Arial"/>
          <w:sz w:val="20"/>
          <w:szCs w:val="20"/>
          <w:color w:val="auto"/>
        </w:rPr>
      </w:pPr>
    </w:p>
    <w:p>
      <w:pPr>
        <w:jc w:val="both"/>
        <w:ind w:left="3000" w:hanging="751"/>
        <w:spacing w:after="0" w:line="278" w:lineRule="auto"/>
        <w:tabs>
          <w:tab w:leader="none" w:pos="30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the AHFR problem continues to persist beyond a period of [***], then the Supplier shall pay Gogo for Direct Labor Costs to perform Direct Labor during the Warranty Period. Supplier will reimburse Gogo reasonable Direct Labor Hours for the removal and replacement of the Product from the aircraft. Such reimbursement will be provided for removal and reinstallation of a defective Product. The reimbursement claim for such reimbursement must substantiate the Direct Labor Hours.</w:t>
      </w:r>
    </w:p>
    <w:p>
      <w:pPr>
        <w:spacing w:after="0" w:line="164" w:lineRule="exact"/>
        <w:rPr>
          <w:rFonts w:ascii="Arial" w:cs="Arial" w:eastAsia="Arial" w:hAnsi="Arial"/>
          <w:sz w:val="18"/>
          <w:szCs w:val="18"/>
          <w:color w:val="auto"/>
        </w:rPr>
      </w:pPr>
    </w:p>
    <w:p>
      <w:pPr>
        <w:ind w:left="3000" w:hanging="751"/>
        <w:spacing w:after="0"/>
        <w:tabs>
          <w:tab w:leader="none" w:pos="300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The Direct Labor Hours for the Airborne Products shall not exceed [***] per defective Product.</w:t>
      </w:r>
    </w:p>
    <w:p>
      <w:pPr>
        <w:spacing w:after="0" w:line="200" w:lineRule="exact"/>
        <w:rPr>
          <w:sz w:val="20"/>
          <w:szCs w:val="20"/>
          <w:color w:val="auto"/>
        </w:rPr>
      </w:pPr>
    </w:p>
    <w:p>
      <w:pPr>
        <w:spacing w:after="0" w:line="386" w:lineRule="exact"/>
        <w:rPr>
          <w:sz w:val="20"/>
          <w:szCs w:val="20"/>
          <w:color w:val="auto"/>
        </w:rPr>
      </w:pPr>
    </w:p>
    <w:p>
      <w:pPr>
        <w:spacing w:after="0"/>
        <w:tabs>
          <w:tab w:leader="none" w:pos="1044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11</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4" w:name="page165"/>
    <w:bookmarkEnd w:id="164"/>
    <w:p>
      <w:pPr>
        <w:jc w:val="both"/>
        <w:ind w:left="3000" w:hanging="751"/>
        <w:spacing w:after="0" w:line="259" w:lineRule="auto"/>
        <w:tabs>
          <w:tab w:leader="none" w:pos="300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Measured AHFR for Airborne Products is the number of verified Product failures in any rolling 12-month period divided by the total number of Products </w:t>
      </w:r>
      <w:r>
        <w:rPr>
          <w:rFonts w:ascii="Arial" w:cs="Arial" w:eastAsia="Arial" w:hAnsi="Arial"/>
          <w:sz w:val="19"/>
          <w:szCs w:val="19"/>
          <w:color w:val="1F497D"/>
        </w:rPr>
        <w:t>of that type delivered by Supplier to Gogo</w:t>
      </w:r>
      <w:r>
        <w:rPr>
          <w:rFonts w:ascii="Arial" w:cs="Arial" w:eastAsia="Arial" w:hAnsi="Arial"/>
          <w:sz w:val="19"/>
          <w:szCs w:val="19"/>
          <w:color w:val="auto"/>
        </w:rPr>
        <w:t xml:space="preserve"> in operation during such period. This considers the average total quantity of the same Product over the same rolling 12 months and covers the Airborne Products. The failure rate shall be tracked and reviewed by Gogo and Supplier on a quarterly basis. If the failures are trending towards [***] failures (minimum of [***] failures) then the Supplier shall begin initiating corrective action.</w:t>
      </w:r>
    </w:p>
    <w:p>
      <w:pPr>
        <w:spacing w:after="0" w:line="172" w:lineRule="exact"/>
        <w:rPr>
          <w:rFonts w:ascii="Arial" w:cs="Arial" w:eastAsia="Arial" w:hAnsi="Arial"/>
          <w:sz w:val="19"/>
          <w:szCs w:val="19"/>
          <w:color w:val="auto"/>
        </w:rPr>
      </w:pPr>
    </w:p>
    <w:p>
      <w:pPr>
        <w:jc w:val="both"/>
        <w:ind w:left="760" w:hanging="752"/>
        <w:spacing w:after="0" w:line="253" w:lineRule="auto"/>
        <w:tabs>
          <w:tab w:leader="none" w:pos="760" w:val="left"/>
        </w:tabs>
        <w:numPr>
          <w:ilvl w:val="0"/>
          <w:numId w:val="131"/>
        </w:numPr>
        <w:rPr>
          <w:rFonts w:ascii="Arial" w:cs="Arial" w:eastAsia="Arial" w:hAnsi="Arial"/>
          <w:sz w:val="20"/>
          <w:szCs w:val="20"/>
          <w:color w:val="auto"/>
        </w:rPr>
      </w:pPr>
      <w:r>
        <w:rPr>
          <w:rFonts w:ascii="Arial" w:cs="Arial" w:eastAsia="Arial" w:hAnsi="Arial"/>
          <w:sz w:val="20"/>
          <w:szCs w:val="20"/>
          <w:b w:val="1"/>
          <w:bCs w:val="1"/>
          <w:u w:val="single" w:color="auto"/>
          <w:color w:val="auto"/>
        </w:rPr>
        <w:t>INCORPORATION OF MSA.</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acknowledge that they have entered into a Master Services Agreement dated as of</w:t>
      </w:r>
      <w:r>
        <w:rPr>
          <w:rFonts w:ascii="Arial" w:cs="Arial" w:eastAsia="Arial" w:hAnsi="Arial"/>
          <w:sz w:val="20"/>
          <w:szCs w:val="20"/>
          <w:b w:val="1"/>
          <w:bCs w:val="1"/>
          <w:color w:val="auto"/>
        </w:rPr>
        <w:t xml:space="preserve"> </w:t>
      </w:r>
      <w:r>
        <w:rPr>
          <w:rFonts w:ascii="Arial" w:cs="Arial" w:eastAsia="Arial" w:hAnsi="Arial"/>
          <w:sz w:val="20"/>
          <w:szCs w:val="20"/>
          <w:color w:val="auto"/>
        </w:rPr>
        <w:t>November 25, 2019 (the “MSA”). The terms of Section 2.9 (Proprietary Rights) and Section 3 (Exclusivity) of the MSA shall be incorporated by refence into this Agreement.</w:t>
      </w:r>
    </w:p>
    <w:p>
      <w:pPr>
        <w:spacing w:after="0" w:line="69" w:lineRule="exact"/>
        <w:rPr>
          <w:rFonts w:ascii="Arial" w:cs="Arial" w:eastAsia="Arial" w:hAnsi="Arial"/>
          <w:sz w:val="20"/>
          <w:szCs w:val="20"/>
          <w:color w:val="auto"/>
        </w:rPr>
      </w:pPr>
    </w:p>
    <w:p>
      <w:pPr>
        <w:ind w:left="760" w:hanging="752"/>
        <w:spacing w:after="0" w:line="267" w:lineRule="auto"/>
        <w:tabs>
          <w:tab w:leader="none" w:pos="760" w:val="left"/>
        </w:tabs>
        <w:numPr>
          <w:ilvl w:val="0"/>
          <w:numId w:val="131"/>
        </w:numPr>
        <w:rPr>
          <w:rFonts w:ascii="Arial" w:cs="Arial" w:eastAsia="Arial" w:hAnsi="Arial"/>
          <w:sz w:val="20"/>
          <w:szCs w:val="20"/>
          <w:color w:val="auto"/>
        </w:rPr>
      </w:pPr>
      <w:r>
        <w:rPr>
          <w:rFonts w:ascii="Arial" w:cs="Arial" w:eastAsia="Arial" w:hAnsi="Arial"/>
          <w:sz w:val="20"/>
          <w:szCs w:val="20"/>
          <w:b w:val="1"/>
          <w:bCs w:val="1"/>
          <w:u w:val="single" w:color="auto"/>
          <w:color w:val="auto"/>
        </w:rPr>
        <w:t>SUPPLIER REPRESENTATIONS AND WARRANTIES</w:t>
      </w:r>
      <w:r>
        <w:rPr>
          <w:rFonts w:ascii="Arial" w:cs="Arial" w:eastAsia="Arial" w:hAnsi="Arial"/>
          <w:sz w:val="20"/>
          <w:szCs w:val="20"/>
          <w:color w:val="auto"/>
        </w:rPr>
        <w:t>. Supplier represents and warrants to Gogo that as of the 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and at all times thereafter:</w:t>
      </w:r>
    </w:p>
    <w:p>
      <w:pPr>
        <w:spacing w:after="0" w:line="61"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8"/>
          <w:szCs w:val="18"/>
          <w:color w:val="auto"/>
        </w:rPr>
        <w:t>Supplier’s performance under this Agreement does not and shall not violate any law, rule, or regulation;</w:t>
      </w:r>
    </w:p>
    <w:p>
      <w:pPr>
        <w:spacing w:after="0" w:line="10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color w:val="auto"/>
        </w:rPr>
        <w:t>Supplier will meet all Product guarantees in the attached Exhibits to this Agreement;</w:t>
      </w:r>
    </w:p>
    <w:p>
      <w:pPr>
        <w:spacing w:after="0" w:line="108" w:lineRule="exact"/>
        <w:rPr>
          <w:sz w:val="20"/>
          <w:szCs w:val="20"/>
          <w:color w:val="auto"/>
        </w:rPr>
      </w:pPr>
    </w:p>
    <w:p>
      <w:pPr>
        <w:ind w:left="760" w:hanging="741"/>
        <w:spacing w:after="0" w:line="287" w:lineRule="auto"/>
        <w:tabs>
          <w:tab w:leader="none" w:pos="74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9"/>
          <w:szCs w:val="19"/>
          <w:color w:val="auto"/>
        </w:rPr>
        <w:t>all Services will be performed in a good and workmanlike manner in accordance with applicable industry standards and practices and the Products will comply with the Specifications for such Services and Products set forth in Exhibit A;</w:t>
      </w:r>
    </w:p>
    <w:p>
      <w:pPr>
        <w:spacing w:after="0" w:line="44" w:lineRule="exact"/>
        <w:rPr>
          <w:sz w:val="20"/>
          <w:szCs w:val="20"/>
          <w:color w:val="auto"/>
        </w:rPr>
      </w:pPr>
    </w:p>
    <w:p>
      <w:pPr>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20"/>
          <w:szCs w:val="20"/>
          <w:color w:val="auto"/>
        </w:rPr>
        <w:t>Supplier possesses the necessary equipment, personnel, and other expertise necessary to provide the Services and Products as set forth herein;</w:t>
      </w:r>
    </w:p>
    <w:p>
      <w:pPr>
        <w:spacing w:after="0" w:line="69" w:lineRule="exact"/>
        <w:rPr>
          <w:sz w:val="20"/>
          <w:szCs w:val="20"/>
          <w:color w:val="auto"/>
        </w:rPr>
      </w:pPr>
    </w:p>
    <w:p>
      <w:pPr>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20"/>
          <w:szCs w:val="20"/>
          <w:color w:val="auto"/>
        </w:rPr>
        <w:t>the Products delivered to Gogo under this Agreement will be free from any viruses, disabling programming codes, instructions, or other such items that may interfere with or adversely affect Gogo’s permitted use of the Products; and</w:t>
      </w:r>
    </w:p>
    <w:p>
      <w:pPr>
        <w:spacing w:after="0" w:line="6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8"/>
          <w:szCs w:val="18"/>
          <w:color w:val="auto"/>
        </w:rPr>
        <w:t>Supplier will be in compliance with the conflict minerals provisions of Section 1502 of the Dodd-Frank Act.</w:t>
      </w:r>
    </w:p>
    <w:p>
      <w:pPr>
        <w:spacing w:after="0" w:line="102" w:lineRule="exact"/>
        <w:rPr>
          <w:sz w:val="20"/>
          <w:szCs w:val="20"/>
          <w:color w:val="auto"/>
        </w:rPr>
      </w:pPr>
    </w:p>
    <w:p>
      <w:pPr>
        <w:ind w:left="760" w:hanging="752"/>
        <w:spacing w:after="0"/>
        <w:tabs>
          <w:tab w:leader="none" w:pos="760" w:val="left"/>
        </w:tabs>
        <w:numPr>
          <w:ilvl w:val="0"/>
          <w:numId w:val="132"/>
        </w:numPr>
        <w:rPr>
          <w:rFonts w:ascii="Arial" w:cs="Arial" w:eastAsia="Arial" w:hAnsi="Arial"/>
          <w:sz w:val="20"/>
          <w:szCs w:val="20"/>
          <w:color w:val="auto"/>
        </w:rPr>
      </w:pPr>
      <w:r>
        <w:rPr>
          <w:rFonts w:ascii="Arial" w:cs="Arial" w:eastAsia="Arial" w:hAnsi="Arial"/>
          <w:sz w:val="20"/>
          <w:szCs w:val="20"/>
          <w:b w:val="1"/>
          <w:bCs w:val="1"/>
          <w:u w:val="single" w:color="auto"/>
          <w:color w:val="auto"/>
        </w:rPr>
        <w:t>GENERAL</w:t>
      </w:r>
      <w:r>
        <w:rPr>
          <w:rFonts w:ascii="Arial" w:cs="Arial" w:eastAsia="Arial" w:hAnsi="Arial"/>
          <w:sz w:val="20"/>
          <w:szCs w:val="20"/>
          <w:color w:val="auto"/>
        </w:rPr>
        <w:t>.</w:t>
      </w:r>
    </w:p>
    <w:p>
      <w:pPr>
        <w:spacing w:after="0" w:line="114" w:lineRule="exact"/>
        <w:rPr>
          <w:sz w:val="20"/>
          <w:szCs w:val="20"/>
          <w:color w:val="auto"/>
        </w:rPr>
      </w:pPr>
    </w:p>
    <w:p>
      <w:pPr>
        <w:jc w:val="both"/>
        <w:ind w:left="760" w:hanging="741"/>
        <w:spacing w:after="0" w:line="244" w:lineRule="auto"/>
        <w:tabs>
          <w:tab w:leader="none" w:pos="7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20"/>
          <w:szCs w:val="20"/>
          <w:u w:val="single" w:color="auto"/>
          <w:color w:val="auto"/>
        </w:rPr>
        <w:t>Language and Measurements</w:t>
      </w:r>
      <w:r>
        <w:rPr>
          <w:rFonts w:ascii="Arial" w:cs="Arial" w:eastAsia="Arial" w:hAnsi="Arial"/>
          <w:sz w:val="20"/>
          <w:szCs w:val="20"/>
          <w:color w:val="auto"/>
        </w:rPr>
        <w:t>. The Parties hereto have agreed that this Agreement be drafted in English only. All contractual</w:t>
      </w:r>
      <w:r>
        <w:rPr>
          <w:rFonts w:ascii="Arial" w:cs="Arial" w:eastAsia="Arial" w:hAnsi="Arial"/>
          <w:sz w:val="20"/>
          <w:szCs w:val="20"/>
          <w:u w:val="single" w:color="auto"/>
          <w:color w:val="auto"/>
        </w:rPr>
        <w:t xml:space="preserve"> </w:t>
      </w:r>
      <w:r>
        <w:rPr>
          <w:rFonts w:ascii="Arial" w:cs="Arial" w:eastAsia="Arial" w:hAnsi="Arial"/>
          <w:sz w:val="20"/>
          <w:szCs w:val="20"/>
          <w:color w:val="auto"/>
        </w:rPr>
        <w:t>documents and all correspondence, invoices, notices and other documents shall be submitted in English. Any necessary conversations shall be held in English. Gogo shall determine whether measurements will be in the English or Metric system or a combination of the two systems. Supplier shall not convert measurements, which Gogo has stated in an English measurement system into the Metric system in documents furnished to Gogo.</w:t>
      </w:r>
    </w:p>
    <w:p>
      <w:pPr>
        <w:spacing w:after="0" w:line="86" w:lineRule="exact"/>
        <w:rPr>
          <w:sz w:val="20"/>
          <w:szCs w:val="20"/>
          <w:color w:val="auto"/>
        </w:rPr>
      </w:pPr>
    </w:p>
    <w:p>
      <w:pPr>
        <w:jc w:val="both"/>
        <w:ind w:left="760" w:hanging="741"/>
        <w:spacing w:after="0" w:line="242" w:lineRule="auto"/>
        <w:tabs>
          <w:tab w:leader="none" w:pos="7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20"/>
          <w:szCs w:val="20"/>
          <w:u w:val="single" w:color="auto"/>
          <w:color w:val="auto"/>
        </w:rPr>
        <w:t xml:space="preserve">Force Majeure. </w:t>
      </w:r>
      <w:r>
        <w:rPr>
          <w:rFonts w:ascii="Arial" w:cs="Arial" w:eastAsia="Arial" w:hAnsi="Arial"/>
          <w:sz w:val="20"/>
          <w:szCs w:val="20"/>
          <w:color w:val="auto"/>
        </w:rPr>
        <w:t>Neither Party will be liable to the other for any failure to meet its obligations due to any cause beyond its reasonable</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control occurring without any fault on its part including; outbreaks of war or earthquakes, fire, flood, accident, civil disorder, terrorism, piracy, civil unrest, tornadoes or hurricanes (each, a “Force Majeure Event”). The impacted Party shall give notice to the other Party within five (5) days of the Force Majeure Event , stating the period of time the occurrence is expected to continue. The impacted Party shall use diligent efforts to end the failure or delay and ensure the effects of such Force Majeure Event are minimized. The impacted Party shall resume the performance of its obligations as soon as reasonably practicable after the removal of the cause. In the event that the impacted Party’s failure or delay remains uncured for a period of sixty (60) days following written notice given by it under this Section 17.2, either Party may thereafter terminate this Agreement upon thirty (30) days’ written notice.</w:t>
      </w:r>
    </w:p>
    <w:p>
      <w:pPr>
        <w:spacing w:after="0" w:line="86" w:lineRule="exact"/>
        <w:rPr>
          <w:sz w:val="20"/>
          <w:szCs w:val="20"/>
          <w:color w:val="auto"/>
        </w:rPr>
      </w:pPr>
    </w:p>
    <w:p>
      <w:pPr>
        <w:jc w:val="both"/>
        <w:ind w:left="760" w:hanging="741"/>
        <w:spacing w:after="0" w:line="243" w:lineRule="auto"/>
        <w:tabs>
          <w:tab w:leader="none" w:pos="74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20"/>
          <w:szCs w:val="20"/>
          <w:u w:val="single" w:color="auto"/>
          <w:color w:val="auto"/>
        </w:rPr>
        <w:t>Assignment</w:t>
      </w:r>
      <w:r>
        <w:rPr>
          <w:rFonts w:ascii="Arial" w:cs="Arial" w:eastAsia="Arial" w:hAnsi="Arial"/>
          <w:sz w:val="20"/>
          <w:szCs w:val="20"/>
          <w:color w:val="auto"/>
        </w:rPr>
        <w:t>. Neither Party may assign or transfer its rights or obligations in this agreement (by operation of law or otherwise),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whole or in part, to any person or entity without the prior written consent of the other Party, which consent shall not be unreasonable withheld; provided, however, that Gogo may assign such rights or obligations to (a) a successor or surviving corporation resulting from a merger, consolidation, sale of assets or stock or other corporate reorganization, or (b) its parent or affiliate, upon condition that the assignee will assume all of the Party’s obligations hereunder. Any attempt to assign or delegate in violation of this clause will be void.</w:t>
      </w:r>
    </w:p>
    <w:p>
      <w:pPr>
        <w:spacing w:after="0" w:line="200" w:lineRule="exact"/>
        <w:rPr>
          <w:sz w:val="20"/>
          <w:szCs w:val="20"/>
          <w:color w:val="auto"/>
        </w:rPr>
      </w:pPr>
    </w:p>
    <w:p>
      <w:pPr>
        <w:spacing w:after="0" w:line="246" w:lineRule="exact"/>
        <w:rPr>
          <w:sz w:val="20"/>
          <w:szCs w:val="20"/>
          <w:color w:val="auto"/>
        </w:rPr>
      </w:pPr>
    </w:p>
    <w:p>
      <w:pPr>
        <w:spacing w:after="0"/>
        <w:tabs>
          <w:tab w:leader="none" w:pos="1042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12</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5" w:name="page166"/>
    <w:bookmarkEnd w:id="165"/>
    <w:p>
      <w:pPr>
        <w:ind w:left="760"/>
        <w:spacing w:after="0"/>
        <w:tabs>
          <w:tab w:leader="none" w:pos="148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16" w:lineRule="exact"/>
        <w:rPr>
          <w:sz w:val="20"/>
          <w:szCs w:val="20"/>
          <w:color w:val="auto"/>
        </w:rPr>
      </w:pPr>
    </w:p>
    <w:p>
      <w:pPr>
        <w:jc w:val="both"/>
        <w:ind w:left="1500" w:hanging="750"/>
        <w:spacing w:after="0" w:line="259" w:lineRule="auto"/>
        <w:tabs>
          <w:tab w:leader="none" w:pos="15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If Airspan receives a bona fide offer with respect to a proposed Change of Control Transaction [***] prior to entering into any legally binding commitment with respect to a Change of Control Transaction, subject to Gogo providing an undertaking to maintain such information in strict confidence and to use it solely for the purposes of Section 17.4(b) below, Airspan will deliver a written notice to Gogo specifying in reasonable detail [***] (the “Proposed Transaction”). As part of any Proposed Transaction, the Buyer (or surviving entity or successor in interest, as applicable) must be required to assume, in writing, all of the obligations of Airspan under the Agreement.</w:t>
      </w:r>
    </w:p>
    <w:p>
      <w:pPr>
        <w:spacing w:after="0" w:line="70" w:lineRule="exact"/>
        <w:rPr>
          <w:rFonts w:ascii="Arial" w:cs="Arial" w:eastAsia="Arial" w:hAnsi="Arial"/>
          <w:sz w:val="19"/>
          <w:szCs w:val="19"/>
          <w:color w:val="auto"/>
        </w:rPr>
      </w:pPr>
    </w:p>
    <w:p>
      <w:pPr>
        <w:ind w:left="1500" w:hanging="750"/>
        <w:spacing w:after="0"/>
        <w:tabs>
          <w:tab w:leader="none" w:pos="150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With respect to a Proposed Transaction:</w:t>
      </w:r>
    </w:p>
    <w:p>
      <w:pPr>
        <w:spacing w:after="0" w:line="107" w:lineRule="exact"/>
        <w:rPr>
          <w:rFonts w:ascii="Arial" w:cs="Arial" w:eastAsia="Arial" w:hAnsi="Arial"/>
          <w:sz w:val="20"/>
          <w:szCs w:val="20"/>
          <w:color w:val="auto"/>
        </w:rPr>
      </w:pPr>
    </w:p>
    <w:p>
      <w:pPr>
        <w:ind w:left="2240" w:hanging="747"/>
        <w:spacing w:after="0"/>
        <w:tabs>
          <w:tab w:leader="none" w:pos="224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2240" w:hanging="747"/>
        <w:spacing w:after="0"/>
        <w:tabs>
          <w:tab w:leader="none" w:pos="224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2240" w:right="20" w:hanging="747"/>
        <w:spacing w:after="0" w:line="260" w:lineRule="auto"/>
        <w:tabs>
          <w:tab w:leader="none" w:pos="224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If Airspan consummates the Change of Control Transaction, Gogo may, in its sole discretion, terminate this Agreement and all Orders hereunder.</w:t>
      </w:r>
    </w:p>
    <w:p>
      <w:pPr>
        <w:spacing w:after="0" w:line="68" w:lineRule="exact"/>
        <w:rPr>
          <w:rFonts w:ascii="Arial" w:cs="Arial" w:eastAsia="Arial" w:hAnsi="Arial"/>
          <w:sz w:val="20"/>
          <w:szCs w:val="20"/>
          <w:color w:val="auto"/>
        </w:rPr>
      </w:pPr>
    </w:p>
    <w:p>
      <w:pPr>
        <w:ind w:left="1500" w:hanging="750"/>
        <w:spacing w:after="0"/>
        <w:tabs>
          <w:tab w:leader="none" w:pos="150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 and all the provisions of this Section 17.4 shall expire upon the first to occur of the following:</w:t>
      </w:r>
    </w:p>
    <w:p>
      <w:pPr>
        <w:spacing w:after="0" w:line="107" w:lineRule="exact"/>
        <w:rPr>
          <w:rFonts w:ascii="Arial" w:cs="Arial" w:eastAsia="Arial" w:hAnsi="Arial"/>
          <w:sz w:val="20"/>
          <w:szCs w:val="20"/>
          <w:color w:val="auto"/>
        </w:rPr>
      </w:pPr>
    </w:p>
    <w:p>
      <w:pPr>
        <w:ind w:left="2240" w:right="20" w:hanging="747"/>
        <w:spacing w:after="0" w:line="260" w:lineRule="auto"/>
        <w:tabs>
          <w:tab w:leader="none" w:pos="224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Airspan’s or its direct or indirect parent company’s securities are offered to the public or listed for trading on recognized public securities exchange;</w:t>
      </w:r>
    </w:p>
    <w:p>
      <w:pPr>
        <w:spacing w:after="0" w:line="68" w:lineRule="exact"/>
        <w:rPr>
          <w:rFonts w:ascii="Arial" w:cs="Arial" w:eastAsia="Arial" w:hAnsi="Arial"/>
          <w:sz w:val="20"/>
          <w:szCs w:val="20"/>
          <w:color w:val="auto"/>
        </w:rPr>
      </w:pPr>
    </w:p>
    <w:p>
      <w:pPr>
        <w:ind w:left="2240" w:hanging="747"/>
        <w:spacing w:after="0"/>
        <w:tabs>
          <w:tab w:leader="none" w:pos="224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Gogo’s ATG network developed under this Agreement is decommissioned;</w:t>
      </w:r>
    </w:p>
    <w:p>
      <w:pPr>
        <w:spacing w:after="0" w:line="107" w:lineRule="exact"/>
        <w:rPr>
          <w:rFonts w:ascii="Arial" w:cs="Arial" w:eastAsia="Arial" w:hAnsi="Arial"/>
          <w:sz w:val="20"/>
          <w:szCs w:val="20"/>
          <w:color w:val="auto"/>
        </w:rPr>
      </w:pPr>
    </w:p>
    <w:p>
      <w:pPr>
        <w:ind w:left="2240" w:hanging="747"/>
        <w:spacing w:after="0"/>
        <w:tabs>
          <w:tab w:leader="none" w:pos="224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termination of exclusivity pursuant to Sections 3.4 or 3.5 of the MSA.</w:t>
      </w:r>
    </w:p>
    <w:p>
      <w:pPr>
        <w:spacing w:after="0" w:line="108" w:lineRule="exact"/>
        <w:rPr>
          <w:sz w:val="20"/>
          <w:szCs w:val="20"/>
          <w:color w:val="auto"/>
        </w:rPr>
      </w:pPr>
    </w:p>
    <w:p>
      <w:pPr>
        <w:jc w:val="both"/>
        <w:ind w:left="760" w:hanging="741"/>
        <w:spacing w:after="0" w:line="291" w:lineRule="auto"/>
        <w:tabs>
          <w:tab w:leader="none" w:pos="74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8"/>
          <w:szCs w:val="18"/>
          <w:u w:val="single" w:color="auto"/>
          <w:color w:val="auto"/>
        </w:rPr>
        <w:t>Change of Ownership or Transfer of Product</w:t>
      </w:r>
      <w:r>
        <w:rPr>
          <w:rFonts w:ascii="Arial" w:cs="Arial" w:eastAsia="Arial" w:hAnsi="Arial"/>
          <w:sz w:val="18"/>
          <w:szCs w:val="18"/>
          <w:color w:val="auto"/>
        </w:rPr>
        <w:t>. In the event Gogo consents to an assignment of this Agreement by Supplier pursuant</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prior written consent of Gogo, Supplier will include in the terms of the sale or assignment, that the new owner assumes in full the obligations and responsibilities of this Agreement; however, Supplier will remain obligated under the terms of the Agreement.</w:t>
      </w:r>
    </w:p>
    <w:p>
      <w:pPr>
        <w:spacing w:after="0" w:line="44" w:lineRule="exact"/>
        <w:rPr>
          <w:sz w:val="20"/>
          <w:szCs w:val="20"/>
          <w:color w:val="auto"/>
        </w:rPr>
      </w:pPr>
    </w:p>
    <w:p>
      <w:pPr>
        <w:jc w:val="both"/>
        <w:ind w:left="760" w:hanging="741"/>
        <w:spacing w:after="0" w:line="316" w:lineRule="auto"/>
        <w:tabs>
          <w:tab w:leader="none" w:pos="74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in this Agreement shall for any reason be held to be invalid, illegal,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unenforceable in any respect, the remaining provisions of this Agreement shall be enforceable to the maximum extent possible.</w:t>
      </w:r>
    </w:p>
    <w:p>
      <w:pPr>
        <w:spacing w:after="0" w:line="22" w:lineRule="exact"/>
        <w:rPr>
          <w:sz w:val="20"/>
          <w:szCs w:val="20"/>
          <w:color w:val="auto"/>
        </w:rPr>
      </w:pPr>
    </w:p>
    <w:p>
      <w:pPr>
        <w:jc w:val="both"/>
        <w:ind w:left="760" w:hanging="741"/>
        <w:spacing w:after="0" w:line="259" w:lineRule="auto"/>
        <w:tabs>
          <w:tab w:leader="none" w:pos="740" w:val="left"/>
        </w:tabs>
        <w:rPr>
          <w:sz w:val="20"/>
          <w:szCs w:val="20"/>
          <w:color w:val="auto"/>
        </w:rPr>
      </w:pPr>
      <w:r>
        <w:rPr>
          <w:rFonts w:ascii="Arial" w:cs="Arial" w:eastAsia="Arial" w:hAnsi="Arial"/>
          <w:sz w:val="20"/>
          <w:szCs w:val="20"/>
          <w:color w:val="auto"/>
        </w:rPr>
        <w:t>17.7</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Each Party must provide notices or other communications to the other Party in writing by: (a) certified mail, hand delivery</w:t>
      </w:r>
      <w:r>
        <w:rPr>
          <w:rFonts w:ascii="Arial" w:cs="Arial" w:eastAsia="Arial" w:hAnsi="Arial"/>
          <w:sz w:val="19"/>
          <w:szCs w:val="19"/>
          <w:u w:val="single" w:color="auto"/>
          <w:color w:val="auto"/>
        </w:rPr>
        <w:t xml:space="preserve"> </w:t>
      </w:r>
      <w:r>
        <w:rPr>
          <w:rFonts w:ascii="Arial" w:cs="Arial" w:eastAsia="Arial" w:hAnsi="Arial"/>
          <w:sz w:val="19"/>
          <w:szCs w:val="19"/>
          <w:color w:val="auto"/>
        </w:rPr>
        <w:t>or delivery by a courier service to the address below set forth (or such other address as may have been furnished by or on behalf of such Party by like notice), (b) facsimile with receipt of a “transmission ok” acknowledgement, or (c) e-mail. Communications sent by facsimile or e-mail shall be deemed effectively served upon dispatch, if receipt is confirmed electronically. Communications sent by certified mail or courier service shall be deemed effectively served three (3) calendar days after deposit. All other general correspondence may be communicated by electronic means (e-mail).</w:t>
      </w:r>
    </w:p>
    <w:p>
      <w:pPr>
        <w:spacing w:after="0" w:line="168"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20"/>
                <w:szCs w:val="20"/>
                <w:color w:val="auto"/>
                <w:w w:val="85"/>
              </w:rPr>
              <w:t>Gogo</w:t>
            </w:r>
          </w:p>
        </w:tc>
        <w:tc>
          <w:tcPr>
            <w:tcW w:w="368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20"/>
                <w:szCs w:val="20"/>
                <w:color w:val="auto"/>
              </w:rPr>
              <w:t>Supplier</w:t>
            </w:r>
          </w:p>
        </w:tc>
      </w:tr>
      <w:tr>
        <w:trPr>
          <w:trHeight w:val="20"/>
        </w:trPr>
        <w:tc>
          <w:tcPr>
            <w:tcW w:w="44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33"/>
        </w:trPr>
        <w:tc>
          <w:tcPr>
            <w:tcW w:w="4120" w:type="dxa"/>
            <w:vAlign w:val="bottom"/>
            <w:gridSpan w:val="2"/>
          </w:tcPr>
          <w:p>
            <w:pPr>
              <w:spacing w:after="0"/>
              <w:rPr>
                <w:sz w:val="20"/>
                <w:szCs w:val="20"/>
                <w:color w:val="auto"/>
              </w:rPr>
            </w:pPr>
            <w:r>
              <w:rPr>
                <w:rFonts w:ascii="Arial" w:cs="Arial" w:eastAsia="Arial" w:hAnsi="Arial"/>
                <w:sz w:val="20"/>
                <w:szCs w:val="20"/>
                <w:color w:val="auto"/>
              </w:rPr>
              <w:t>Gogo Business Aviation LLC</w:t>
            </w:r>
          </w:p>
        </w:tc>
        <w:tc>
          <w:tcPr>
            <w:tcW w:w="3200" w:type="dxa"/>
            <w:vAlign w:val="bottom"/>
            <w:gridSpan w:val="2"/>
          </w:tcPr>
          <w:p>
            <w:pPr>
              <w:spacing w:after="0"/>
              <w:rPr>
                <w:sz w:val="20"/>
                <w:szCs w:val="20"/>
                <w:color w:val="auto"/>
              </w:rPr>
            </w:pPr>
            <w:r>
              <w:rPr>
                <w:rFonts w:ascii="Arial" w:cs="Arial" w:eastAsia="Arial" w:hAnsi="Arial"/>
                <w:sz w:val="20"/>
                <w:szCs w:val="20"/>
                <w:color w:val="auto"/>
              </w:rPr>
              <w:t>Airspan Networks Inc.</w:t>
            </w:r>
          </w:p>
        </w:tc>
      </w:tr>
      <w:tr>
        <w:trPr>
          <w:trHeight w:val="230"/>
        </w:trPr>
        <w:tc>
          <w:tcPr>
            <w:tcW w:w="4120" w:type="dxa"/>
            <w:vAlign w:val="bottom"/>
            <w:gridSpan w:val="2"/>
          </w:tcPr>
          <w:p>
            <w:pPr>
              <w:spacing w:after="0"/>
              <w:rPr>
                <w:sz w:val="20"/>
                <w:szCs w:val="20"/>
                <w:color w:val="auto"/>
              </w:rPr>
            </w:pPr>
            <w:r>
              <w:rPr>
                <w:rFonts w:ascii="Arial" w:cs="Arial" w:eastAsia="Arial" w:hAnsi="Arial"/>
                <w:sz w:val="20"/>
                <w:szCs w:val="20"/>
                <w:color w:val="auto"/>
              </w:rPr>
              <w:t>105 Edgeview Drive, Suite 300</w:t>
            </w:r>
          </w:p>
        </w:tc>
        <w:tc>
          <w:tcPr>
            <w:tcW w:w="3200" w:type="dxa"/>
            <w:vAlign w:val="bottom"/>
            <w:gridSpan w:val="2"/>
          </w:tcPr>
          <w:p>
            <w:pPr>
              <w:spacing w:after="0"/>
              <w:rPr>
                <w:sz w:val="20"/>
                <w:szCs w:val="20"/>
                <w:color w:val="auto"/>
              </w:rPr>
            </w:pPr>
            <w:r>
              <w:rPr>
                <w:rFonts w:ascii="Arial" w:cs="Arial" w:eastAsia="Arial" w:hAnsi="Arial"/>
                <w:sz w:val="20"/>
                <w:szCs w:val="20"/>
                <w:color w:val="auto"/>
                <w:w w:val="87"/>
              </w:rPr>
              <w:t>777 Yamato Road Suite 310 Boca Raton</w:t>
            </w:r>
          </w:p>
        </w:tc>
      </w:tr>
      <w:tr>
        <w:trPr>
          <w:trHeight w:val="230"/>
        </w:trPr>
        <w:tc>
          <w:tcPr>
            <w:tcW w:w="4120" w:type="dxa"/>
            <w:vAlign w:val="bottom"/>
            <w:gridSpan w:val="2"/>
          </w:tcPr>
          <w:p>
            <w:pPr>
              <w:spacing w:after="0"/>
              <w:rPr>
                <w:sz w:val="20"/>
                <w:szCs w:val="20"/>
                <w:color w:val="auto"/>
              </w:rPr>
            </w:pPr>
            <w:r>
              <w:rPr>
                <w:rFonts w:ascii="Arial" w:cs="Arial" w:eastAsia="Arial" w:hAnsi="Arial"/>
                <w:sz w:val="20"/>
                <w:szCs w:val="20"/>
                <w:color w:val="auto"/>
              </w:rPr>
              <w:t>Broomfield, CO 80021</w:t>
            </w:r>
          </w:p>
        </w:tc>
        <w:tc>
          <w:tcPr>
            <w:tcW w:w="3200" w:type="dxa"/>
            <w:vAlign w:val="bottom"/>
            <w:gridSpan w:val="2"/>
          </w:tcPr>
          <w:p>
            <w:pPr>
              <w:spacing w:after="0"/>
              <w:rPr>
                <w:sz w:val="20"/>
                <w:szCs w:val="20"/>
                <w:color w:val="auto"/>
              </w:rPr>
            </w:pPr>
            <w:r>
              <w:rPr>
                <w:rFonts w:ascii="Arial" w:cs="Arial" w:eastAsia="Arial" w:hAnsi="Arial"/>
                <w:sz w:val="20"/>
                <w:szCs w:val="20"/>
                <w:color w:val="auto"/>
              </w:rPr>
              <w:t>Florida 33431</w:t>
            </w:r>
          </w:p>
        </w:tc>
      </w:tr>
      <w:tr>
        <w:trPr>
          <w:trHeight w:val="230"/>
        </w:trPr>
        <w:tc>
          <w:tcPr>
            <w:tcW w:w="4120" w:type="dxa"/>
            <w:vAlign w:val="bottom"/>
            <w:gridSpan w:val="2"/>
          </w:tcPr>
          <w:p>
            <w:pPr>
              <w:spacing w:after="0"/>
              <w:rPr>
                <w:sz w:val="20"/>
                <w:szCs w:val="20"/>
                <w:color w:val="auto"/>
              </w:rPr>
            </w:pPr>
            <w:r>
              <w:rPr>
                <w:rFonts w:ascii="Arial" w:cs="Arial" w:eastAsia="Arial" w:hAnsi="Arial"/>
                <w:sz w:val="20"/>
                <w:szCs w:val="20"/>
                <w:color w:val="auto"/>
              </w:rPr>
              <w:t>Attn: General Counsel</w:t>
            </w:r>
          </w:p>
        </w:tc>
        <w:tc>
          <w:tcPr>
            <w:tcW w:w="3200" w:type="dxa"/>
            <w:vAlign w:val="bottom"/>
            <w:gridSpan w:val="2"/>
          </w:tcPr>
          <w:p>
            <w:pPr>
              <w:spacing w:after="0"/>
              <w:rPr>
                <w:sz w:val="20"/>
                <w:szCs w:val="20"/>
                <w:color w:val="auto"/>
              </w:rPr>
            </w:pPr>
            <w:r>
              <w:rPr>
                <w:rFonts w:ascii="Arial" w:cs="Arial" w:eastAsia="Arial" w:hAnsi="Arial"/>
                <w:sz w:val="20"/>
                <w:szCs w:val="20"/>
                <w:color w:val="auto"/>
              </w:rPr>
              <w:t>Attn: Chief Financial Officer</w:t>
            </w:r>
          </w:p>
        </w:tc>
      </w:tr>
      <w:tr>
        <w:trPr>
          <w:trHeight w:val="250"/>
        </w:trPr>
        <w:tc>
          <w:tcPr>
            <w:tcW w:w="4120" w:type="dxa"/>
            <w:vAlign w:val="bottom"/>
            <w:gridSpan w:val="2"/>
          </w:tcPr>
          <w:p>
            <w:pPr>
              <w:spacing w:after="0"/>
              <w:rPr>
                <w:sz w:val="20"/>
                <w:szCs w:val="20"/>
                <w:color w:val="auto"/>
              </w:rPr>
            </w:pPr>
            <w:r>
              <w:rPr>
                <w:rFonts w:ascii="Arial" w:cs="Arial" w:eastAsia="Arial" w:hAnsi="Arial"/>
                <w:sz w:val="20"/>
                <w:szCs w:val="20"/>
                <w:color w:val="auto"/>
              </w:rPr>
              <w:t>eMail: legalnotices@gogoair.com</w:t>
            </w:r>
          </w:p>
        </w:tc>
        <w:tc>
          <w:tcPr>
            <w:tcW w:w="3200" w:type="dxa"/>
            <w:vAlign w:val="bottom"/>
            <w:gridSpan w:val="2"/>
          </w:tcPr>
          <w:p>
            <w:pPr>
              <w:spacing w:after="0"/>
              <w:rPr>
                <w:sz w:val="20"/>
                <w:szCs w:val="20"/>
                <w:color w:val="auto"/>
              </w:rPr>
            </w:pPr>
            <w:r>
              <w:rPr>
                <w:rFonts w:ascii="Arial" w:cs="Arial" w:eastAsia="Arial" w:hAnsi="Arial"/>
                <w:sz w:val="20"/>
                <w:szCs w:val="20"/>
                <w:color w:val="auto"/>
              </w:rPr>
              <w:t>eMail: contracts@airspan.com</w:t>
            </w:r>
          </w:p>
        </w:tc>
      </w:tr>
    </w:tbl>
    <w:p>
      <w:pPr>
        <w:spacing w:after="0" w:line="209"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20"/>
          <w:szCs w:val="20"/>
          <w:u w:val="single" w:color="auto"/>
          <w:color w:val="auto"/>
        </w:rPr>
        <w:t>Waiver</w:t>
      </w:r>
      <w:r>
        <w:rPr>
          <w:rFonts w:ascii="Arial" w:cs="Arial" w:eastAsia="Arial" w:hAnsi="Arial"/>
          <w:sz w:val="20"/>
          <w:szCs w:val="20"/>
          <w:color w:val="auto"/>
        </w:rPr>
        <w:t>. No waiver by either Party of a breach of any term, provision or condition of this Agreement by the other Party shall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constitute a waiver of any succeeding breach of the same or any other provision hereof. No such waiver shall be valid unless executed in writing by the Party making the waiver.</w:t>
      </w:r>
    </w:p>
    <w:p>
      <w:pPr>
        <w:spacing w:after="0" w:line="78" w:lineRule="exact"/>
        <w:rPr>
          <w:sz w:val="20"/>
          <w:szCs w:val="20"/>
          <w:color w:val="auto"/>
        </w:rPr>
      </w:pPr>
    </w:p>
    <w:p>
      <w:pPr>
        <w:jc w:val="both"/>
        <w:ind w:left="760" w:right="20" w:hanging="741"/>
        <w:spacing w:after="0" w:line="260" w:lineRule="auto"/>
        <w:tabs>
          <w:tab w:leader="none" w:pos="740" w:val="left"/>
        </w:tabs>
        <w:rPr>
          <w:sz w:val="20"/>
          <w:szCs w:val="20"/>
          <w:color w:val="auto"/>
        </w:rPr>
      </w:pPr>
      <w:r>
        <w:rPr>
          <w:rFonts w:ascii="Arial" w:cs="Arial" w:eastAsia="Arial" w:hAnsi="Arial"/>
          <w:sz w:val="20"/>
          <w:szCs w:val="20"/>
          <w:color w:val="auto"/>
        </w:rPr>
        <w:t>17.9</w:t>
      </w:r>
      <w:r>
        <w:rPr>
          <w:sz w:val="20"/>
          <w:szCs w:val="20"/>
          <w:color w:val="auto"/>
        </w:rPr>
        <w:tab/>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shall be deemed an original, and all of which</w:t>
      </w:r>
      <w:r>
        <w:rPr>
          <w:rFonts w:ascii="Arial" w:cs="Arial" w:eastAsia="Arial" w:hAnsi="Arial"/>
          <w:sz w:val="20"/>
          <w:szCs w:val="20"/>
          <w:u w:val="single" w:color="auto"/>
          <w:color w:val="auto"/>
        </w:rPr>
        <w:t xml:space="preserve"> </w:t>
      </w:r>
      <w:r>
        <w:rPr>
          <w:rFonts w:ascii="Arial" w:cs="Arial" w:eastAsia="Arial" w:hAnsi="Arial"/>
          <w:sz w:val="20"/>
          <w:szCs w:val="20"/>
          <w:color w:val="auto"/>
        </w:rPr>
        <w:t>together shall constitute one instrument.</w:t>
      </w:r>
    </w:p>
    <w:p>
      <w:pPr>
        <w:spacing w:after="0" w:line="69"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17.10</w:t>
      </w:r>
      <w:r>
        <w:rPr>
          <w:sz w:val="20"/>
          <w:szCs w:val="20"/>
          <w:color w:val="auto"/>
        </w:rPr>
        <w:tab/>
      </w:r>
      <w:r>
        <w:rPr>
          <w:rFonts w:ascii="Arial" w:cs="Arial" w:eastAsia="Arial" w:hAnsi="Arial"/>
          <w:sz w:val="20"/>
          <w:szCs w:val="20"/>
          <w:u w:val="single" w:color="auto"/>
          <w:color w:val="auto"/>
        </w:rPr>
        <w:t>Headings</w:t>
      </w:r>
      <w:r>
        <w:rPr>
          <w:rFonts w:ascii="Arial" w:cs="Arial" w:eastAsia="Arial" w:hAnsi="Arial"/>
          <w:sz w:val="20"/>
          <w:szCs w:val="20"/>
          <w:color w:val="auto"/>
        </w:rPr>
        <w:t>. The section and subsection headings used in this Agreement are intended for reference purposes only and shall not affect</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interpretation or construction of any provision of this Agreement.</w:t>
      </w:r>
    </w:p>
    <w:p>
      <w:pPr>
        <w:spacing w:after="0" w:line="200" w:lineRule="exact"/>
        <w:rPr>
          <w:sz w:val="20"/>
          <w:szCs w:val="20"/>
          <w:color w:val="auto"/>
        </w:rPr>
      </w:pPr>
    </w:p>
    <w:p>
      <w:pPr>
        <w:spacing w:after="0" w:line="227" w:lineRule="exact"/>
        <w:rPr>
          <w:sz w:val="20"/>
          <w:szCs w:val="20"/>
          <w:color w:val="auto"/>
        </w:rPr>
      </w:pPr>
    </w:p>
    <w:p>
      <w:pPr>
        <w:spacing w:after="0"/>
        <w:tabs>
          <w:tab w:leader="none" w:pos="1042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13</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6" w:name="page167"/>
    <w:bookmarkEnd w:id="166"/>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17.11</w:t>
      </w:r>
      <w:r>
        <w:rPr>
          <w:sz w:val="20"/>
          <w:szCs w:val="20"/>
          <w:color w:val="auto"/>
        </w:rPr>
        <w:tab/>
      </w:r>
      <w:r>
        <w:rPr>
          <w:rFonts w:ascii="Arial" w:cs="Arial" w:eastAsia="Arial" w:hAnsi="Arial"/>
          <w:sz w:val="20"/>
          <w:szCs w:val="20"/>
          <w:u w:val="single" w:color="auto"/>
          <w:color w:val="auto"/>
        </w:rPr>
        <w:t>Construction</w:t>
      </w:r>
      <w:r>
        <w:rPr>
          <w:rFonts w:ascii="Arial" w:cs="Arial" w:eastAsia="Arial" w:hAnsi="Arial"/>
          <w:sz w:val="20"/>
          <w:szCs w:val="20"/>
          <w:color w:val="auto"/>
        </w:rPr>
        <w:t>. Each Party acknowledges that this Agreement was drafted jointly by the Parties, and it shall be construed neither</w:t>
      </w:r>
      <w:r>
        <w:rPr>
          <w:rFonts w:ascii="Arial" w:cs="Arial" w:eastAsia="Arial" w:hAnsi="Arial"/>
          <w:sz w:val="20"/>
          <w:szCs w:val="20"/>
          <w:u w:val="single" w:color="auto"/>
          <w:color w:val="auto"/>
        </w:rPr>
        <w:t xml:space="preserve"> </w:t>
      </w:r>
      <w:r>
        <w:rPr>
          <w:rFonts w:ascii="Arial" w:cs="Arial" w:eastAsia="Arial" w:hAnsi="Arial"/>
          <w:sz w:val="20"/>
          <w:szCs w:val="20"/>
          <w:color w:val="auto"/>
        </w:rPr>
        <w:t>against nor in favor of either Party. The term “including” or “include”, as used in this Agreement, shall mean “including, but not limited to”.</w:t>
      </w:r>
    </w:p>
    <w:p>
      <w:pPr>
        <w:spacing w:after="0" w:line="78"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Arial" w:cs="Arial" w:eastAsia="Arial" w:hAnsi="Arial"/>
          <w:sz w:val="20"/>
          <w:szCs w:val="20"/>
          <w:color w:val="auto"/>
        </w:rPr>
        <w:t>17.12</w:t>
      </w:r>
      <w:r>
        <w:rPr>
          <w:sz w:val="20"/>
          <w:szCs w:val="20"/>
          <w:color w:val="auto"/>
        </w:rPr>
        <w:tab/>
      </w:r>
      <w:r>
        <w:rPr>
          <w:rFonts w:ascii="Arial" w:cs="Arial" w:eastAsia="Arial" w:hAnsi="Arial"/>
          <w:sz w:val="20"/>
          <w:szCs w:val="20"/>
          <w:u w:val="single" w:color="auto"/>
          <w:color w:val="auto"/>
        </w:rPr>
        <w:t>Third Party Beneficiaries</w:t>
      </w:r>
      <w:r>
        <w:rPr>
          <w:rFonts w:ascii="Arial" w:cs="Arial" w:eastAsia="Arial" w:hAnsi="Arial"/>
          <w:sz w:val="20"/>
          <w:szCs w:val="20"/>
          <w:color w:val="auto"/>
        </w:rPr>
        <w:t>. Nothing contained in this Agreement is intended to confer nor shall confer upon any person (other than</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Parties hereto and their permitted assigns) any rights, benefits or remedies of any kind or character whatsoever, and no such person shall be deemed a third party beneficiary under or by reason of this Agreement.</w:t>
      </w:r>
    </w:p>
    <w:p>
      <w:pPr>
        <w:spacing w:after="0" w:line="78"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17.13</w:t>
      </w:r>
      <w:r>
        <w:rPr>
          <w:sz w:val="20"/>
          <w:szCs w:val="20"/>
          <w:color w:val="auto"/>
        </w:rPr>
        <w:tab/>
      </w:r>
      <w:r>
        <w:rPr>
          <w:rFonts w:ascii="Arial" w:cs="Arial" w:eastAsia="Arial" w:hAnsi="Arial"/>
          <w:sz w:val="20"/>
          <w:szCs w:val="20"/>
          <w:u w:val="single" w:color="auto"/>
          <w:color w:val="auto"/>
        </w:rPr>
        <w:t>Accrued Rights</w:t>
      </w:r>
      <w:r>
        <w:rPr>
          <w:rFonts w:ascii="Arial" w:cs="Arial" w:eastAsia="Arial" w:hAnsi="Arial"/>
          <w:sz w:val="20"/>
          <w:szCs w:val="20"/>
          <w:color w:val="auto"/>
        </w:rPr>
        <w:t>. The termination or expiration of this Agreement shall not effect or prejudice either Party’s accrued rights</w:t>
      </w:r>
      <w:r>
        <w:rPr>
          <w:rFonts w:ascii="Arial" w:cs="Arial" w:eastAsia="Arial" w:hAnsi="Arial"/>
          <w:sz w:val="20"/>
          <w:szCs w:val="20"/>
          <w:u w:val="single" w:color="auto"/>
          <w:color w:val="auto"/>
        </w:rPr>
        <w:t xml:space="preserve"> </w:t>
      </w:r>
      <w:r>
        <w:rPr>
          <w:rFonts w:ascii="Arial" w:cs="Arial" w:eastAsia="Arial" w:hAnsi="Arial"/>
          <w:sz w:val="20"/>
          <w:szCs w:val="20"/>
          <w:color w:val="auto"/>
        </w:rPr>
        <w:t>hereunder.</w:t>
      </w:r>
    </w:p>
    <w:p>
      <w:pPr>
        <w:spacing w:after="0" w:line="69" w:lineRule="exact"/>
        <w:rPr>
          <w:sz w:val="20"/>
          <w:szCs w:val="20"/>
          <w:color w:val="auto"/>
        </w:rPr>
      </w:pPr>
    </w:p>
    <w:p>
      <w:pPr>
        <w:jc w:val="both"/>
        <w:ind w:left="760" w:hanging="741"/>
        <w:spacing w:after="0" w:line="242" w:lineRule="auto"/>
        <w:tabs>
          <w:tab w:leader="none" w:pos="740" w:val="left"/>
        </w:tabs>
        <w:rPr>
          <w:sz w:val="20"/>
          <w:szCs w:val="20"/>
          <w:color w:val="auto"/>
        </w:rPr>
      </w:pPr>
      <w:r>
        <w:rPr>
          <w:rFonts w:ascii="Arial" w:cs="Arial" w:eastAsia="Arial" w:hAnsi="Arial"/>
          <w:sz w:val="20"/>
          <w:szCs w:val="20"/>
          <w:color w:val="auto"/>
        </w:rPr>
        <w:t>17.14</w:t>
      </w:r>
      <w:r>
        <w:rPr>
          <w:sz w:val="20"/>
          <w:szCs w:val="20"/>
          <w:color w:val="auto"/>
        </w:rPr>
        <w:tab/>
      </w:r>
      <w:r>
        <w:rPr>
          <w:rFonts w:ascii="Arial" w:cs="Arial" w:eastAsia="Arial" w:hAnsi="Arial"/>
          <w:sz w:val="20"/>
          <w:szCs w:val="20"/>
          <w:u w:val="single" w:color="auto"/>
          <w:color w:val="auto"/>
        </w:rPr>
        <w:t>Governing Law, Venue and Language</w:t>
      </w:r>
      <w:r>
        <w:rPr>
          <w:rFonts w:ascii="Arial" w:cs="Arial" w:eastAsia="Arial" w:hAnsi="Arial"/>
          <w:sz w:val="20"/>
          <w:szCs w:val="20"/>
          <w:color w:val="auto"/>
        </w:rPr>
        <w:t>. THIS AGREEMENT SHALL BE GOVERNED BY AND CONSTRUED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ACCORDANCE WITH THE LAWS OF THE STATE OF NEW YORK, WITHOUT REGARD TO PRINCIPLES OF CONFLICTS OF LAW. THE UNITED NATIONS CONVENTION ON CONTRACTS FOR THE INTERNATIONAL SALE OF GOODS SHALL NOT APPLY TO THIS AGREEMENT. VENUE FOR ANY LEGAL ACTION ARISING OUT OF OR RELATING TO THIS AGREEMENT SHALL BE EXCLUSIVELY THE STATE OR FEDERAL COURTS LOCATED IN THE BOROUGH OF MANHATTAN, NEW YORK, NEW YORK. THE PARTIES HEREBY CONSENT TO THE JURISDICTION OF SUCH COURTS. NOTHING IN THIS AGREEMENT AFFECTS ANY STATUTORY RIGHTS OF CONSUMERS THAT CANNOT BE WAIVED OR LIMITED BY CONTRACT. THE PARTIES WAIVE JURY TRIAL WITH RESPECT TO ANY DISPUTE UNDER THIS AGREEMENT.</w:t>
      </w:r>
    </w:p>
    <w:p>
      <w:pPr>
        <w:spacing w:after="0" w:line="86" w:lineRule="exact"/>
        <w:rPr>
          <w:sz w:val="20"/>
          <w:szCs w:val="20"/>
          <w:color w:val="auto"/>
        </w:rPr>
      </w:pPr>
    </w:p>
    <w:p>
      <w:pPr>
        <w:jc w:val="both"/>
        <w:ind w:left="760" w:hanging="741"/>
        <w:spacing w:after="0" w:line="270" w:lineRule="auto"/>
        <w:tabs>
          <w:tab w:leader="none" w:pos="740" w:val="left"/>
        </w:tabs>
        <w:rPr>
          <w:sz w:val="20"/>
          <w:szCs w:val="20"/>
          <w:color w:val="auto"/>
        </w:rPr>
      </w:pPr>
      <w:r>
        <w:rPr>
          <w:rFonts w:ascii="Arial" w:cs="Arial" w:eastAsia="Arial" w:hAnsi="Arial"/>
          <w:sz w:val="20"/>
          <w:szCs w:val="20"/>
          <w:color w:val="auto"/>
        </w:rPr>
        <w:t>17.15</w:t>
      </w:r>
      <w:r>
        <w:rPr>
          <w:sz w:val="20"/>
          <w:szCs w:val="20"/>
          <w:color w:val="auto"/>
        </w:rPr>
        <w:tab/>
      </w:r>
      <w:r>
        <w:rPr>
          <w:rFonts w:ascii="Arial" w:cs="Arial" w:eastAsia="Arial" w:hAnsi="Arial"/>
          <w:sz w:val="18"/>
          <w:szCs w:val="18"/>
          <w:u w:val="single" w:color="auto"/>
          <w:color w:val="auto"/>
        </w:rPr>
        <w:t>Dispute Resolution</w:t>
      </w:r>
      <w:r>
        <w:rPr>
          <w:rFonts w:ascii="Arial" w:cs="Arial" w:eastAsia="Arial" w:hAnsi="Arial"/>
          <w:sz w:val="18"/>
          <w:szCs w:val="18"/>
          <w:color w:val="auto"/>
        </w:rPr>
        <w:t>. Prior to initiating a formal dispute resolution procedure with respect to any dispute, the Parties shall attempt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resolve such dispute informally, as follows: (a) the Parties’ respective project managers for the applicable Exhibit shall attempt in good faith to resolve all disputes. If the project managers are unable to resolve a dispute in an amount of time that both Parties deem reasonable under the circumstances, then upon written notice to the other Party, either Party may refer the dispute to the applicable senior corporate executives for resolution pursuant to Section 17.15(b); (b) within five (5) business days after receipt of a written notice under Section 17.15(a), the designated senior corporate executives shall discuss the problem and negotiate in good faith in an effort to resolve the dispute without the necessity of any formal dispute resolution proceeding. All negotiations shall be strictly confidential and used solely for the purposes of settlement. Any materials prepared by one Party for these proceedings shall not be used as evidence by the other Party in any subsequent litigation, provided, however, the underlying facts supporting such materials may be subject to discovery. Notwithstanding the foregoing, each Party shall be entitled to injunctive relief from a court of competent jurisdiction without the need to post any bond or demonstrate actual damages in the event of a breach or anticipatory breach by the other Party that would cause irreparable injury and damage.</w:t>
      </w:r>
    </w:p>
    <w:p>
      <w:pPr>
        <w:spacing w:after="0" w:line="6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17.16</w:t>
      </w:r>
      <w:r>
        <w:rPr>
          <w:sz w:val="20"/>
          <w:szCs w:val="20"/>
          <w:color w:val="auto"/>
        </w:rPr>
        <w:tab/>
      </w:r>
      <w:r>
        <w:rPr>
          <w:rFonts w:ascii="Arial" w:cs="Arial" w:eastAsia="Arial" w:hAnsi="Arial"/>
          <w:sz w:val="18"/>
          <w:szCs w:val="18"/>
          <w:u w:val="single" w:color="auto"/>
          <w:color w:val="auto"/>
        </w:rPr>
        <w:t>Jury Trial Wavier</w:t>
      </w:r>
      <w:r>
        <w:rPr>
          <w:rFonts w:ascii="Arial" w:cs="Arial" w:eastAsia="Arial" w:hAnsi="Arial"/>
          <w:sz w:val="18"/>
          <w:szCs w:val="18"/>
          <w:color w:val="auto"/>
        </w:rPr>
        <w:t>. Each Party waives any right to a jury trial in any proceeding arising out of or related to this Agreement.</w:t>
      </w:r>
    </w:p>
    <w:p>
      <w:pPr>
        <w:spacing w:after="0" w:line="108" w:lineRule="exact"/>
        <w:rPr>
          <w:sz w:val="20"/>
          <w:szCs w:val="20"/>
          <w:color w:val="auto"/>
        </w:rPr>
      </w:pPr>
    </w:p>
    <w:p>
      <w:pPr>
        <w:jc w:val="both"/>
        <w:ind w:left="760" w:hanging="741"/>
        <w:spacing w:after="0" w:line="244" w:lineRule="auto"/>
        <w:tabs>
          <w:tab w:leader="none" w:pos="740" w:val="left"/>
        </w:tabs>
        <w:rPr>
          <w:sz w:val="20"/>
          <w:szCs w:val="20"/>
          <w:color w:val="auto"/>
        </w:rPr>
      </w:pPr>
      <w:r>
        <w:rPr>
          <w:rFonts w:ascii="Arial" w:cs="Arial" w:eastAsia="Arial" w:hAnsi="Arial"/>
          <w:sz w:val="20"/>
          <w:szCs w:val="20"/>
          <w:color w:val="auto"/>
        </w:rPr>
        <w:t>17.17</w:t>
      </w:r>
      <w:r>
        <w:rPr>
          <w:sz w:val="20"/>
          <w:szCs w:val="20"/>
          <w:color w:val="auto"/>
        </w:rPr>
        <w:tab/>
      </w:r>
      <w:r>
        <w:rPr>
          <w:rFonts w:ascii="Arial" w:cs="Arial" w:eastAsia="Arial" w:hAnsi="Arial"/>
          <w:sz w:val="20"/>
          <w:szCs w:val="20"/>
          <w:u w:val="single" w:color="auto"/>
          <w:color w:val="auto"/>
        </w:rPr>
        <w:t>Retention of Records</w:t>
      </w:r>
      <w:r>
        <w:rPr>
          <w:rFonts w:ascii="Arial" w:cs="Arial" w:eastAsia="Arial" w:hAnsi="Arial"/>
          <w:sz w:val="20"/>
          <w:szCs w:val="20"/>
          <w:color w:val="auto"/>
        </w:rPr>
        <w:t>. For purchases supporting Gogo, Supplier’s quality assurance, development and production records shall be</w:t>
      </w:r>
      <w:r>
        <w:rPr>
          <w:rFonts w:ascii="Arial" w:cs="Arial" w:eastAsia="Arial" w:hAnsi="Arial"/>
          <w:sz w:val="20"/>
          <w:szCs w:val="20"/>
          <w:u w:val="single" w:color="auto"/>
          <w:color w:val="auto"/>
        </w:rPr>
        <w:t xml:space="preserve"> </w:t>
      </w:r>
      <w:r>
        <w:rPr>
          <w:rFonts w:ascii="Arial" w:cs="Arial" w:eastAsia="Arial" w:hAnsi="Arial"/>
          <w:sz w:val="20"/>
          <w:szCs w:val="20"/>
          <w:color w:val="auto"/>
        </w:rPr>
        <w:t>maintained on file at Supplier’s facility and available to FAA (or equivalent governmental agency in Supplier’s country that has been granted jurisdiction by the FAA) and Gogo’s authorized representatives. Supplier shall retain such records for a period of not less than seven (7) years from the date of final payment under the• applicable Order for all Products unless otherwise specified on the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-610870</wp:posOffset>
            </wp:positionV>
            <wp:extent cx="400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3">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66" w:lineRule="exact"/>
        <w:rPr>
          <w:sz w:val="20"/>
          <w:szCs w:val="20"/>
          <w:color w:val="auto"/>
        </w:rPr>
      </w:pPr>
    </w:p>
    <w:p>
      <w:pPr>
        <w:jc w:val="both"/>
        <w:ind w:left="760" w:hanging="741"/>
        <w:spacing w:after="0" w:line="274" w:lineRule="auto"/>
        <w:tabs>
          <w:tab w:leader="none" w:pos="740" w:val="left"/>
        </w:tabs>
        <w:rPr>
          <w:sz w:val="20"/>
          <w:szCs w:val="20"/>
          <w:color w:val="auto"/>
        </w:rPr>
      </w:pPr>
      <w:r>
        <w:rPr>
          <w:rFonts w:ascii="Arial" w:cs="Arial" w:eastAsia="Arial" w:hAnsi="Arial"/>
          <w:sz w:val="20"/>
          <w:szCs w:val="20"/>
          <w:color w:val="auto"/>
        </w:rPr>
        <w:t>17.18</w:t>
      </w:r>
      <w:r>
        <w:rPr>
          <w:sz w:val="20"/>
          <w:szCs w:val="20"/>
          <w:color w:val="auto"/>
        </w:rPr>
        <w:tab/>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The relationship between the Parties to this Agreement is and shall be that of independent contractors. It</w:t>
      </w:r>
      <w:r>
        <w:rPr>
          <w:rFonts w:ascii="Arial" w:cs="Arial" w:eastAsia="Arial" w:hAnsi="Arial"/>
          <w:sz w:val="18"/>
          <w:szCs w:val="18"/>
          <w:u w:val="single" w:color="auto"/>
          <w:color w:val="auto"/>
        </w:rPr>
        <w:t xml:space="preserve"> </w:t>
      </w:r>
      <w:r>
        <w:rPr>
          <w:rFonts w:ascii="Arial" w:cs="Arial" w:eastAsia="Arial" w:hAnsi="Arial"/>
          <w:sz w:val="18"/>
          <w:szCs w:val="18"/>
          <w:color w:val="auto"/>
        </w:rPr>
        <w:t>is expressly agreed that nothing in this Agreement shall be construed to create or imply a partnership, joint venture, agency relationship or contract of employment. Neither Party shall have the authority to make any statement, representation nor commitment of any kind, or to take any action that shall be binding on the other Party except as authorized in writing by the Party to be bound. Personnel supplied by each Party hereunder are not the other Party’s employees or agents, and each Party assumes full responsibility for: (a) its own acts, (b) compensation of its personnel, and (c) the payment of worker’s compensation, disability benefits, or unemployment insurance or for withholding or paying employment related taxes for any its personnel.</w:t>
      </w:r>
    </w:p>
    <w:p>
      <w:pPr>
        <w:spacing w:after="0" w:line="60" w:lineRule="exact"/>
        <w:rPr>
          <w:sz w:val="20"/>
          <w:szCs w:val="20"/>
          <w:color w:val="auto"/>
        </w:rPr>
      </w:pPr>
    </w:p>
    <w:p>
      <w:pPr>
        <w:jc w:val="both"/>
        <w:ind w:left="760" w:hanging="741"/>
        <w:spacing w:after="0" w:line="260" w:lineRule="auto"/>
        <w:tabs>
          <w:tab w:leader="none" w:pos="740" w:val="left"/>
        </w:tabs>
        <w:rPr>
          <w:sz w:val="20"/>
          <w:szCs w:val="20"/>
          <w:color w:val="auto"/>
        </w:rPr>
      </w:pPr>
      <w:r>
        <w:rPr>
          <w:rFonts w:ascii="Arial" w:cs="Arial" w:eastAsia="Arial" w:hAnsi="Arial"/>
          <w:sz w:val="20"/>
          <w:szCs w:val="20"/>
          <w:color w:val="auto"/>
        </w:rPr>
        <w:t>17.19</w:t>
      </w:r>
      <w:r>
        <w:rPr>
          <w:sz w:val="20"/>
          <w:szCs w:val="20"/>
          <w:color w:val="auto"/>
        </w:rPr>
        <w:tab/>
      </w:r>
      <w:r>
        <w:rPr>
          <w:rFonts w:ascii="Arial" w:cs="Arial" w:eastAsia="Arial" w:hAnsi="Arial"/>
          <w:sz w:val="20"/>
          <w:szCs w:val="20"/>
          <w:u w:val="single" w:color="auto"/>
          <w:color w:val="auto"/>
        </w:rPr>
        <w:t>Press Releases</w:t>
      </w:r>
      <w:r>
        <w:rPr>
          <w:rFonts w:ascii="Arial" w:cs="Arial" w:eastAsia="Arial" w:hAnsi="Arial"/>
          <w:sz w:val="20"/>
          <w:szCs w:val="20"/>
          <w:color w:val="auto"/>
        </w:rPr>
        <w:t>. Neither Party shall issue any press release concerning this Agreement without the other’s consent. Neither Party</w:t>
      </w:r>
      <w:r>
        <w:rPr>
          <w:rFonts w:ascii="Arial" w:cs="Arial" w:eastAsia="Arial" w:hAnsi="Arial"/>
          <w:sz w:val="20"/>
          <w:szCs w:val="20"/>
          <w:u w:val="single" w:color="auto"/>
          <w:color w:val="auto"/>
        </w:rPr>
        <w:t xml:space="preserve"> </w:t>
      </w:r>
      <w:r>
        <w:rPr>
          <w:rFonts w:ascii="Arial" w:cs="Arial" w:eastAsia="Arial" w:hAnsi="Arial"/>
          <w:sz w:val="20"/>
          <w:szCs w:val="20"/>
          <w:color w:val="auto"/>
        </w:rPr>
        <w:t>may use the name, trade name, trademark, logo, acronym or other designation of the other in</w:t>
      </w:r>
    </w:p>
    <w:p>
      <w:pPr>
        <w:spacing w:after="0" w:line="200" w:lineRule="exact"/>
        <w:rPr>
          <w:sz w:val="20"/>
          <w:szCs w:val="20"/>
          <w:color w:val="auto"/>
        </w:rPr>
      </w:pPr>
    </w:p>
    <w:p>
      <w:pPr>
        <w:spacing w:after="0" w:line="227" w:lineRule="exact"/>
        <w:rPr>
          <w:sz w:val="20"/>
          <w:szCs w:val="20"/>
          <w:color w:val="auto"/>
        </w:rPr>
      </w:pPr>
    </w:p>
    <w:p>
      <w:pPr>
        <w:spacing w:after="0"/>
        <w:tabs>
          <w:tab w:leader="none" w:pos="10420" w:val="left"/>
        </w:tabs>
        <w:rPr>
          <w:sz w:val="20"/>
          <w:szCs w:val="20"/>
          <w:color w:val="auto"/>
        </w:rPr>
      </w:pPr>
      <w:r>
        <w:rPr>
          <w:rFonts w:ascii="Arial" w:cs="Arial" w:eastAsia="Arial" w:hAnsi="Arial"/>
          <w:sz w:val="14"/>
          <w:szCs w:val="14"/>
          <w:color w:val="auto"/>
        </w:rPr>
        <w:t>Supply and Product Support Agreement</w:t>
      </w:r>
      <w:r>
        <w:rPr>
          <w:sz w:val="20"/>
          <w:szCs w:val="20"/>
          <w:color w:val="auto"/>
        </w:rPr>
        <w:tab/>
      </w:r>
      <w:r>
        <w:rPr>
          <w:rFonts w:ascii="Arial" w:cs="Arial" w:eastAsia="Arial" w:hAnsi="Arial"/>
          <w:sz w:val="12"/>
          <w:szCs w:val="12"/>
          <w:color w:val="auto"/>
        </w:rPr>
        <w:t xml:space="preserve">Page </w:t>
      </w:r>
      <w:r>
        <w:rPr>
          <w:rFonts w:ascii="Arial" w:cs="Arial" w:eastAsia="Arial" w:hAnsi="Arial"/>
          <w:sz w:val="12"/>
          <w:szCs w:val="12"/>
          <w:b w:val="1"/>
          <w:bCs w:val="1"/>
          <w:color w:val="auto"/>
        </w:rPr>
        <w:t>14</w:t>
      </w:r>
      <w:r>
        <w:rPr>
          <w:rFonts w:ascii="Arial" w:cs="Arial" w:eastAsia="Arial" w:hAnsi="Arial"/>
          <w:sz w:val="12"/>
          <w:szCs w:val="12"/>
          <w:color w:val="auto"/>
        </w:rPr>
        <w:t xml:space="preserve"> of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7" w:name="page168"/>
    <w:bookmarkEnd w:id="167"/>
    <w:p>
      <w:pPr>
        <w:jc w:val="both"/>
        <w:ind w:left="760"/>
        <w:spacing w:after="0" w:line="246" w:lineRule="auto"/>
        <w:rPr>
          <w:sz w:val="20"/>
          <w:szCs w:val="20"/>
          <w:color w:val="auto"/>
        </w:rPr>
      </w:pPr>
      <w:r>
        <w:rPr>
          <w:rFonts w:ascii="Arial" w:cs="Arial" w:eastAsia="Arial" w:hAnsi="Arial"/>
          <w:sz w:val="20"/>
          <w:szCs w:val="20"/>
          <w:color w:val="auto"/>
        </w:rPr>
        <w:t>connection with any press release, advertising, publicity materials or otherwise without the prior written consent of the other Party, which shall not be unreasonably withheld, conditioned or delayed. The Parties will coordinate on the timing and content of any public and Gogo-facing press releases, announcements and communications regarding this Agreement. Any and all public announcements must be pre-approved by Gogo as to timing and content.</w:t>
      </w:r>
    </w:p>
    <w:p>
      <w:pPr>
        <w:spacing w:after="0" w:line="83" w:lineRule="exact"/>
        <w:rPr>
          <w:sz w:val="20"/>
          <w:szCs w:val="20"/>
          <w:color w:val="auto"/>
        </w:rPr>
      </w:pPr>
    </w:p>
    <w:p>
      <w:pPr>
        <w:jc w:val="both"/>
        <w:ind w:left="760" w:right="20" w:hanging="741"/>
        <w:spacing w:after="0" w:line="260" w:lineRule="auto"/>
        <w:tabs>
          <w:tab w:leader="none" w:pos="740" w:val="left"/>
        </w:tabs>
        <w:rPr>
          <w:sz w:val="20"/>
          <w:szCs w:val="20"/>
          <w:color w:val="auto"/>
        </w:rPr>
      </w:pPr>
      <w:r>
        <w:rPr>
          <w:rFonts w:ascii="Arial" w:cs="Arial" w:eastAsia="Arial" w:hAnsi="Arial"/>
          <w:sz w:val="20"/>
          <w:szCs w:val="20"/>
          <w:color w:val="auto"/>
        </w:rPr>
        <w:t>17.20</w:t>
      </w:r>
      <w:r>
        <w:rPr>
          <w:sz w:val="20"/>
          <w:szCs w:val="20"/>
          <w:color w:val="auto"/>
        </w:rPr>
        <w:tab/>
      </w:r>
      <w:r>
        <w:rPr>
          <w:rFonts w:ascii="Arial" w:cs="Arial" w:eastAsia="Arial" w:hAnsi="Arial"/>
          <w:sz w:val="20"/>
          <w:szCs w:val="20"/>
          <w:u w:val="single" w:color="auto"/>
          <w:color w:val="auto"/>
        </w:rPr>
        <w:t>Third Party Code of Conduct</w:t>
      </w:r>
      <w:r>
        <w:rPr>
          <w:rFonts w:ascii="Arial" w:cs="Arial" w:eastAsia="Arial" w:hAnsi="Arial"/>
          <w:sz w:val="20"/>
          <w:szCs w:val="20"/>
          <w:color w:val="auto"/>
        </w:rPr>
        <w:t>. Supplier shall comply with Gogo’s Third Party Code of Conduct in the performance of the Services</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hereunder. The Third Party Code of Conduct is located at </w:t>
      </w:r>
      <w:r>
        <w:rPr>
          <w:rFonts w:ascii="Arial" w:cs="Arial" w:eastAsia="Arial" w:hAnsi="Arial"/>
          <w:sz w:val="20"/>
          <w:szCs w:val="20"/>
          <w:u w:val="single" w:color="auto"/>
          <w:color w:val="auto"/>
        </w:rPr>
        <w:t>http://www.gogoair.com/policies</w:t>
      </w:r>
      <w:r>
        <w:rPr>
          <w:rFonts w:ascii="Arial" w:cs="Arial" w:eastAsia="Arial" w:hAnsi="Arial"/>
          <w:sz w:val="20"/>
          <w:szCs w:val="20"/>
          <w:color w:val="auto"/>
        </w:rPr>
        <w:t>.</w:t>
      </w:r>
    </w:p>
    <w:p>
      <w:pPr>
        <w:spacing w:after="0" w:line="6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17.21</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The following Sections of this Agreement shall survive any termination or expiration of this Agreement:  1, 4.3, 4.4, 7,</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8.2, 9, 10, 11, 12, 13.1, 15, 16.2, 17, and Exhibit D.</w:t>
      </w:r>
    </w:p>
    <w:p>
      <w:pPr>
        <w:spacing w:after="0" w:line="92" w:lineRule="exact"/>
        <w:rPr>
          <w:sz w:val="20"/>
          <w:szCs w:val="20"/>
          <w:color w:val="auto"/>
        </w:rPr>
      </w:pPr>
    </w:p>
    <w:p>
      <w:pPr>
        <w:jc w:val="both"/>
        <w:ind w:left="760" w:hanging="741"/>
        <w:spacing w:after="0" w:line="246" w:lineRule="auto"/>
        <w:tabs>
          <w:tab w:leader="none" w:pos="740" w:val="left"/>
        </w:tabs>
        <w:rPr>
          <w:sz w:val="20"/>
          <w:szCs w:val="20"/>
          <w:color w:val="auto"/>
        </w:rPr>
      </w:pPr>
      <w:r>
        <w:rPr>
          <w:rFonts w:ascii="Arial" w:cs="Arial" w:eastAsia="Arial" w:hAnsi="Arial"/>
          <w:sz w:val="20"/>
          <w:szCs w:val="20"/>
          <w:color w:val="auto"/>
        </w:rPr>
        <w:t>17.22</w:t>
      </w:r>
      <w:r>
        <w:rPr>
          <w:sz w:val="20"/>
          <w:szCs w:val="20"/>
          <w:color w:val="auto"/>
        </w:rPr>
        <w:tab/>
      </w:r>
      <w:r>
        <w:rPr>
          <w:rFonts w:ascii="Arial" w:cs="Arial" w:eastAsia="Arial" w:hAnsi="Arial"/>
          <w:sz w:val="20"/>
          <w:szCs w:val="20"/>
          <w:u w:val="single" w:color="auto"/>
          <w:color w:val="auto"/>
        </w:rPr>
        <w:t>Order of Precedence</w:t>
      </w:r>
      <w:r>
        <w:rPr>
          <w:rFonts w:ascii="Arial" w:cs="Arial" w:eastAsia="Arial" w:hAnsi="Arial"/>
          <w:sz w:val="20"/>
          <w:szCs w:val="20"/>
          <w:color w:val="auto"/>
        </w:rPr>
        <w:t>. Any inconsistency in the provisions of this Agreement will be resolved by giving precedence in the following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order: (1) The applicable Amendment that gives rise to the inconsistency in provisions, (2) the Agreement, (3) Exhibits, and (4) any other document incorporated by express reference as part of the Agreement; such that the provision in the higher ranked document, to the extent of the inconsistency, will prevail.</w:t>
      </w:r>
    </w:p>
    <w:p>
      <w:pPr>
        <w:spacing w:after="0" w:line="83" w:lineRule="exact"/>
        <w:rPr>
          <w:sz w:val="20"/>
          <w:szCs w:val="20"/>
          <w:color w:val="auto"/>
        </w:rPr>
      </w:pPr>
    </w:p>
    <w:p>
      <w:pPr>
        <w:jc w:val="both"/>
        <w:ind w:left="760" w:hanging="741"/>
        <w:spacing w:after="0" w:line="259" w:lineRule="auto"/>
        <w:tabs>
          <w:tab w:leader="none" w:pos="740" w:val="left"/>
        </w:tabs>
        <w:rPr>
          <w:sz w:val="20"/>
          <w:szCs w:val="20"/>
          <w:color w:val="auto"/>
        </w:rPr>
      </w:pPr>
      <w:r>
        <w:rPr>
          <w:rFonts w:ascii="Arial" w:cs="Arial" w:eastAsia="Arial" w:hAnsi="Arial"/>
          <w:sz w:val="20"/>
          <w:szCs w:val="20"/>
          <w:color w:val="auto"/>
        </w:rPr>
        <w:t>17.23</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MSA as incorporated herein contains the entire agreement between the Parties</w:t>
      </w:r>
      <w:r>
        <w:rPr>
          <w:rFonts w:ascii="Arial" w:cs="Arial" w:eastAsia="Arial" w:hAnsi="Arial"/>
          <w:sz w:val="19"/>
          <w:szCs w:val="19"/>
          <w:u w:val="single" w:color="auto"/>
          <w:color w:val="auto"/>
        </w:rPr>
        <w:t xml:space="preserve"> </w:t>
      </w:r>
      <w:r>
        <w:rPr>
          <w:rFonts w:ascii="Arial" w:cs="Arial" w:eastAsia="Arial" w:hAnsi="Arial"/>
          <w:sz w:val="19"/>
          <w:szCs w:val="19"/>
          <w:color w:val="auto"/>
        </w:rPr>
        <w:t>with respect the supply of Products to Gogo and Product Support and supersedes any prior representations or agreements, oral or written, and all other communications between the Parties relating to the supply of Products to Gogo and Product Support. Notwithstanding the foregoing, this Agreement shall not void or modify any transfers, warranties, or indemnities of Supplier to Gogo contained in any prior agreements that relate to the Products. This Agreement will not be varied except in writing signed by an Authorized Representative of each Party.</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WITNESS WHEREOF the Parties hereto, by their duly Authorized Representatives, have executed this Agreement as of the date first set forth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00" w:type="dxa"/>
            <w:vAlign w:val="bottom"/>
            <w:gridSpan w:val="2"/>
          </w:tcPr>
          <w:p>
            <w:pPr>
              <w:ind w:left="860"/>
              <w:spacing w:after="0"/>
              <w:rPr>
                <w:sz w:val="20"/>
                <w:szCs w:val="20"/>
                <w:color w:val="auto"/>
              </w:rPr>
            </w:pPr>
            <w:r>
              <w:rPr>
                <w:rFonts w:ascii="Arial" w:cs="Arial" w:eastAsia="Arial" w:hAnsi="Arial"/>
                <w:sz w:val="20"/>
                <w:szCs w:val="20"/>
                <w:b w:val="1"/>
                <w:bCs w:val="1"/>
                <w:color w:val="auto"/>
              </w:rPr>
              <w:t>GOGO BUSINESS AVIATION LLC</w:t>
            </w:r>
          </w:p>
        </w:tc>
        <w:tc>
          <w:tcPr>
            <w:tcW w:w="5940" w:type="dxa"/>
            <w:vAlign w:val="bottom"/>
            <w:gridSpan w:val="2"/>
          </w:tcPr>
          <w:p>
            <w:pPr>
              <w:ind w:left="1360"/>
              <w:spacing w:after="0"/>
              <w:rPr>
                <w:sz w:val="20"/>
                <w:szCs w:val="20"/>
                <w:color w:val="auto"/>
              </w:rPr>
            </w:pPr>
            <w:r>
              <w:rPr>
                <w:rFonts w:ascii="Arial" w:cs="Arial" w:eastAsia="Arial" w:hAnsi="Arial"/>
                <w:sz w:val="20"/>
                <w:szCs w:val="20"/>
                <w:b w:val="1"/>
                <w:bCs w:val="1"/>
                <w:color w:val="auto"/>
              </w:rPr>
              <w:t>AIRSPAN NETWORKS INC.</w:t>
            </w:r>
          </w:p>
        </w:tc>
      </w:tr>
      <w:tr>
        <w:trPr>
          <w:trHeight w:val="479"/>
        </w:trPr>
        <w:tc>
          <w:tcPr>
            <w:tcW w:w="1360" w:type="dxa"/>
            <w:vAlign w:val="bottom"/>
          </w:tcPr>
          <w:p>
            <w:pPr>
              <w:ind w:left="860"/>
              <w:spacing w:after="0"/>
              <w:rPr>
                <w:sz w:val="20"/>
                <w:szCs w:val="20"/>
                <w:color w:val="auto"/>
              </w:rPr>
            </w:pPr>
            <w:r>
              <w:rPr>
                <w:rFonts w:ascii="Arial" w:cs="Arial" w:eastAsia="Arial" w:hAnsi="Arial"/>
                <w:sz w:val="20"/>
                <w:szCs w:val="20"/>
                <w:color w:val="auto"/>
              </w:rPr>
              <w:t>By:</w:t>
            </w:r>
          </w:p>
        </w:tc>
        <w:tc>
          <w:tcPr>
            <w:tcW w:w="3940" w:type="dxa"/>
            <w:vAlign w:val="bottom"/>
          </w:tcPr>
          <w:p>
            <w:pPr>
              <w:ind w:left="80"/>
              <w:spacing w:after="0"/>
              <w:rPr>
                <w:sz w:val="20"/>
                <w:szCs w:val="20"/>
                <w:color w:val="auto"/>
              </w:rPr>
            </w:pPr>
            <w:r>
              <w:rPr>
                <w:rFonts w:ascii="Arial" w:cs="Arial" w:eastAsia="Arial" w:hAnsi="Arial"/>
                <w:sz w:val="20"/>
                <w:szCs w:val="20"/>
                <w:color w:val="auto"/>
              </w:rPr>
              <w:t>/s/ Sergio Aguirre</w:t>
            </w:r>
          </w:p>
        </w:tc>
        <w:tc>
          <w:tcPr>
            <w:tcW w:w="1860" w:type="dxa"/>
            <w:vAlign w:val="bottom"/>
          </w:tcPr>
          <w:p>
            <w:pPr>
              <w:ind w:left="1360"/>
              <w:spacing w:after="0"/>
              <w:rPr>
                <w:sz w:val="20"/>
                <w:szCs w:val="20"/>
                <w:color w:val="auto"/>
              </w:rPr>
            </w:pPr>
            <w:r>
              <w:rPr>
                <w:rFonts w:ascii="Arial" w:cs="Arial" w:eastAsia="Arial" w:hAnsi="Arial"/>
                <w:sz w:val="20"/>
                <w:szCs w:val="20"/>
                <w:color w:val="auto"/>
              </w:rPr>
              <w:t>By:</w:t>
            </w:r>
          </w:p>
        </w:tc>
        <w:tc>
          <w:tcPr>
            <w:tcW w:w="4080" w:type="dxa"/>
            <w:vAlign w:val="bottom"/>
          </w:tcPr>
          <w:p>
            <w:pPr>
              <w:ind w:left="80"/>
              <w:spacing w:after="0"/>
              <w:rPr>
                <w:sz w:val="20"/>
                <w:szCs w:val="20"/>
                <w:color w:val="auto"/>
              </w:rPr>
            </w:pPr>
            <w:r>
              <w:rPr>
                <w:rFonts w:ascii="Arial" w:cs="Arial" w:eastAsia="Arial" w:hAnsi="Arial"/>
                <w:sz w:val="20"/>
                <w:szCs w:val="20"/>
                <w:color w:val="auto"/>
              </w:rPr>
              <w:t>/s/ Eric Stonstrom</w:t>
            </w:r>
          </w:p>
        </w:tc>
      </w:tr>
      <w:tr>
        <w:trPr>
          <w:trHeight w:val="243"/>
        </w:trPr>
        <w:tc>
          <w:tcPr>
            <w:tcW w:w="5300" w:type="dxa"/>
            <w:vAlign w:val="bottom"/>
            <w:gridSpan w:val="2"/>
          </w:tcPr>
          <w:p>
            <w:pPr>
              <w:ind w:left="860"/>
              <w:spacing w:after="0"/>
              <w:rPr>
                <w:sz w:val="20"/>
                <w:szCs w:val="20"/>
                <w:color w:val="auto"/>
              </w:rPr>
            </w:pPr>
            <w:r>
              <w:rPr>
                <w:rFonts w:ascii="Arial" w:cs="Arial" w:eastAsia="Arial" w:hAnsi="Arial"/>
                <w:sz w:val="20"/>
                <w:szCs w:val="20"/>
                <w:color w:val="auto"/>
              </w:rPr>
              <w:t>Name: Sergio Aguirre</w:t>
            </w:r>
          </w:p>
        </w:tc>
        <w:tc>
          <w:tcPr>
            <w:tcW w:w="5940" w:type="dxa"/>
            <w:vAlign w:val="bottom"/>
            <w:gridSpan w:val="2"/>
          </w:tcPr>
          <w:p>
            <w:pPr>
              <w:ind w:left="1360"/>
              <w:spacing w:after="0"/>
              <w:rPr>
                <w:sz w:val="20"/>
                <w:szCs w:val="20"/>
                <w:color w:val="auto"/>
              </w:rPr>
            </w:pPr>
            <w:r>
              <w:rPr>
                <w:rFonts w:ascii="Arial" w:cs="Arial" w:eastAsia="Arial" w:hAnsi="Arial"/>
                <w:sz w:val="20"/>
                <w:szCs w:val="20"/>
                <w:color w:val="auto"/>
              </w:rPr>
              <w:t>Name: Eric Stonestrom</w:t>
            </w:r>
          </w:p>
        </w:tc>
      </w:tr>
      <w:tr>
        <w:trPr>
          <w:trHeight w:val="250"/>
        </w:trPr>
        <w:tc>
          <w:tcPr>
            <w:tcW w:w="1360" w:type="dxa"/>
            <w:vAlign w:val="bottom"/>
          </w:tcPr>
          <w:p>
            <w:pPr>
              <w:ind w:left="860"/>
              <w:spacing w:after="0"/>
              <w:rPr>
                <w:sz w:val="20"/>
                <w:szCs w:val="20"/>
                <w:color w:val="auto"/>
              </w:rPr>
            </w:pPr>
            <w:r>
              <w:rPr>
                <w:rFonts w:ascii="Arial" w:cs="Arial" w:eastAsia="Arial" w:hAnsi="Arial"/>
                <w:sz w:val="20"/>
                <w:szCs w:val="20"/>
                <w:color w:val="auto"/>
              </w:rPr>
              <w:t>Title:</w:t>
            </w:r>
          </w:p>
        </w:tc>
        <w:tc>
          <w:tcPr>
            <w:tcW w:w="3940" w:type="dxa"/>
            <w:vAlign w:val="bottom"/>
          </w:tcPr>
          <w:p>
            <w:pPr>
              <w:ind w:left="80"/>
              <w:spacing w:after="0"/>
              <w:rPr>
                <w:sz w:val="20"/>
                <w:szCs w:val="20"/>
                <w:color w:val="auto"/>
              </w:rPr>
            </w:pPr>
            <w:r>
              <w:rPr>
                <w:rFonts w:ascii="Arial" w:cs="Arial" w:eastAsia="Arial" w:hAnsi="Arial"/>
                <w:sz w:val="20"/>
                <w:szCs w:val="20"/>
                <w:color w:val="auto"/>
              </w:rPr>
              <w:t>President</w:t>
            </w:r>
          </w:p>
        </w:tc>
        <w:tc>
          <w:tcPr>
            <w:tcW w:w="1860" w:type="dxa"/>
            <w:vAlign w:val="bottom"/>
          </w:tcPr>
          <w:p>
            <w:pPr>
              <w:ind w:left="1360"/>
              <w:spacing w:after="0"/>
              <w:rPr>
                <w:sz w:val="20"/>
                <w:szCs w:val="20"/>
                <w:color w:val="auto"/>
              </w:rPr>
            </w:pPr>
            <w:r>
              <w:rPr>
                <w:rFonts w:ascii="Arial" w:cs="Arial" w:eastAsia="Arial" w:hAnsi="Arial"/>
                <w:sz w:val="20"/>
                <w:szCs w:val="20"/>
                <w:color w:val="auto"/>
              </w:rPr>
              <w:t>Title:</w:t>
            </w:r>
          </w:p>
        </w:tc>
        <w:tc>
          <w:tcPr>
            <w:tcW w:w="4080" w:type="dxa"/>
            <w:vAlign w:val="bottom"/>
          </w:tcPr>
          <w:p>
            <w:pPr>
              <w:ind w:left="80"/>
              <w:spacing w:after="0"/>
              <w:rPr>
                <w:sz w:val="20"/>
                <w:szCs w:val="20"/>
                <w:color w:val="auto"/>
              </w:rPr>
            </w:pPr>
            <w:r>
              <w:rPr>
                <w:rFonts w:ascii="Arial" w:cs="Arial" w:eastAsia="Arial" w:hAnsi="Arial"/>
                <w:sz w:val="20"/>
                <w:szCs w:val="20"/>
                <w:color w:val="auto"/>
              </w:rPr>
              <w:t>President &amp; CEO</w:t>
            </w:r>
          </w:p>
        </w:tc>
      </w:tr>
      <w:tr>
        <w:trPr>
          <w:trHeight w:val="767"/>
        </w:trPr>
        <w:tc>
          <w:tcPr>
            <w:tcW w:w="5300" w:type="dxa"/>
            <w:vAlign w:val="bottom"/>
            <w:gridSpan w:val="2"/>
          </w:tcPr>
          <w:p>
            <w:pPr>
              <w:spacing w:after="0"/>
              <w:rPr>
                <w:sz w:val="20"/>
                <w:szCs w:val="20"/>
                <w:color w:val="auto"/>
              </w:rPr>
            </w:pPr>
            <w:r>
              <w:rPr>
                <w:rFonts w:ascii="Arial" w:cs="Arial" w:eastAsia="Arial" w:hAnsi="Arial"/>
                <w:sz w:val="14"/>
                <w:szCs w:val="14"/>
                <w:color w:val="auto"/>
              </w:rPr>
              <w:t>Supply and Product Support Agreement</w:t>
            </w:r>
          </w:p>
        </w:tc>
        <w:tc>
          <w:tcPr>
            <w:tcW w:w="1860" w:type="dxa"/>
            <w:vAlign w:val="bottom"/>
          </w:tcPr>
          <w:p>
            <w:pPr>
              <w:spacing w:after="0"/>
              <w:rPr>
                <w:sz w:val="24"/>
                <w:szCs w:val="24"/>
                <w:color w:val="auto"/>
              </w:rPr>
            </w:pPr>
          </w:p>
        </w:tc>
        <w:tc>
          <w:tcPr>
            <w:tcW w:w="4080" w:type="dxa"/>
            <w:vAlign w:val="bottom"/>
          </w:tcPr>
          <w:p>
            <w:pPr>
              <w:ind w:left="3280"/>
              <w:spacing w:after="0"/>
              <w:rPr>
                <w:sz w:val="20"/>
                <w:szCs w:val="20"/>
                <w:color w:val="auto"/>
              </w:rPr>
            </w:pPr>
            <w:r>
              <w:rPr>
                <w:rFonts w:ascii="Arial" w:cs="Arial" w:eastAsia="Arial" w:hAnsi="Arial"/>
                <w:sz w:val="14"/>
                <w:szCs w:val="14"/>
                <w:color w:val="auto"/>
                <w:w w:val="89"/>
              </w:rPr>
              <w:t xml:space="preserve">Page </w:t>
            </w:r>
            <w:r>
              <w:rPr>
                <w:rFonts w:ascii="Arial" w:cs="Arial" w:eastAsia="Arial" w:hAnsi="Arial"/>
                <w:sz w:val="14"/>
                <w:szCs w:val="14"/>
                <w:b w:val="1"/>
                <w:bCs w:val="1"/>
                <w:color w:val="auto"/>
                <w:w w:val="89"/>
              </w:rPr>
              <w:t>15</w:t>
            </w:r>
            <w:r>
              <w:rPr>
                <w:rFonts w:ascii="Arial" w:cs="Arial" w:eastAsia="Arial" w:hAnsi="Arial"/>
                <w:sz w:val="14"/>
                <w:szCs w:val="14"/>
                <w:color w:val="auto"/>
                <w:w w:val="89"/>
              </w:rPr>
              <w:t xml:space="preserve"> of </w:t>
            </w:r>
            <w:r>
              <w:rPr>
                <w:rFonts w:ascii="Arial" w:cs="Arial" w:eastAsia="Arial" w:hAnsi="Arial"/>
                <w:sz w:val="14"/>
                <w:szCs w:val="14"/>
                <w:b w:val="1"/>
                <w:bCs w:val="1"/>
                <w:color w:val="auto"/>
                <w:w w:val="89"/>
              </w:rPr>
              <w:t>15</w:t>
            </w:r>
          </w:p>
        </w:tc>
      </w:tr>
    </w:tbl>
    <w:p>
      <w:pPr>
        <w:sectPr>
          <w:pgSz w:w="11900" w:h="16838" w:orient="portrait"/>
          <w:cols w:equalWidth="0" w:num="1">
            <w:col w:w="11240"/>
          </w:cols>
          <w:pgMar w:left="320" w:top="339" w:right="33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ind w:left="2440"/>
              <w:spacing w:after="0"/>
              <w:rPr>
                <w:sz w:val="20"/>
                <w:szCs w:val="20"/>
                <w:color w:val="auto"/>
              </w:rPr>
            </w:pPr>
            <w:r>
              <w:rPr>
                <w:rFonts w:ascii="Arial" w:cs="Arial" w:eastAsia="Arial" w:hAnsi="Arial"/>
                <w:sz w:val="18"/>
                <w:szCs w:val="18"/>
                <w:b w:val="1"/>
                <w:bCs w:val="1"/>
                <w:color w:val="auto"/>
                <w:w w:val="89"/>
              </w:rPr>
              <w:t>Exhibit 21.1</w:t>
            </w:r>
          </w:p>
        </w:tc>
      </w:tr>
      <w:tr>
        <w:trPr>
          <w:trHeight w:val="675"/>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2"/>
          </w:tcPr>
          <w:p>
            <w:pPr>
              <w:ind w:left="440"/>
              <w:spacing w:after="0"/>
              <w:rPr>
                <w:sz w:val="20"/>
                <w:szCs w:val="20"/>
                <w:color w:val="auto"/>
              </w:rPr>
            </w:pPr>
            <w:r>
              <w:rPr>
                <w:rFonts w:ascii="Arial" w:cs="Arial" w:eastAsia="Arial" w:hAnsi="Arial"/>
                <w:sz w:val="18"/>
                <w:szCs w:val="18"/>
                <w:b w:val="1"/>
                <w:bCs w:val="1"/>
                <w:color w:val="auto"/>
              </w:rPr>
              <w:t>List of Subsidiaries of Gogo Inc.</w:t>
            </w:r>
          </w:p>
        </w:tc>
        <w:tc>
          <w:tcPr>
            <w:tcW w:w="3360" w:type="dxa"/>
            <w:vAlign w:val="bottom"/>
          </w:tcPr>
          <w:p>
            <w:pPr>
              <w:spacing w:after="0"/>
              <w:rPr>
                <w:sz w:val="24"/>
                <w:szCs w:val="24"/>
                <w:color w:val="auto"/>
              </w:rPr>
            </w:pPr>
          </w:p>
        </w:tc>
      </w:tr>
      <w:tr>
        <w:trPr>
          <w:trHeight w:val="30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120" w:type="dxa"/>
            <w:vAlign w:val="bottom"/>
          </w:tcPr>
          <w:p>
            <w:pPr>
              <w:spacing w:after="0"/>
              <w:rPr>
                <w:sz w:val="24"/>
                <w:szCs w:val="24"/>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Organization</w:t>
            </w:r>
          </w:p>
        </w:tc>
        <w:tc>
          <w:tcPr>
            <w:tcW w:w="10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Ownership Percentage</w:t>
            </w:r>
          </w:p>
        </w:tc>
      </w:tr>
      <w:tr>
        <w:trPr>
          <w:trHeight w:val="296"/>
        </w:trPr>
        <w:tc>
          <w:tcPr>
            <w:tcW w:w="3940" w:type="dxa"/>
            <w:vAlign w:val="bottom"/>
            <w:gridSpan w:val="2"/>
          </w:tcPr>
          <w:p>
            <w:pPr>
              <w:spacing w:after="0"/>
              <w:rPr>
                <w:sz w:val="20"/>
                <w:szCs w:val="20"/>
                <w:color w:val="auto"/>
              </w:rPr>
            </w:pPr>
            <w:r>
              <w:rPr>
                <w:rFonts w:ascii="Arial" w:cs="Arial" w:eastAsia="Arial" w:hAnsi="Arial"/>
                <w:sz w:val="18"/>
                <w:szCs w:val="18"/>
                <w:color w:val="auto"/>
              </w:rPr>
              <w:t>Gogo ATG LLC</w:t>
            </w: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Delaware</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AC BidCo LLC</w:t>
            </w: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Delaware</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rPr>
              <w:t>Gogo Business Aviation LLC</w:t>
            </w: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Delaware</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rPr>
              <w:t>Gogo Connectivity Ltd.</w:t>
            </w:r>
          </w:p>
        </w:tc>
        <w:tc>
          <w:tcPr>
            <w:tcW w:w="39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Canada</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Gogo Finance Co. Inc.</w:t>
            </w: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Delaware</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Gogo Intermediate Holdings LLC</w:t>
            </w: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Delaware</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ectPr>
          <w:pgSz w:w="11900" w:h="16838" w:orient="portrait"/>
          <w:cols w:equalWidth="0" w:num="1">
            <w:col w:w="11240"/>
          </w:cols>
          <w:pgMar w:left="320" w:top="35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333-226662 on Form S-3 and Registration Statement Nos. 333-189594, 333-212072, 333-219777, 333-225716, and 333-238295 on Form S-8 of our reports dated March 11, 2021, relating to the financial statements of Gogo Inc. and the effectiveness of Gogo Inc.’s internal control over financial reporting appearing in this Annual Report on Form 10-K for the year ended December 31,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ectPr>
          <w:pgSz w:w="11900" w:h="16838" w:orient="portrait"/>
          <w:cols w:equalWidth="0" w:num="1">
            <w:col w:w="11240"/>
          </w:cols>
          <w:pgMar w:left="320" w:top="35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Oakleigh Thorne, certify that:</w:t>
      </w:r>
    </w:p>
    <w:p>
      <w:pPr>
        <w:spacing w:after="0" w:line="243" w:lineRule="exact"/>
        <w:rPr>
          <w:sz w:val="20"/>
          <w:szCs w:val="20"/>
          <w:color w:val="auto"/>
        </w:rPr>
      </w:pPr>
    </w:p>
    <w:p>
      <w:pPr>
        <w:ind w:left="620" w:hanging="612"/>
        <w:spacing w:after="0"/>
        <w:tabs>
          <w:tab w:leader="none" w:pos="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Gogo Inc.;</w:t>
      </w:r>
    </w:p>
    <w:p>
      <w:pPr>
        <w:spacing w:after="0" w:line="23" w:lineRule="exact"/>
        <w:rPr>
          <w:rFonts w:ascii="Arial" w:cs="Arial" w:eastAsia="Arial" w:hAnsi="Arial"/>
          <w:sz w:val="18"/>
          <w:szCs w:val="18"/>
          <w:color w:val="auto"/>
        </w:rPr>
      </w:pPr>
    </w:p>
    <w:p>
      <w:pPr>
        <w:jc w:val="both"/>
        <w:ind w:left="620" w:right="160" w:hanging="612"/>
        <w:spacing w:after="0" w:line="250" w:lineRule="auto"/>
        <w:tabs>
          <w:tab w:leader="none" w:pos="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20" w:right="120" w:hanging="612"/>
        <w:spacing w:after="0" w:line="265" w:lineRule="auto"/>
        <w:tabs>
          <w:tab w:leader="none" w:pos="6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20" w:right="160" w:hanging="612"/>
        <w:spacing w:after="0" w:line="250" w:lineRule="auto"/>
        <w:tabs>
          <w:tab w:leader="none" w:pos="6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220" w:right="200" w:hanging="605"/>
        <w:spacing w:after="0" w:line="250" w:lineRule="auto"/>
        <w:tabs>
          <w:tab w:leader="none" w:pos="12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220" w:right="120" w:hanging="605"/>
        <w:spacing w:after="0" w:line="250" w:lineRule="auto"/>
        <w:tabs>
          <w:tab w:leader="none" w:pos="12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220" w:right="300" w:hanging="605"/>
        <w:spacing w:after="0" w:line="281" w:lineRule="auto"/>
        <w:tabs>
          <w:tab w:leader="none" w:pos="12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220" w:right="280" w:hanging="605"/>
        <w:spacing w:after="0" w:line="250" w:lineRule="auto"/>
        <w:tabs>
          <w:tab w:leader="none" w:pos="12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20" w:right="40" w:hanging="612"/>
        <w:spacing w:after="0" w:line="265" w:lineRule="auto"/>
        <w:tabs>
          <w:tab w:leader="none" w:pos="6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20" w:right="540" w:hanging="605"/>
        <w:spacing w:after="0" w:line="281" w:lineRule="auto"/>
        <w:tabs>
          <w:tab w:leader="none" w:pos="12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220" w:right="220" w:hanging="605"/>
        <w:spacing w:after="0" w:line="260" w:lineRule="auto"/>
        <w:tabs>
          <w:tab w:leader="none" w:pos="12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March 11,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773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5">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Barry Rowan, certify that:</w:t>
      </w:r>
    </w:p>
    <w:p>
      <w:pPr>
        <w:spacing w:after="0" w:line="243" w:lineRule="exact"/>
        <w:rPr>
          <w:sz w:val="20"/>
          <w:szCs w:val="20"/>
          <w:color w:val="auto"/>
        </w:rPr>
      </w:pPr>
    </w:p>
    <w:p>
      <w:pPr>
        <w:ind w:left="620" w:hanging="612"/>
        <w:spacing w:after="0"/>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Gogo Inc.;</w:t>
      </w:r>
    </w:p>
    <w:p>
      <w:pPr>
        <w:spacing w:after="0" w:line="23" w:lineRule="exact"/>
        <w:rPr>
          <w:rFonts w:ascii="Arial" w:cs="Arial" w:eastAsia="Arial" w:hAnsi="Arial"/>
          <w:sz w:val="18"/>
          <w:szCs w:val="18"/>
          <w:color w:val="auto"/>
        </w:rPr>
      </w:pPr>
    </w:p>
    <w:p>
      <w:pPr>
        <w:jc w:val="both"/>
        <w:ind w:left="620" w:right="160" w:hanging="612"/>
        <w:spacing w:after="0" w:line="250" w:lineRule="auto"/>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20" w:right="120" w:hanging="612"/>
        <w:spacing w:after="0" w:line="265" w:lineRule="auto"/>
        <w:tabs>
          <w:tab w:leader="none" w:pos="6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20" w:right="160" w:hanging="612"/>
        <w:spacing w:after="0" w:line="250" w:lineRule="auto"/>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220" w:right="200" w:hanging="605"/>
        <w:spacing w:after="0" w:line="250" w:lineRule="auto"/>
        <w:tabs>
          <w:tab w:leader="none" w:pos="12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220" w:right="120" w:hanging="605"/>
        <w:spacing w:after="0" w:line="250" w:lineRule="auto"/>
        <w:tabs>
          <w:tab w:leader="none" w:pos="12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220" w:right="300" w:hanging="605"/>
        <w:spacing w:after="0" w:line="281" w:lineRule="auto"/>
        <w:tabs>
          <w:tab w:leader="none" w:pos="122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220" w:right="280" w:hanging="605"/>
        <w:spacing w:after="0" w:line="250" w:lineRule="auto"/>
        <w:tabs>
          <w:tab w:leader="none" w:pos="12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20" w:right="40" w:hanging="612"/>
        <w:spacing w:after="0" w:line="265" w:lineRule="auto"/>
        <w:tabs>
          <w:tab w:leader="none" w:pos="6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20" w:right="540" w:hanging="605"/>
        <w:spacing w:after="0" w:line="281" w:lineRule="auto"/>
        <w:tabs>
          <w:tab w:leader="none" w:pos="122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220" w:right="220" w:hanging="605"/>
        <w:spacing w:after="0" w:line="260" w:lineRule="auto"/>
        <w:tabs>
          <w:tab w:leader="none" w:pos="12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March 11,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773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6">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5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 Oakleigh Thorne, President and Chief Executive Officer of Gogo Inc. (the “Company”), do hereby certify, pursuant to 18 U.S.C. Section 1350, as adopted pursuant to Section 906 of the Sarbanes-Oxley Act of 2002, that to the best of my knowledge:</w:t>
      </w:r>
    </w:p>
    <w:p>
      <w:pPr>
        <w:spacing w:after="0" w:line="184" w:lineRule="exact"/>
        <w:rPr>
          <w:sz w:val="20"/>
          <w:szCs w:val="20"/>
          <w:color w:val="auto"/>
        </w:rPr>
      </w:pPr>
    </w:p>
    <w:p>
      <w:pPr>
        <w:ind w:left="880" w:right="180" w:hanging="440"/>
        <w:spacing w:after="0" w:line="277" w:lineRule="auto"/>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(the “Report”) fully complies with the requirements of Section 13(a) or 15(d) of the Securities Exchange Act of 1934; and</w:t>
      </w:r>
    </w:p>
    <w:p>
      <w:pPr>
        <w:spacing w:after="0" w:line="183"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March 11,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 Barry Rowan, Executive Vice President and Chief Financial Officer of Gogo Inc. (the “Company”), do hereby certify, pursuant to 18 U.S.C. Section 1350, as adopted pursuant to Section 906 of the Sarbanes-Oxley Act of 2002, that to the best of my knowledge:</w:t>
      </w:r>
    </w:p>
    <w:p>
      <w:pPr>
        <w:spacing w:after="0" w:line="184" w:lineRule="exact"/>
        <w:rPr>
          <w:sz w:val="20"/>
          <w:szCs w:val="20"/>
          <w:color w:val="auto"/>
        </w:rPr>
      </w:pPr>
    </w:p>
    <w:p>
      <w:pPr>
        <w:ind w:left="880" w:right="180" w:hanging="440"/>
        <w:spacing w:after="0" w:line="277" w:lineRule="auto"/>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(the “Report”) fully complies with the requirements of Section 13(a) or 15(d) of the Securities Exchange Act of 1934; and</w:t>
      </w:r>
    </w:p>
    <w:p>
      <w:pPr>
        <w:spacing w:after="0" w:line="183"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March 11,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lvl w:ilvl="1">
      <w:lvlJc w:val="left"/>
      <w:lvlText w:val="▪"/>
      <w:numFmt w:val="bullet"/>
      <w:start w:val="1"/>
    </w:lvl>
  </w:abstractNum>
  <w:abstractNum w:abstractNumId="33">
    <w:nsid w:val="6F6DD9AC"/>
    <w:multiLevelType w:val="hybridMultilevel"/>
    <w:lvl w:ilvl="0">
      <w:lvlJc w:val="left"/>
      <w:lvlText w:val="•"/>
      <w:numFmt w:val="bullet"/>
      <w:start w:val="1"/>
    </w:lvl>
    <w:lvl w:ilvl="1">
      <w:lvlJc w:val="left"/>
      <w:lvlText w:val="o"/>
      <w:numFmt w:val="bullet"/>
      <w:start w:val="1"/>
    </w:lvl>
  </w:abstractNum>
  <w:abstractNum w:abstractNumId="34">
    <w:nsid w:val="94211F2"/>
    <w:multiLevelType w:val="hybridMultilevel"/>
    <w:lvl w:ilvl="0">
      <w:lvlJc w:val="left"/>
      <w:lvlText w:val="•"/>
      <w:numFmt w:val="bullet"/>
      <w:start w:val="1"/>
    </w:lvl>
    <w:lvl w:ilvl="1">
      <w:lvlJc w:val="left"/>
      <w:lvlText w:val="▪"/>
      <w:numFmt w:val="bullet"/>
      <w:start w:val="1"/>
    </w:lvl>
  </w:abstractNum>
  <w:abstractNum w:abstractNumId="35">
    <w:nsid w:val="885E1B"/>
    <w:multiLevelType w:val="hybridMultilevel"/>
    <w:lvl w:ilvl="0">
      <w:lvlJc w:val="left"/>
      <w:lvlText w:val="•"/>
      <w:numFmt w:val="bullet"/>
      <w:start w:val="1"/>
    </w:lvl>
    <w:lvl w:ilvl="1">
      <w:lvlJc w:val="left"/>
      <w:lvlText w:val="o"/>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1)"/>
      <w:numFmt w:val="lowerRoman"/>
      <w:start w:val="2"/>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1)"/>
      <w:numFmt w:val="decimal"/>
      <w:start w:val="1"/>
    </w:lvl>
  </w:abstractNum>
  <w:abstractNum w:abstractNumId="41">
    <w:nsid w:val="74DE0EE3"/>
    <w:multiLevelType w:val="hybridMultilevel"/>
    <w:lvl w:ilvl="0">
      <w:lvlJc w:val="left"/>
      <w:lvlText w:val="•"/>
      <w:numFmt w:val="bullet"/>
      <w:start w:val="1"/>
    </w:lvl>
    <w:lvl w:ilvl="1">
      <w:lvlJc w:val="left"/>
      <w:lvlText w:val="\endash "/>
      <w:numFmt w:val="bullet"/>
      <w:start w:val="1"/>
    </w:lvl>
  </w:abstractNum>
  <w:abstractNum w:abstractNumId="42">
    <w:nsid w:val="68EBC550"/>
    <w:multiLevelType w:val="hybridMultilevel"/>
    <w:lvl w:ilvl="0">
      <w:lvlJc w:val="left"/>
      <w:lvlText w:val="%1."/>
      <w:numFmt w:val="decimal"/>
      <w:start w:val="1"/>
    </w:lvl>
  </w:abstractNum>
  <w:abstractNum w:abstractNumId="43">
    <w:nsid w:val="2DF6D648"/>
    <w:multiLevelType w:val="hybridMultilevel"/>
    <w:lvl w:ilvl="0">
      <w:lvlJc w:val="left"/>
      <w:lvlText w:val="%1."/>
      <w:numFmt w:val="decimal"/>
      <w:start w:val="2"/>
    </w:lvl>
  </w:abstractNum>
  <w:abstractNum w:abstractNumId="44">
    <w:nsid w:val="46B7D447"/>
    <w:multiLevelType w:val="hybridMultilevel"/>
    <w:lvl w:ilvl="0">
      <w:lvlJc w:val="left"/>
      <w:lvlText w:val="%1."/>
      <w:numFmt w:val="decimal"/>
      <w:start w:val="3"/>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1)"/>
      <w:numFmt w:val="decimal"/>
      <w:start w:val="1"/>
    </w:lvl>
  </w:abstractNum>
  <w:abstractNum w:abstractNumId="47">
    <w:nsid w:val="57FC4FBB"/>
    <w:multiLevelType w:val="hybridMultilevel"/>
    <w:lvl w:ilvl="0">
      <w:lvlJc w:val="left"/>
      <w:lvlText w:val="%1."/>
      <w:numFmt w:val="decimal"/>
      <w:start w:val="5"/>
    </w:lvl>
  </w:abstractNum>
  <w:abstractNum w:abstractNumId="48">
    <w:nsid w:val="CC1016F"/>
    <w:multiLevelType w:val="hybridMultilevel"/>
    <w:lvl w:ilvl="0">
      <w:lvlJc w:val="left"/>
      <w:lvlText w:val="%1."/>
      <w:numFmt w:val="decimal"/>
      <w:start w:val="6"/>
    </w:lvl>
  </w:abstractNum>
  <w:abstractNum w:abstractNumId="49">
    <w:nsid w:val="43F18422"/>
    <w:multiLevelType w:val="hybridMultilevel"/>
    <w:lvl w:ilvl="0">
      <w:lvlJc w:val="left"/>
      <w:lvlText w:val="\emdash "/>
      <w:numFmt w:val="bullet"/>
      <w:start w:val="1"/>
    </w:lvl>
  </w:abstractNum>
  <w:abstractNum w:abstractNumId="50">
    <w:nsid w:val="60EF0119"/>
    <w:multiLevelType w:val="hybridMultilevel"/>
    <w:lvl w:ilvl="0">
      <w:lvlJc w:val="left"/>
      <w:lvlText w:val="(%1)"/>
      <w:numFmt w:val="decimal"/>
      <w:start w:val="1"/>
    </w:lvl>
  </w:abstractNum>
  <w:abstractNum w:abstractNumId="51">
    <w:nsid w:val="26F324BA"/>
    <w:multiLevelType w:val="hybridMultilevel"/>
    <w:lvl w:ilvl="0">
      <w:lvlJc w:val="left"/>
      <w:lvlText w:val="%1."/>
      <w:numFmt w:val="decimal"/>
      <w:start w:val="7"/>
    </w:lvl>
  </w:abstractNum>
  <w:abstractNum w:abstractNumId="52">
    <w:nsid w:val="7F01579B"/>
    <w:multiLevelType w:val="hybridMultilevel"/>
    <w:lvl w:ilvl="0">
      <w:lvlJc w:val="left"/>
      <w:lvlText w:val="%1."/>
      <w:numFmt w:val="decimal"/>
      <w:start w:val="8"/>
    </w:lvl>
  </w:abstractNum>
  <w:abstractNum w:abstractNumId="53">
    <w:nsid w:val="49DA307D"/>
    <w:multiLevelType w:val="hybridMultilevel"/>
    <w:lvl w:ilvl="0">
      <w:lvlJc w:val="left"/>
      <w:lvlText w:val="%1."/>
      <w:numFmt w:val="decimal"/>
      <w:start w:val="9"/>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1)"/>
      <w:numFmt w:val="lowerRoman"/>
      <w:start w:val="2"/>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1."/>
      <w:numFmt w:val="decimal"/>
      <w:start w:val="12"/>
    </w:lvl>
    <w:lvl w:ilvl="1">
      <w:lvlJc w:val="left"/>
      <w:lvlText w:val="•"/>
      <w:numFmt w:val="bullet"/>
      <w:start w:val="1"/>
    </w:lvl>
  </w:abstractNum>
  <w:abstractNum w:abstractNumId="59">
    <w:nsid w:val="6AA78F7F"/>
    <w:multiLevelType w:val="hybridMultilevel"/>
    <w:lvl w:ilvl="0">
      <w:lvlJc w:val="left"/>
      <w:lvlText w:val="%1"/>
      <w:numFmt w:val="decimal"/>
      <w:start w:val="1"/>
    </w:lvl>
    <w:lvl w:ilvl="1">
      <w:lvlJc w:val="left"/>
      <w:lvlText w:val="(%2)"/>
      <w:numFmt w:val="decimal"/>
      <w:start w:val="1"/>
    </w:lvl>
  </w:abstractNum>
  <w:abstractNum w:abstractNumId="60">
    <w:nsid w:val="7672BD23"/>
    <w:multiLevelType w:val="hybridMultilevel"/>
    <w:lvl w:ilvl="0">
      <w:lvlJc w:val="left"/>
      <w:lvlText w:val="%1."/>
      <w:numFmt w:val="decimal"/>
      <w:start w:val="13"/>
    </w:lvl>
    <w:lvl w:ilvl="1">
      <w:lvlJc w:val="left"/>
      <w:lvlText w:val="%2"/>
      <w:numFmt w:val="decimal"/>
      <w:start w:val="1"/>
    </w:lvl>
  </w:abstractNum>
  <w:abstractNum w:abstractNumId="61">
    <w:nsid w:val="6FC75AF8"/>
    <w:multiLevelType w:val="hybridMultilevel"/>
    <w:lvl w:ilvl="0">
      <w:lvlJc w:val="left"/>
      <w:lvlText w:val="%1."/>
      <w:numFmt w:val="decimal"/>
      <w:start w:val="20"/>
    </w:lvl>
  </w:abstractNum>
  <w:abstractNum w:abstractNumId="62">
    <w:nsid w:val="6A5F7029"/>
    <w:multiLevelType w:val="hybridMultilevel"/>
    <w:lvl w:ilvl="0">
      <w:lvlJc w:val="left"/>
      <w:lvlText w:val="(%1)"/>
      <w:numFmt w:val="decimal"/>
      <w:start w:val="1"/>
    </w:lvl>
  </w:abstractNum>
  <w:abstractNum w:abstractNumId="63">
    <w:nsid w:val="7D5E18F8"/>
    <w:multiLevelType w:val="hybridMultilevel"/>
    <w:lvl w:ilvl="0">
      <w:lvlJc w:val="left"/>
      <w:lvlText w:val="%1."/>
      <w:numFmt w:val="decimal"/>
      <w:start w:val="1"/>
    </w:lvl>
  </w:abstractNum>
  <w:abstractNum w:abstractNumId="64">
    <w:nsid w:val="5F3534A4"/>
    <w:multiLevelType w:val="hybridMultilevel"/>
    <w:lvl w:ilvl="0">
      <w:lvlJc w:val="left"/>
      <w:lvlText w:val="%1."/>
      <w:numFmt w:val="decimal"/>
      <w:start w:val="3"/>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1)"/>
      <w:numFmt w:val="lowerLetter"/>
      <w:start w:val="1"/>
    </w:lvl>
  </w:abstractNum>
  <w:abstractNum w:abstractNumId="74">
    <w:nsid w:val="1FBFE8E0"/>
    <w:multiLevelType w:val="hybridMultilevel"/>
    <w:lvl w:ilvl="0">
      <w:lvlJc w:val="left"/>
      <w:lvlText w:val="%1."/>
      <w:numFmt w:val="decimal"/>
      <w:start w:val="1"/>
    </w:lvl>
  </w:abstractNum>
  <w:abstractNum w:abstractNumId="75">
    <w:nsid w:val="5092CA79"/>
    <w:multiLevelType w:val="hybridMultilevel"/>
    <w:lvl w:ilvl="0">
      <w:lvlJc w:val="left"/>
      <w:lvlText w:val="(%1)"/>
      <w:numFmt w:val="lowerLetter"/>
      <w:start w:val="1"/>
    </w:lvl>
  </w:abstractNum>
  <w:abstractNum w:abstractNumId="76">
    <w:nsid w:val="1D545C4D"/>
    <w:multiLevelType w:val="hybridMultilevel"/>
    <w:lvl w:ilvl="0">
      <w:lvlJc w:val="left"/>
      <w:lvlText w:val="%1."/>
      <w:numFmt w:val="decimal"/>
      <w:start w:val="2"/>
    </w:lvl>
  </w:abstractNum>
  <w:abstractNum w:abstractNumId="77">
    <w:nsid w:val="59ADEA3D"/>
    <w:multiLevelType w:val="hybridMultilevel"/>
    <w:lvl w:ilvl="0">
      <w:lvlJc w:val="left"/>
      <w:lvlText w:val="(%1)"/>
      <w:numFmt w:val="lowerLetter"/>
      <w:start w:val="1"/>
    </w:lvl>
  </w:abstractNum>
  <w:abstractNum w:abstractNumId="78">
    <w:nsid w:val="288F1A34"/>
    <w:multiLevelType w:val="hybridMultilevel"/>
    <w:lvl w:ilvl="0">
      <w:lvlJc w:val="left"/>
      <w:lvlText w:val="(%1)"/>
      <w:numFmt w:val="lowerLetter"/>
      <w:start w:val="1"/>
    </w:lvl>
    <w:lvl w:ilvl="1">
      <w:lvlJc w:val="left"/>
      <w:lvlText w:val="-"/>
      <w:numFmt w:val="bullet"/>
      <w:start w:val="1"/>
    </w:lvl>
  </w:abstractNum>
  <w:abstractNum w:abstractNumId="79">
    <w:nsid w:val="2A155DBC"/>
    <w:multiLevelType w:val="hybridMultilevel"/>
    <w:lvl w:ilvl="0">
      <w:lvlJc w:val="left"/>
      <w:lvlText w:val="(%1)"/>
      <w:numFmt w:val="lowerLetter"/>
      <w:start w:val="1"/>
    </w:lvl>
  </w:abstractNum>
  <w:abstractNum w:abstractNumId="80">
    <w:nsid w:val="1D9F6E5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1">
    <w:nsid w:val="97E1B4E"/>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82">
    <w:nsid w:val="51088277"/>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3">
    <w:nsid w:val="1CA0C5FA"/>
    <w:multiLevelType w:val="hybridMultilevel"/>
    <w:lvl w:ilvl="0">
      <w:lvlJc w:val="left"/>
      <w:lvlText w:val="%1"/>
      <w:numFmt w:val="lowerLetter"/>
      <w:start w:val="1"/>
    </w:lvl>
    <w:lvl w:ilvl="1">
      <w:lvlJc w:val="left"/>
      <w:lvlText w:val="(%2)"/>
      <w:numFmt w:val="lowerLetter"/>
      <w:start w:val="35"/>
    </w:lvl>
  </w:abstractNum>
  <w:abstractNum w:abstractNumId="84">
    <w:nsid w:val="53584BCB"/>
    <w:multiLevelType w:val="hybridMultilevel"/>
    <w:lvl w:ilvl="0">
      <w:lvlJc w:val="left"/>
      <w:lvlText w:val="(%1)"/>
      <w:numFmt w:val="lowerLetter"/>
      <w:start w:val="3"/>
    </w:lvl>
    <w:lvl w:ilvl="1">
      <w:lvlJc w:val="left"/>
      <w:lvlText w:val="(%2)"/>
      <w:numFmt w:val="lowerLetter"/>
      <w:start w:val="9"/>
    </w:lvl>
  </w:abstractNum>
  <w:abstractNum w:abstractNumId="85">
    <w:nsid w:val="415E286C"/>
    <w:multiLevelType w:val="hybridMultilevel"/>
    <w:lvl w:ilvl="0">
      <w:lvlJc w:val="left"/>
      <w:lvlText w:val="(%1)"/>
      <w:numFmt w:val="lowerRoman"/>
      <w:start w:val="2"/>
    </w:lvl>
    <w:lvl w:ilvl="1">
      <w:lvlJc w:val="left"/>
      <w:lvlText w:val="-"/>
      <w:numFmt w:val="bullet"/>
      <w:start w:val="1"/>
    </w:lvl>
  </w:abstractNum>
  <w:abstractNum w:abstractNumId="86">
    <w:nsid w:val="7C58FD05"/>
    <w:multiLevelType w:val="hybridMultilevel"/>
    <w:lvl w:ilvl="0">
      <w:lvlJc w:val="left"/>
      <w:lvlText w:val="%1"/>
      <w:numFmt w:val="decimal"/>
      <w:start w:val="1"/>
    </w:lvl>
    <w:lvl w:ilvl="1">
      <w:lvlJc w:val="left"/>
      <w:lvlText w:val="(%2)"/>
      <w:numFmt w:val="decimal"/>
      <w:start w:val="30"/>
    </w:lvl>
  </w:abstractNum>
  <w:abstractNum w:abstractNumId="87">
    <w:nsid w:val="23D86AAC"/>
    <w:multiLevelType w:val="hybridMultilevel"/>
    <w:lvl w:ilvl="0">
      <w:lvlJc w:val="left"/>
      <w:lvlText w:val="%1."/>
      <w:numFmt w:val="decimal"/>
      <w:start w:val="3"/>
    </w:lvl>
    <w:lvl w:ilvl="1">
      <w:lvlJc w:val="left"/>
      <w:lvlText w:val="%2"/>
      <w:numFmt w:val="decimal"/>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1)"/>
      <w:numFmt w:val="lowerLetter"/>
      <w:start w:val="1"/>
    </w:lvl>
  </w:abstractNum>
  <w:abstractNum w:abstractNumId="90">
    <w:nsid w:val="E7FFA2B"/>
    <w:multiLevelType w:val="hybridMultilevel"/>
    <w:lvl w:ilvl="0">
      <w:lvlJc w:val="left"/>
      <w:lvlText w:val="%1."/>
      <w:numFmt w:val="decimal"/>
      <w:start w:val="4"/>
    </w:lvl>
  </w:abstractNum>
  <w:abstractNum w:abstractNumId="91">
    <w:nsid w:val="3C5991AA"/>
    <w:multiLevelType w:val="hybridMultilevel"/>
    <w:lvl w:ilvl="0">
      <w:lvlJc w:val="left"/>
      <w:lvlText w:val="%1."/>
      <w:numFmt w:val="decimal"/>
      <w:start w:val="5"/>
    </w:lvl>
  </w:abstractNum>
  <w:abstractNum w:abstractNumId="92">
    <w:nsid w:val="4BD8591A"/>
    <w:multiLevelType w:val="hybridMultilevel"/>
    <w:lvl w:ilvl="0">
      <w:lvlJc w:val="left"/>
      <w:lvlText w:val="%1."/>
      <w:numFmt w:val="decimal"/>
      <w:start w:val="6"/>
    </w:lvl>
  </w:abstractNum>
  <w:abstractNum w:abstractNumId="93">
    <w:nsid w:val="78DF6A55"/>
    <w:multiLevelType w:val="hybridMultilevel"/>
    <w:lvl w:ilvl="0">
      <w:lvlJc w:val="left"/>
      <w:lvlText w:val="%1."/>
      <w:numFmt w:val="decimal"/>
      <w:start w:val="7"/>
    </w:lvl>
  </w:abstractNum>
  <w:abstractNum w:abstractNumId="94">
    <w:nsid w:val="39B7AAA2"/>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95">
    <w:nsid w:val="2B0D8DBE"/>
    <w:multiLevelType w:val="hybridMultilevel"/>
    <w:lvl w:ilvl="0">
      <w:lvlJc w:val="left"/>
      <w:lvlText w:val="(%1)"/>
      <w:numFmt w:val="lowerLetter"/>
      <w:start w:val="3"/>
    </w:lvl>
  </w:abstractNum>
  <w:abstractNum w:abstractNumId="96">
    <w:nsid w:val="6C80EC70"/>
    <w:multiLevelType w:val="hybridMultilevel"/>
    <w:lvl w:ilvl="0">
      <w:lvlJc w:val="left"/>
      <w:lvlText w:val="%1"/>
      <w:numFmt w:val="decimal"/>
      <w:start w:val="1"/>
    </w:lvl>
    <w:lvl w:ilvl="1">
      <w:lvlJc w:val="left"/>
      <w:lvlText w:val="(%2)"/>
      <w:numFmt w:val="lowerLetter"/>
      <w:start w:val="1"/>
    </w:lvl>
  </w:abstractNum>
  <w:abstractNum w:abstractNumId="97">
    <w:nsid w:val="379E21B5"/>
    <w:multiLevelType w:val="hybridMultilevel"/>
    <w:lvl w:ilvl="0">
      <w:lvlJc w:val="left"/>
      <w:lvlText w:val="%1."/>
      <w:numFmt w:val="decimal"/>
      <w:start w:val="8"/>
    </w:lvl>
    <w:lvl w:ilvl="1">
      <w:lvlJc w:val="left"/>
      <w:lvlText w:val="%2"/>
      <w:numFmt w:val="lowerLetter"/>
      <w:start w:val="1"/>
    </w:lvl>
  </w:abstractNum>
  <w:abstractNum w:abstractNumId="98">
    <w:nsid w:val="69E373"/>
    <w:multiLevelType w:val="hybridMultilevel"/>
    <w:lvl w:ilvl="0">
      <w:lvlJc w:val="left"/>
      <w:lvlText w:val="%1."/>
      <w:numFmt w:val="decimal"/>
      <w:start w:val="9"/>
    </w:lvl>
  </w:abstractNum>
  <w:abstractNum w:abstractNumId="99">
    <w:nsid w:val="2C27173B"/>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00">
    <w:nsid w:val="4C9B0904"/>
    <w:multiLevelType w:val="hybridMultilevel"/>
    <w:lvl w:ilvl="0">
      <w:lvlJc w:val="left"/>
      <w:lvlText w:val="(%1)"/>
      <w:numFmt w:val="lowerLetter"/>
      <w:start w:val="2"/>
    </w:lvl>
  </w:abstractNum>
  <w:abstractNum w:abstractNumId="101">
    <w:nsid w:val="6AA7B75C"/>
    <w:multiLevelType w:val="hybridMultilevel"/>
    <w:lvl w:ilvl="0">
      <w:lvlJc w:val="left"/>
      <w:lvlText w:val="%1."/>
      <w:numFmt w:val="decimal"/>
      <w:start w:val="11"/>
    </w:lvl>
  </w:abstractNum>
  <w:abstractNum w:abstractNumId="102">
    <w:nsid w:val="1DF029D3"/>
    <w:multiLevelType w:val="hybridMultilevel"/>
    <w:lvl w:ilvl="0">
      <w:lvlJc w:val="left"/>
      <w:lvlText w:val="%1."/>
      <w:numFmt w:val="decimal"/>
      <w:start w:val="12"/>
    </w:lvl>
  </w:abstractNum>
  <w:abstractNum w:abstractNumId="103">
    <w:nsid w:val="5675FF36"/>
    <w:multiLevelType w:val="hybridMultilevel"/>
    <w:lvl w:ilvl="0">
      <w:lvlJc w:val="left"/>
      <w:lvlText w:val="(%1)"/>
      <w:numFmt w:val="lowerLetter"/>
      <w:start w:val="1"/>
    </w:lvl>
    <w:lvl w:ilvl="1">
      <w:lvlJc w:val="left"/>
      <w:lvlText w:val="(%2)"/>
      <w:numFmt w:val="lowerRoman"/>
      <w:start w:val="1"/>
    </w:lvl>
  </w:abstractNum>
  <w:abstractNum w:abstractNumId="104">
    <w:nsid w:val="3DD15094"/>
    <w:multiLevelType w:val="hybridMultilevel"/>
    <w:lvl w:ilvl="0">
      <w:lvlJc w:val="left"/>
      <w:lvlText w:val="(%1)"/>
      <w:numFmt w:val="lowerLetter"/>
      <w:start w:val="1"/>
    </w:lvl>
    <w:lvl w:ilvl="1">
      <w:lvlJc w:val="left"/>
      <w:lvlText w:val="-"/>
      <w:numFmt w:val="bullet"/>
      <w:start w:val="1"/>
    </w:lvl>
  </w:abstractNum>
  <w:abstractNum w:abstractNumId="105">
    <w:nsid w:val="3DB012B3"/>
    <w:multiLevelType w:val="hybridMultilevel"/>
    <w:lvl w:ilvl="0">
      <w:lvlJc w:val="left"/>
      <w:lvlText w:val="%1"/>
      <w:numFmt w:val="lowerLetter"/>
      <w:start w:val="1"/>
    </w:lvl>
    <w:lvl w:ilvl="1">
      <w:lvlJc w:val="left"/>
      <w:lvlText w:val="(%2)"/>
      <w:numFmt w:val="lowerRoman"/>
      <w:start w:val="1"/>
    </w:lvl>
  </w:abstractNum>
  <w:abstractNum w:abstractNumId="106">
    <w:nsid w:val="2708C9AF"/>
    <w:multiLevelType w:val="hybridMultilevel"/>
    <w:lvl w:ilvl="0">
      <w:lvlJc w:val="left"/>
      <w:lvlText w:val="(%1)"/>
      <w:numFmt w:val="lowerLetter"/>
      <w:start w:val="3"/>
    </w:lvl>
    <w:lvl w:ilvl="1">
      <w:lvlJc w:val="left"/>
      <w:lvlText w:val="%2"/>
      <w:numFmt w:val="lowerRoman"/>
      <w:start w:val="1"/>
    </w:lvl>
  </w:abstractNum>
  <w:abstractNum w:abstractNumId="107">
    <w:nsid w:val="5B25ACE2"/>
    <w:multiLevelType w:val="hybridMultilevel"/>
    <w:lvl w:ilvl="0">
      <w:lvlJc w:val="left"/>
      <w:lvlText w:val="%1."/>
      <w:numFmt w:val="decimal"/>
      <w:start w:val="1"/>
    </w:lvl>
  </w:abstractNum>
  <w:abstractNum w:abstractNumId="108">
    <w:nsid w:val="175DFCF0"/>
    <w:multiLevelType w:val="hybridMultilevel"/>
    <w:lvl w:ilvl="0">
      <w:lvlJc w:val="left"/>
      <w:lvlText w:val="%1."/>
      <w:numFmt w:val="decimal"/>
      <w:start w:val="2"/>
    </w:lvl>
  </w:abstractNum>
  <w:abstractNum w:abstractNumId="109">
    <w:nsid w:val="4F97E3E4"/>
    <w:multiLevelType w:val="hybridMultilevel"/>
    <w:lvl w:ilvl="0">
      <w:lvlJc w:val="left"/>
      <w:lvlText w:val="%1."/>
      <w:numFmt w:val="decimal"/>
      <w:start w:val="3"/>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1)"/>
      <w:numFmt w:val="lowerLetter"/>
      <w:start w:val="1"/>
    </w:lvl>
  </w:abstractNum>
  <w:abstractNum w:abstractNumId="112">
    <w:nsid w:val="5915FF32"/>
    <w:multiLevelType w:val="hybridMultilevel"/>
    <w:lvl w:ilvl="0">
      <w:lvlJc w:val="left"/>
      <w:lvlText w:val="%1."/>
      <w:numFmt w:val="decimal"/>
      <w:start w:val="5"/>
    </w:lvl>
  </w:abstractNum>
  <w:abstractNum w:abstractNumId="113">
    <w:nsid w:val="56438D15"/>
    <w:multiLevelType w:val="hybridMultilevel"/>
    <w:lvl w:ilvl="0">
      <w:lvlJc w:val="left"/>
      <w:lvlText w:val="%1."/>
      <w:numFmt w:val="decimal"/>
      <w:start w:val="6"/>
    </w:lvl>
  </w:abstractNum>
  <w:abstractNum w:abstractNumId="114">
    <w:nsid w:val="519E3149"/>
    <w:multiLevelType w:val="hybridMultilevel"/>
    <w:lvl w:ilvl="0">
      <w:lvlJc w:val="left"/>
      <w:lvlText w:val="(%1)"/>
      <w:numFmt w:val="lowerRoman"/>
      <w:start w:val="2"/>
    </w:lvl>
  </w:abstractNum>
  <w:abstractNum w:abstractNumId="115">
    <w:nsid w:val="2C6E4AFD"/>
    <w:multiLevelType w:val="hybridMultilevel"/>
    <w:lvl w:ilvl="0">
      <w:lvlJc w:val="left"/>
      <w:lvlText w:val="(%1)"/>
      <w:numFmt w:val="lowerLetter"/>
      <w:start w:val="1"/>
    </w:lvl>
    <w:lvl w:ilvl="1">
      <w:lvlJc w:val="left"/>
      <w:lvlText w:val="(%2)"/>
      <w:numFmt w:val="lowerRoman"/>
      <w:start w:val="1"/>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1."/>
      <w:numFmt w:val="decimal"/>
      <w:start w:val="7"/>
    </w:lvl>
  </w:abstractNum>
  <w:abstractNum w:abstractNumId="118">
    <w:nsid w:val="5046B5A9"/>
    <w:multiLevelType w:val="hybridMultilevel"/>
    <w:lvl w:ilvl="0">
      <w:lvlJc w:val="left"/>
      <w:lvlText w:val="%1."/>
      <w:numFmt w:val="decimal"/>
      <w:start w:val="8"/>
    </w:lvl>
    <w:lvl w:ilvl="1">
      <w:lvlJc w:val="left"/>
      <w:lvlText w:val="(%2)"/>
      <w:numFmt w:val="lowerLetter"/>
      <w:start w:val="1"/>
    </w:lvl>
  </w:abstractNum>
  <w:abstractNum w:abstractNumId="119">
    <w:nsid w:val="5D888A08"/>
    <w:multiLevelType w:val="hybridMultilevel"/>
    <w:lvl w:ilvl="0">
      <w:lvlJc w:val="left"/>
      <w:lvlText w:val="%1"/>
      <w:numFmt w:val="decimal"/>
      <w:start w:val="1"/>
    </w:lvl>
    <w:lvl w:ilvl="1">
      <w:lvlJc w:val="left"/>
      <w:lvlText w:val="(%2)"/>
      <w:numFmt w:val="lowerLetter"/>
      <w:start w:val="1"/>
    </w:lvl>
  </w:abstractNum>
  <w:abstractNum w:abstractNumId="120">
    <w:nsid w:val="2A082C70"/>
    <w:multiLevelType w:val="hybridMultilevel"/>
    <w:lvl w:ilvl="0">
      <w:lvlJc w:val="left"/>
      <w:lvlText w:val="%1."/>
      <w:numFmt w:val="decimal"/>
      <w:start w:val="9"/>
    </w:lvl>
    <w:lvl w:ilvl="1">
      <w:lvlJc w:val="left"/>
      <w:lvlText w:val="%2"/>
      <w:numFmt w:val="lowerLetter"/>
      <w:start w:val="1"/>
    </w:lvl>
  </w:abstractNum>
  <w:abstractNum w:abstractNumId="121">
    <w:nsid w:val="5EC6AFD4"/>
    <w:multiLevelType w:val="hybridMultilevel"/>
    <w:lvl w:ilvl="0">
      <w:lvlJc w:val="left"/>
      <w:lvlText w:val="%1."/>
      <w:numFmt w:val="decimal"/>
      <w:start w:val="10"/>
    </w:lvl>
  </w:abstractNum>
  <w:abstractNum w:abstractNumId="122">
    <w:nsid w:val="19E21BB2"/>
    <w:multiLevelType w:val="hybridMultilevel"/>
    <w:lvl w:ilvl="0">
      <w:lvlJc w:val="left"/>
      <w:lvlText w:val="%1."/>
      <w:numFmt w:val="decimal"/>
      <w:start w:val="12"/>
    </w:lvl>
  </w:abstractNum>
  <w:abstractNum w:abstractNumId="123">
    <w:nsid w:val="75E0858A"/>
    <w:multiLevelType w:val="hybridMultilevel"/>
    <w:lvl w:ilvl="0">
      <w:lvlJc w:val="left"/>
      <w:lvlText w:val="%1."/>
      <w:numFmt w:val="decimal"/>
      <w:start w:val="13"/>
    </w:lvl>
  </w:abstractNum>
  <w:abstractNum w:abstractNumId="124">
    <w:nsid w:val="57A61A29"/>
    <w:multiLevelType w:val="hybridMultilevel"/>
    <w:lvl w:ilvl="0">
      <w:lvlJc w:val="left"/>
      <w:lvlText w:val="(%1)"/>
      <w:numFmt w:val="lowerLetter"/>
      <w:start w:val="4"/>
    </w:lvl>
  </w:abstractNum>
  <w:abstractNum w:abstractNumId="125">
    <w:nsid w:val="5399C654"/>
    <w:multiLevelType w:val="hybridMultilevel"/>
    <w:lvl w:ilvl="0">
      <w:lvlJc w:val="left"/>
      <w:lvlText w:val="%1."/>
      <w:numFmt w:val="decimal"/>
      <w:start w:val="14"/>
    </w:lvl>
  </w:abstractNum>
  <w:abstractNum w:abstractNumId="126">
    <w:nsid w:val="20EE1348"/>
    <w:multiLevelType w:val="hybridMultilevel"/>
    <w:lvl w:ilvl="0">
      <w:lvlJc w:val="left"/>
      <w:lvlText w:val="(%1)"/>
      <w:numFmt w:val="lowerLetter"/>
      <w:start w:val="1"/>
    </w:lvl>
    <w:lvl w:ilvl="1">
      <w:lvlJc w:val="left"/>
      <w:lvlText w:val="(%2)"/>
      <w:numFmt w:val="lowerRoman"/>
      <w:start w:val="1"/>
    </w:lvl>
  </w:abstractNum>
  <w:abstractNum w:abstractNumId="127">
    <w:nsid w:val="4427069A"/>
    <w:multiLevelType w:val="hybridMultilevel"/>
    <w:lvl w:ilvl="0">
      <w:lvlJc w:val="left"/>
      <w:lvlText w:val="(%1)"/>
      <w:numFmt w:val="lowerLetter"/>
      <w:start w:val="2"/>
    </w:lvl>
  </w:abstractNum>
  <w:abstractNum w:abstractNumId="128">
    <w:nsid w:val="B37E80A"/>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129">
    <w:nsid w:val="2157F6BC"/>
    <w:multiLevelType w:val="hybridMultilevel"/>
    <w:lvl w:ilvl="0">
      <w:lvlJc w:val="left"/>
      <w:lvlText w:val="%1"/>
      <w:numFmt w:val="decimal"/>
      <w:start w:val="1"/>
    </w:lvl>
    <w:lvl w:ilvl="1">
      <w:lvlJc w:val="left"/>
      <w:lvlText w:val="(%2)"/>
      <w:numFmt w:val="upperLetter"/>
      <w:start w:val="3"/>
    </w:lvl>
  </w:abstractNum>
  <w:abstractNum w:abstractNumId="130">
    <w:nsid w:val="704E1DD5"/>
    <w:multiLevelType w:val="hybridMultilevel"/>
    <w:lvl w:ilvl="0">
      <w:lvlJc w:val="left"/>
      <w:lvlText w:val="%1."/>
      <w:numFmt w:val="decimal"/>
      <w:start w:val="15"/>
    </w:lvl>
    <w:lvl w:ilvl="1">
      <w:lvlJc w:val="left"/>
      <w:lvlText w:val="%2"/>
      <w:numFmt w:val="upperLetter"/>
      <w:start w:val="1"/>
    </w:lvl>
  </w:abstractNum>
  <w:abstractNum w:abstractNumId="131">
    <w:nsid w:val="57D2F10E"/>
    <w:multiLevelType w:val="hybridMultilevel"/>
    <w:lvl w:ilvl="0">
      <w:lvlJc w:val="left"/>
      <w:lvlText w:val="%1."/>
      <w:numFmt w:val="decimal"/>
      <w:start w:val="17"/>
    </w:lvl>
  </w:abstractNum>
  <w:abstractNum w:abstractNumId="132">
    <w:nsid w:val="BFFAE18"/>
    <w:multiLevelType w:val="hybridMultilevel"/>
    <w:lvl w:ilvl="0">
      <w:lvlJc w:val="left"/>
      <w:lvlText w:val="(%1)"/>
      <w:numFmt w:val="lowerLetter"/>
      <w:start w:val="1"/>
    </w:lvl>
    <w:lvl w:ilvl="1">
      <w:lvlJc w:val="left"/>
      <w:lvlText w:val="(%2)"/>
      <w:numFmt w:val="lowerRoman"/>
      <w:start w:val="1"/>
    </w:lvl>
  </w:abstractNum>
  <w:abstractNum w:abstractNumId="133">
    <w:nsid w:val="E3E47A8"/>
    <w:multiLevelType w:val="hybridMultilevel"/>
    <w:lvl w:ilvl="0">
      <w:lvlJc w:val="left"/>
      <w:lvlText w:val="%1."/>
      <w:numFmt w:val="decimal"/>
      <w:start w:val="1"/>
    </w:lvl>
    <w:lvl w:ilvl="1">
      <w:lvlJc w:val="left"/>
      <w:lvlText w:val="(%2)"/>
      <w:numFmt w:val="lowerLetter"/>
      <w:start w:val="1"/>
    </w:lvl>
  </w:abstractNum>
  <w:abstractNum w:abstractNumId="134">
    <w:nsid w:val="2E48F044"/>
    <w:multiLevelType w:val="hybridMultilevel"/>
    <w:lvl w:ilvl="0">
      <w:lvlJc w:val="left"/>
      <w:lvlText w:val="%1."/>
      <w:numFmt w:val="decimal"/>
      <w:start w:val="1"/>
    </w:lvl>
    <w:lvl w:ilvl="1">
      <w:lvlJc w:val="left"/>
      <w:lvlText w:val="(%2)"/>
      <w:numFmt w:val="lowerLetter"/>
      <w:start w:val="1"/>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33" Type="http://schemas.openxmlformats.org/officeDocument/2006/relationships/image" Target="media/image166.png"/><Relationship Id="rId234" Type="http://schemas.openxmlformats.org/officeDocument/2006/relationships/image" Target="media/image167.png"/><Relationship Id="rId244" Type="http://schemas.openxmlformats.org/officeDocument/2006/relationships/image" Target="media/image168.png"/><Relationship Id="rId245" Type="http://schemas.openxmlformats.org/officeDocument/2006/relationships/image" Target="media/image169.png"/><Relationship Id="rId246" Type="http://schemas.openxmlformats.org/officeDocument/2006/relationships/image" Target="media/image170.png"/><Relationship Id="rId247" Type="http://schemas.openxmlformats.org/officeDocument/2006/relationships/image" Target="media/image171.png"/><Relationship Id="rId248" Type="http://schemas.openxmlformats.org/officeDocument/2006/relationships/image" Target="media/image172.png"/><Relationship Id="rId249" Type="http://schemas.openxmlformats.org/officeDocument/2006/relationships/image" Target="media/image173.png"/><Relationship Id="rId250" Type="http://schemas.openxmlformats.org/officeDocument/2006/relationships/image" Target="media/image174.png"/><Relationship Id="rId251" Type="http://schemas.openxmlformats.org/officeDocument/2006/relationships/image" Target="media/image175.png"/><Relationship Id="rId252" Type="http://schemas.openxmlformats.org/officeDocument/2006/relationships/image" Target="media/image176.png"/><Relationship Id="rId253" Type="http://schemas.openxmlformats.org/officeDocument/2006/relationships/image" Target="media/image177.png"/><Relationship Id="rId254" Type="http://schemas.openxmlformats.org/officeDocument/2006/relationships/image" Target="media/image178.png"/><Relationship Id="rId255" Type="http://schemas.openxmlformats.org/officeDocument/2006/relationships/image" Target="media/image179.png"/><Relationship Id="rId256" Type="http://schemas.openxmlformats.org/officeDocument/2006/relationships/image" Target="media/image180.png"/><Relationship Id="rId257" Type="http://schemas.openxmlformats.org/officeDocument/2006/relationships/image" Target="media/image181.png"/><Relationship Id="rId258" Type="http://schemas.openxmlformats.org/officeDocument/2006/relationships/image" Target="media/image182.png"/><Relationship Id="rId259" Type="http://schemas.openxmlformats.org/officeDocument/2006/relationships/image" Target="media/image183.png"/><Relationship Id="rId260" Type="http://schemas.openxmlformats.org/officeDocument/2006/relationships/image" Target="media/image184.png"/><Relationship Id="rId261" Type="http://schemas.openxmlformats.org/officeDocument/2006/relationships/image" Target="media/image185.png"/><Relationship Id="rId262" Type="http://schemas.openxmlformats.org/officeDocument/2006/relationships/image" Target="media/image186.png"/><Relationship Id="rId263" Type="http://schemas.openxmlformats.org/officeDocument/2006/relationships/image" Target="media/image187.png"/><Relationship Id="rId264" Type="http://schemas.openxmlformats.org/officeDocument/2006/relationships/image" Target="media/image188.png"/><Relationship Id="rId265" Type="http://schemas.openxmlformats.org/officeDocument/2006/relationships/image" Target="media/image189.png"/><Relationship Id="rId266" Type="http://schemas.openxmlformats.org/officeDocument/2006/relationships/image" Target="media/image190.png"/><Relationship Id="rId267" Type="http://schemas.openxmlformats.org/officeDocument/2006/relationships/image" Target="media/image191.png"/><Relationship Id="rId268" Type="http://schemas.openxmlformats.org/officeDocument/2006/relationships/image" Target="media/image192.png"/><Relationship Id="rId269" Type="http://schemas.openxmlformats.org/officeDocument/2006/relationships/image" Target="media/image193.png"/><Relationship Id="rId270" Type="http://schemas.openxmlformats.org/officeDocument/2006/relationships/image" Target="media/image194.png"/><Relationship Id="rId271" Type="http://schemas.openxmlformats.org/officeDocument/2006/relationships/image" Target="media/image195.png"/><Relationship Id="rId272" Type="http://schemas.openxmlformats.org/officeDocument/2006/relationships/image" Target="media/image196.png"/><Relationship Id="rId273" Type="http://schemas.openxmlformats.org/officeDocument/2006/relationships/image" Target="media/image197.png"/><Relationship Id="rId274" Type="http://schemas.openxmlformats.org/officeDocument/2006/relationships/image" Target="media/image198.png"/><Relationship Id="rId275" Type="http://schemas.openxmlformats.org/officeDocument/2006/relationships/image" Target="media/image199.png"/><Relationship Id="rId276" Type="http://schemas.openxmlformats.org/officeDocument/2006/relationships/image" Target="media/image200.png"/><Relationship Id="rId277" Type="http://schemas.openxmlformats.org/officeDocument/2006/relationships/image" Target="media/image201.png"/><Relationship Id="rId278" Type="http://schemas.openxmlformats.org/officeDocument/2006/relationships/image" Target="media/image202.png"/><Relationship Id="rId279" Type="http://schemas.openxmlformats.org/officeDocument/2006/relationships/image" Target="media/image203.png"/><Relationship Id="rId280" Type="http://schemas.openxmlformats.org/officeDocument/2006/relationships/image" Target="media/image204.png"/><Relationship Id="rId281" Type="http://schemas.openxmlformats.org/officeDocument/2006/relationships/image" Target="media/image205.png"/><Relationship Id="rId282" Type="http://schemas.openxmlformats.org/officeDocument/2006/relationships/image" Target="media/image206.png"/><Relationship Id="rId283" Type="http://schemas.openxmlformats.org/officeDocument/2006/relationships/image" Target="media/image207.png"/><Relationship Id="rId284" Type="http://schemas.openxmlformats.org/officeDocument/2006/relationships/image" Target="media/image208.png"/><Relationship Id="rId285" Type="http://schemas.openxmlformats.org/officeDocument/2006/relationships/image" Target="media/image209.png"/><Relationship Id="rId286" Type="http://schemas.openxmlformats.org/officeDocument/2006/relationships/image" Target="media/image210.png"/><Relationship Id="rId287" Type="http://schemas.openxmlformats.org/officeDocument/2006/relationships/image" Target="media/image211.png"/><Relationship Id="rId288" Type="http://schemas.openxmlformats.org/officeDocument/2006/relationships/image" Target="media/image212.png"/><Relationship Id="rId167" Type="http://schemas.openxmlformats.org/officeDocument/2006/relationships/hyperlink" Target="http://www.sec.gov/Archives/edgar/data/1537054/000119312520236954/d944172dex21.htm" TargetMode="External"/><Relationship Id="rId168" Type="http://schemas.openxmlformats.org/officeDocument/2006/relationships/hyperlink" Target="http://www.sec.gov/Archives/edgar/data/1537054/000119312513324476/d552184dex31.htm" TargetMode="External"/><Relationship Id="rId169" Type="http://schemas.openxmlformats.org/officeDocument/2006/relationships/hyperlink" Target="http://www.sec.gov/Archives/edgar/data/1537054/000119312513324476/d552184dex32.htm" TargetMode="External"/><Relationship Id="rId170" Type="http://schemas.openxmlformats.org/officeDocument/2006/relationships/hyperlink" Target="http://www.sec.gov/Archives/edgar/data/1537054/000119312520251845/d63068dex31.htm" TargetMode="External"/><Relationship Id="rId171" Type="http://schemas.openxmlformats.org/officeDocument/2006/relationships/hyperlink" Target="http://www.sec.gov/Archives/edgar/data/1537054/000119312513252482/d551124dex41.htm" TargetMode="External"/><Relationship Id="rId172" Type="http://schemas.openxmlformats.org/officeDocument/2006/relationships/hyperlink" Target="http://www.sec.gov/Archives/edgar/data/1537054/000119312511351260/d267959dex43.htm" TargetMode="External"/><Relationship Id="rId173" Type="http://schemas.openxmlformats.org/officeDocument/2006/relationships/hyperlink" Target="http://www.sec.gov/Archives/edgar/data/1537054/000119312518332398/d654876dex41.htm" TargetMode="External"/><Relationship Id="rId174" Type="http://schemas.openxmlformats.org/officeDocument/2006/relationships/hyperlink" Target="http://www.sec.gov/Archives/edgar/data/1537054/000119312519119627/d734759dex41.htm" TargetMode="External"/><Relationship Id="rId175" Type="http://schemas.openxmlformats.org/officeDocument/2006/relationships/hyperlink" Target="http://www.sec.gov/Archives/edgar/data/1537054/000119312519119627/d734759dex43.htm" TargetMode="External"/><Relationship Id="rId178" Type="http://schemas.openxmlformats.org/officeDocument/2006/relationships/hyperlink" Target="http://www.sec.gov/Archives/edgar/data/1537054/000119312519137105/d724151dex41.htm" TargetMode="External"/><Relationship Id="rId179" Type="http://schemas.openxmlformats.org/officeDocument/2006/relationships/hyperlink" Target="http://www.sec.gov/Archives/edgar/data/1537054/000119312520251845/d63068dex41.htm" TargetMode="External"/><Relationship Id="rId180" Type="http://schemas.openxmlformats.org/officeDocument/2006/relationships/hyperlink" Target="http://www.sec.gov/Archives/edgar/data/1537054/000119312520138765/d897159dex411.htm" TargetMode="External"/><Relationship Id="rId181" Type="http://schemas.openxmlformats.org/officeDocument/2006/relationships/hyperlink" Target="http://www.sec.gov/Archives/edgar/data/1537054/000156459020038939/gogo-ex412_185.htm" TargetMode="External"/><Relationship Id="rId182" Type="http://schemas.openxmlformats.org/officeDocument/2006/relationships/hyperlink" Target="http://www.sec.gov/Archives/edgar/data/1537054/000119312520292988/d908448dex41.htm" TargetMode="External"/><Relationship Id="rId183" Type="http://schemas.openxmlformats.org/officeDocument/2006/relationships/hyperlink" Target="http://www.sec.gov/Archives/edgar/data/1537054/000119312518319287/d644423dex10148.htm" TargetMode="External"/><Relationship Id="rId184" Type="http://schemas.openxmlformats.org/officeDocument/2006/relationships/hyperlink" Target="http://www.sec.gov/Archives/edgar/data/1537054/000119312518319287/d644423dex10149.htm" TargetMode="External"/><Relationship Id="rId185" Type="http://schemas.openxmlformats.org/officeDocument/2006/relationships/hyperlink" Target="http://www.sec.gov/Archives/edgar/data/1537054/000119312518319287/d644423dex10150.htm" TargetMode="External"/><Relationship Id="rId186" Type="http://schemas.openxmlformats.org/officeDocument/2006/relationships/hyperlink" Target="http://www.sec.gov/Archives/edgar/data/1537054/000119312520307170/d50881dex101.htm" TargetMode="External"/><Relationship Id="rId187" Type="http://schemas.openxmlformats.org/officeDocument/2006/relationships/hyperlink" Target="http://www.sec.gov/Archives/edgar/data/1537054/000119312512125890/d267959dex1024.htm" TargetMode="External"/><Relationship Id="rId188" Type="http://schemas.openxmlformats.org/officeDocument/2006/relationships/hyperlink" Target="http://www.sec.gov/Archives/edgar/data/1537054/000119312512125890/d267959dex1025.htm" TargetMode="External"/><Relationship Id="rId189" Type="http://schemas.openxmlformats.org/officeDocument/2006/relationships/hyperlink" Target="http://www.sec.gov/Archives/edgar/data/1537054/000119312515280656/d73619dex10211.htm" TargetMode="External"/><Relationship Id="rId190" Type="http://schemas.openxmlformats.org/officeDocument/2006/relationships/hyperlink" Target="http://www.sec.gov/Archives/edgar/data/1537054/000119312517157955/d377947dex10214.htm" TargetMode="External"/><Relationship Id="rId191" Type="http://schemas.openxmlformats.org/officeDocument/2006/relationships/hyperlink" Target="http://www.sec.gov/Archives/edgar/data/1537054/000119312517157955/d377947dex10215.htm" TargetMode="External"/><Relationship Id="rId192" Type="http://schemas.openxmlformats.org/officeDocument/2006/relationships/hyperlink" Target="http://www.sec.gov/Archives/edgar/data/1537054/000119312518152355/d544094dex10212.htm" TargetMode="External"/><Relationship Id="rId195" Type="http://schemas.openxmlformats.org/officeDocument/2006/relationships/hyperlink" Target="http://www.sec.gov/Archives/edgar/data/1537054/000119312518152355/d544094dex10214.htm" TargetMode="External"/><Relationship Id="rId196" Type="http://schemas.openxmlformats.org/officeDocument/2006/relationships/hyperlink" Target="http://www.sec.gov/Archives/edgar/data/1537054/000119312518152355/d544094dex10215.htm" TargetMode="External"/><Relationship Id="rId197" Type="http://schemas.openxmlformats.org/officeDocument/2006/relationships/hyperlink" Target="http://www.sec.gov/Archives/edgar/data/1537054/000119312518152355/d544094dex10217.htm" TargetMode="External"/><Relationship Id="rId198" Type="http://schemas.openxmlformats.org/officeDocument/2006/relationships/hyperlink" Target="http://www.sec.gov/Archives/edgar/data/1537054/000119312520072797/d857662dex10210.htm" TargetMode="External"/><Relationship Id="rId199" Type="http://schemas.openxmlformats.org/officeDocument/2006/relationships/hyperlink" Target="http://www.sec.gov/Archives/edgar/data/1537054/000119312518152355/d544094dex10218.htm" TargetMode="External"/><Relationship Id="rId200" Type="http://schemas.openxmlformats.org/officeDocument/2006/relationships/hyperlink" Target="http://www.sec.gov/Archives/edgar/data/1537054/000119312519142871/d736492dex10220.htm" TargetMode="External"/><Relationship Id="rId201" Type="http://schemas.openxmlformats.org/officeDocument/2006/relationships/hyperlink" Target="http://www.sec.gov/Archives/edgar/data/1537054/000119312519142871/d736492dex10221.htm" TargetMode="External"/><Relationship Id="rId202" Type="http://schemas.openxmlformats.org/officeDocument/2006/relationships/hyperlink" Target="http://www.sec.gov/Archives/edgar/data/1537054/000119312519142871/d736492dex10222.htm" TargetMode="External"/><Relationship Id="rId203" Type="http://schemas.openxmlformats.org/officeDocument/2006/relationships/hyperlink" Target="http://www.sec.gov/Archives/edgar/data/1537054/000119312512125890/d267959dex1031.htm" TargetMode="External"/><Relationship Id="rId204" Type="http://schemas.openxmlformats.org/officeDocument/2006/relationships/hyperlink" Target="http://www.sec.gov/Archives/edgar/data/1537054/000119312512125890/d267959dex1032.htm" TargetMode="External"/><Relationship Id="rId205" Type="http://schemas.openxmlformats.org/officeDocument/2006/relationships/hyperlink" Target="http://www.sec.gov/Archives/edgar/data/1537054/000119312512125890/d267959dex1033.htm" TargetMode="External"/><Relationship Id="rId206" Type="http://schemas.openxmlformats.org/officeDocument/2006/relationships/hyperlink" Target="http://www.sec.gov/Archives/edgar/data/1537054/000119312513251036/d267959dex1034.htm" TargetMode="External"/><Relationship Id="rId207" Type="http://schemas.openxmlformats.org/officeDocument/2006/relationships/hyperlink" Target="http://www.sec.gov/Archives/edgar/data/1537054/000119312513251036/d267959dex1036.htm" TargetMode="External"/><Relationship Id="rId208" Type="http://schemas.openxmlformats.org/officeDocument/2006/relationships/hyperlink" Target="http://www.sec.gov/Archives/edgar/data/1537054/000119312513262303/d551124dex105.htm" TargetMode="External"/><Relationship Id="rId209" Type="http://schemas.openxmlformats.org/officeDocument/2006/relationships/hyperlink" Target="http://www.sec.gov/Archives/edgar/data/1537054/000119312514100126/d659569dex1052.htm" TargetMode="External"/><Relationship Id="rId210" Type="http://schemas.openxmlformats.org/officeDocument/2006/relationships/hyperlink" Target="http://www.sec.gov/Archives/edgar/data/1537054/000119312515069995/d851900dex1043.htm" TargetMode="External"/><Relationship Id="rId211" Type="http://schemas.openxmlformats.org/officeDocument/2006/relationships/hyperlink" Target="http://www.sec.gov/Archives/edgar/data/1537054/000119312515069995/d851900dex1044.htm" TargetMode="External"/><Relationship Id="rId212" Type="http://schemas.openxmlformats.org/officeDocument/2006/relationships/hyperlink" Target="http://www.sec.gov/Archives/edgar/data/1537054/000119312516671164/d211397dex1046.htm" TargetMode="External"/><Relationship Id="rId213" Type="http://schemas.openxmlformats.org/officeDocument/2006/relationships/hyperlink" Target="http://www.sec.gov/Archives/edgar/data/1537054/000119312516671164/d211397dex1047.htm" TargetMode="External"/><Relationship Id="rId214" Type="http://schemas.openxmlformats.org/officeDocument/2006/relationships/hyperlink" Target="http://www.sec.gov/Archives/edgar/data/1537054/000119312516671164/d211397dex1048.htm" TargetMode="External"/><Relationship Id="rId217" Type="http://schemas.openxmlformats.org/officeDocument/2006/relationships/hyperlink" Target="http://www.sec.gov/Archives/edgar/data/1537054/000119312516671164/d211397dex1049.htm" TargetMode="External"/><Relationship Id="rId218" Type="http://schemas.openxmlformats.org/officeDocument/2006/relationships/hyperlink" Target="http://www.sec.gov/Archives/edgar/data/1537054/000119312518136141/d513878ddef14a.htm#rom513878_64" TargetMode="External"/><Relationship Id="rId219" Type="http://schemas.openxmlformats.org/officeDocument/2006/relationships/hyperlink" Target="http://www.sec.gov/Archives/edgar/data/1537054/000119312516671164/d211397dex10410.htm" TargetMode="External"/><Relationship Id="rId220" Type="http://schemas.openxmlformats.org/officeDocument/2006/relationships/hyperlink" Target="http://www.sec.gov/Archives/edgar/data/1537054/000119312513261433/d551124dex107.htm" TargetMode="External"/><Relationship Id="rId221" Type="http://schemas.openxmlformats.org/officeDocument/2006/relationships/hyperlink" Target="http://www.sec.gov/Archives/edgar/data/1537054/000119312513251036/d267959dex1071.htm" TargetMode="External"/><Relationship Id="rId222" Type="http://schemas.openxmlformats.org/officeDocument/2006/relationships/hyperlink" Target="http://www.sec.gov/Archives/edgar/data/1537054/000119312513251036/d267959dex1072.htm" TargetMode="External"/><Relationship Id="rId223" Type="http://schemas.openxmlformats.org/officeDocument/2006/relationships/hyperlink" Target="http://www.sec.gov/Archives/edgar/data/1537054/000119312519119627/d734759dex101.htm" TargetMode="External"/><Relationship Id="rId224" Type="http://schemas.openxmlformats.org/officeDocument/2006/relationships/hyperlink" Target="http://www.sec.gov/Archives/edgar/data/1537054/000119312519119627/d734759dex102.htm" TargetMode="External"/><Relationship Id="rId225" Type="http://schemas.openxmlformats.org/officeDocument/2006/relationships/hyperlink" Target="http://www.sec.gov/Archives/edgar/data/1537054/000119312519119627/d734759dex104.htm" TargetMode="External"/><Relationship Id="rId226" Type="http://schemas.openxmlformats.org/officeDocument/2006/relationships/hyperlink" Target="http://www.sec.gov/Archives/edgar/data/1537054/000119312519232250/d796283dex104.htm" TargetMode="External"/><Relationship Id="rId227" Type="http://schemas.openxmlformats.org/officeDocument/2006/relationships/hyperlink" Target="http://www.sec.gov/Archives/edgar/data/1537054/000119312519142871/d736492dex10817.htm" TargetMode="External"/><Relationship Id="rId228" Type="http://schemas.openxmlformats.org/officeDocument/2006/relationships/hyperlink" Target="http://www.sec.gov/Archives/edgar/data/1537054/000119312519142871/d736492dex10818.htm" TargetMode="External"/><Relationship Id="rId229" Type="http://schemas.openxmlformats.org/officeDocument/2006/relationships/hyperlink" Target="http://www.sec.gov/Archives/edgar/data/1537054/000119312519232250/d796283dex101.htm" TargetMode="External"/><Relationship Id="rId230" Type="http://schemas.openxmlformats.org/officeDocument/2006/relationships/hyperlink" Target="http://www.sec.gov/Archives/edgar/data/1537054/000119312519232250/d796283dex102.htm" TargetMode="External"/><Relationship Id="rId231" Type="http://schemas.openxmlformats.org/officeDocument/2006/relationships/hyperlink" Target="http://www.sec.gov/Archives/edgar/data/1537054/000119312519232250/d796283dex106.htm" TargetMode="External"/><Relationship Id="rId232" Type="http://schemas.openxmlformats.org/officeDocument/2006/relationships/hyperlink" Target="http://www.sec.gov/Archives/edgar/data/1537054/000156459020052605/gogo-ex10148_316.htm" TargetMode="External"/><Relationship Id="rId235" Type="http://schemas.openxmlformats.org/officeDocument/2006/relationships/hyperlink" Target="http://www.sec.gov/Archives/edgar/data/1537054/000119312520307170/d50881dex102.htm" TargetMode="External"/><Relationship Id="rId236" Type="http://schemas.openxmlformats.org/officeDocument/2006/relationships/hyperlink" Target="http://www.sec.gov/Archives/edgar/data/1537054/000156459020052605/gogo-ex10149_315.htm" TargetMode="External"/><Relationship Id="rId237" Type="http://schemas.openxmlformats.org/officeDocument/2006/relationships/hyperlink" Target="http://www.sec.gov/Archives/edgar/data/1537054/000156459020052605/gogo-ex10150_490.htm" TargetMode="External"/><Relationship Id="rId238" Type="http://schemas.openxmlformats.org/officeDocument/2006/relationships/hyperlink" Target="http://www.sec.gov/Archives/edgar/data/1537054/000119312514100126/d659569dex10102.htm" TargetMode="External"/><Relationship Id="rId239" Type="http://schemas.openxmlformats.org/officeDocument/2006/relationships/hyperlink" Target="http://www.sec.gov/Archives/edgar/data/1537054/000119312514100126/d659569dex10103.htm" TargetMode="External"/><Relationship Id="rId240" Type="http://schemas.openxmlformats.org/officeDocument/2006/relationships/hyperlink" Target="http://www.sec.gov/Archives/edgar/data/1537054/000119312520072797/d857662dex1094.htm" TargetMode="External"/><Relationship Id="rId241" Type="http://schemas.openxmlformats.org/officeDocument/2006/relationships/hyperlink" Target="http://www.sec.gov/Archives/edgar/data/1537054/000156459020038939/gogo-ex1091_183.htm" TargetMode="External"/><Relationship Id="rId242" Type="http://schemas.openxmlformats.org/officeDocument/2006/relationships/hyperlink" Target="http://www.sec.gov/Archives/edgar/data/1537054/000156459020038939/gogo-ex1092_182.htm" TargetMode="External"/><Relationship Id="rId243" Type="http://schemas.openxmlformats.org/officeDocument/2006/relationships/hyperlink" Target="http://www.sec.gov/Archives/edgar/data/1537054/000119312519312736/d83838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2021-03-11T16:17:42Z</dcterms:created>
  <dcterms:modified xsi:type="dcterms:W3CDTF">2021-03-11T16:17:42Z</dcterms:modified>
</cp:coreProperties>
</file>