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gogo-20250630.htm"/>
      <w:bookmarkStart w:id="1" w:name="ksgogo20250630"/>
      <w:bookmarkEnd w:id="0"/>
      <w:bookmarkEnd w:id="1"/>
      <w:r>
        <w:rPr/>
        <w:t> </w:t>
      </w:r>
    </w:p>
    <w:p>
      <w:pPr>
        <w:pStyle w:val="TextBody"/>
        <w:bidi w:val="0"/>
        <w:jc w:val="right"/>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16"/>
              </w:rPr>
            </w:pPr>
            <w:r>
              <w:rPr>
                <w:rFonts w:ascii="Times New Roman" w:hAnsi="Times New Roman"/>
                <w:b/>
                <w:color w:val="000000"/>
                <w:sz w:val="16"/>
              </w:rPr>
              <w:t>For the quarterly period ended June 30, 2025</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16"/>
              </w:rPr>
            </w:pPr>
            <w:r>
              <w:rPr>
                <w:rFonts w:ascii="Times New Roman" w:hAnsi="Times New Roman"/>
                <w:b/>
                <w:color w:val="000000"/>
                <w:sz w:val="16"/>
              </w:rPr>
              <w:t>For the transition period from __________ to __________</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001-35975</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pPr>
      <w:r>
        <w:rPr/>
        <w:drawing>
          <wp:inline distT="0" distB="0" distL="0" distR="0">
            <wp:extent cx="1133475"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33475" cy="695325"/>
                    </a:xfrm>
                    <a:prstGeom prst="rect">
                      <a:avLst/>
                    </a:prstGeom>
                  </pic:spPr>
                </pic:pic>
              </a:graphicData>
            </a:graphic>
          </wp:inline>
        </w:drawing>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Gogo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left"/>
        <w:rPr/>
      </w:pPr>
      <w:r>
        <w:rPr/>
        <w:t> </w:t>
      </w:r>
    </w:p>
    <w:tbl>
      <w:tblPr>
        <w:tblW w:w="3868" w:type="dxa"/>
        <w:jc w:val="left"/>
        <w:tblInd w:w="0" w:type="dxa"/>
        <w:tblLayout w:type="fixed"/>
        <w:tblCellMar>
          <w:top w:w="28" w:type="dxa"/>
          <w:left w:w="28" w:type="dxa"/>
          <w:bottom w:w="28" w:type="dxa"/>
          <w:right w:w="28" w:type="dxa"/>
        </w:tblCellMar>
      </w:tblPr>
      <w:tblGrid>
        <w:gridCol w:w="2281"/>
        <w:gridCol w:w="146"/>
        <w:gridCol w:w="144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2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27-1650905</w:t>
            </w:r>
          </w:p>
        </w:tc>
      </w:tr>
      <w:tr>
        <w:trPr/>
        <w:tc>
          <w:tcPr>
            <w:tcW w:w="228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(State or other jurisdiction of</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(I.R.S. Employer</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Identification No.)</w:t>
            </w:r>
          </w:p>
        </w:tc>
      </w:tr>
    </w:tbl>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105 Edgeview Dr., Suite 300</w:t>
      </w:r>
    </w:p>
    <w:p>
      <w:pPr>
        <w:pStyle w:val="TextBody"/>
        <w:bidi w:val="0"/>
        <w:jc w:val="center"/>
        <w:rPr>
          <w:rFonts w:ascii="Times New Roman" w:hAnsi="Times New Roman"/>
          <w:sz w:val="20"/>
        </w:rPr>
      </w:pPr>
      <w:r>
        <w:rPr>
          <w:rFonts w:ascii="Times New Roman" w:hAnsi="Times New Roman"/>
          <w:b/>
          <w:color w:val="000000"/>
          <w:sz w:val="20"/>
        </w:rPr>
        <w:t>Broomfield, CO</w:t>
      </w:r>
      <w:r>
        <w:rPr>
          <w:rFonts w:ascii="Times New Roman" w:hAnsi="Times New Roman"/>
          <w:color w:val="000000"/>
          <w:sz w:val="20"/>
        </w:rPr>
        <w:t xml:space="preserve"> </w:t>
      </w:r>
      <w:r>
        <w:rPr>
          <w:rFonts w:ascii="Times New Roman" w:hAnsi="Times New Roman"/>
          <w:b/>
          <w:color w:val="000000"/>
          <w:sz w:val="20"/>
        </w:rPr>
        <w:t>80021</w:t>
      </w:r>
    </w:p>
    <w:p>
      <w:pPr>
        <w:pStyle w:val="TextBody"/>
        <w:bidi w:val="0"/>
        <w:jc w:val="center"/>
        <w:rPr>
          <w:rFonts w:ascii="Times New Roman" w:hAnsi="Times New Roman"/>
          <w:color w:val="000000"/>
          <w:sz w:val="16"/>
        </w:rPr>
      </w:pPr>
      <w:r>
        <w:rPr>
          <w:rFonts w:ascii="Times New Roman" w:hAnsi="Times New Roman"/>
          <w:color w:val="000000"/>
          <w:sz w:val="16"/>
        </w:rPr>
        <w:t>(Address of principal executive offices)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Telephone Number (303) 301-3271</w:t>
      </w:r>
    </w:p>
    <w:p>
      <w:pPr>
        <w:pStyle w:val="TextBody"/>
        <w:bidi w:val="0"/>
        <w:jc w:val="center"/>
        <w:rPr>
          <w:rFonts w:ascii="Times New Roman" w:hAnsi="Times New Roman"/>
          <w:color w:val="000000"/>
          <w:sz w:val="16"/>
        </w:rPr>
      </w:pPr>
      <w:r>
        <w:rPr>
          <w:rFonts w:ascii="Times New Roman" w:hAnsi="Times New Roman"/>
          <w:color w:val="000000"/>
          <w:sz w:val="16"/>
        </w:rPr>
        <w:t>(Registrant’s telephone number, including area code)</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left"/>
        <w:rPr/>
      </w:pPr>
      <w:r>
        <w:rPr/>
        <w:t> </w:t>
      </w:r>
    </w:p>
    <w:tbl>
      <w:tblPr>
        <w:tblW w:w="8245" w:type="dxa"/>
        <w:jc w:val="left"/>
        <w:tblInd w:w="0" w:type="dxa"/>
        <w:tblLayout w:type="fixed"/>
        <w:tblCellMar>
          <w:top w:w="28" w:type="dxa"/>
          <w:left w:w="28" w:type="dxa"/>
          <w:bottom w:w="28" w:type="dxa"/>
          <w:right w:w="28" w:type="dxa"/>
        </w:tblCellMar>
      </w:tblPr>
      <w:tblGrid>
        <w:gridCol w:w="3256"/>
        <w:gridCol w:w="146"/>
        <w:gridCol w:w="1291"/>
        <w:gridCol w:w="146"/>
        <w:gridCol w:w="3406"/>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32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u w:val="single"/>
              </w:rPr>
            </w:pPr>
            <w:r>
              <w:rPr>
                <w:rFonts w:ascii="Times New Roman" w:hAnsi="Times New Roman"/>
                <w:color w:val="000000"/>
                <w:sz w:val="16"/>
                <w:u w:val="single"/>
              </w:rPr>
              <w:t>Title of Class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u w:val="single"/>
              </w:rPr>
              <w:t>Trading Symbol</w:t>
            </w:r>
            <w:r>
              <w:rPr>
                <w:rFonts w:ascii="Times New Roman" w:hAnsi="Times New Roman"/>
                <w:color w:val="000000"/>
                <w:sz w:val="16"/>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u w:val="single"/>
              </w:rPr>
              <w:t>Name of Each Exchange on Which Registered</w:t>
            </w:r>
            <w:r>
              <w:rPr>
                <w:rFonts w:ascii="Times New Roman" w:hAnsi="Times New Roman"/>
                <w:color w:val="000000"/>
                <w:sz w:val="16"/>
              </w:rPr>
              <w:t xml:space="preserve"> </w:t>
            </w:r>
          </w:p>
        </w:tc>
      </w:tr>
      <w:tr>
        <w:trPr/>
        <w:tc>
          <w:tcPr>
            <w:tcW w:w="32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Common stock, par value $0.0001 per share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GOGO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NASDAQ Global Select Market </w:t>
            </w:r>
          </w:p>
        </w:tc>
      </w:tr>
      <w:tr>
        <w:trPr/>
        <w:tc>
          <w:tcPr>
            <w:tcW w:w="32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Preferred Stock Purchase Rights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GOGO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NASDAQ</w:t>
            </w:r>
            <w:r>
              <w:rPr>
                <w:rFonts w:ascii="Times New Roman" w:hAnsi="Times New Roman"/>
                <w:color w:val="000000"/>
                <w:sz w:val="20"/>
              </w:rPr>
              <w:t> </w:t>
            </w:r>
            <w:r>
              <w:rPr>
                <w:rFonts w:ascii="Times New Roman" w:hAnsi="Times New Roman"/>
                <w:color w:val="000000"/>
                <w:sz w:val="16"/>
              </w:rPr>
              <w:t>Global Select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07" w:type="dxa"/>
        <w:jc w:val="left"/>
        <w:tblInd w:w="0" w:type="dxa"/>
        <w:tblLayout w:type="fixed"/>
        <w:tblCellMar>
          <w:top w:w="28" w:type="dxa"/>
          <w:left w:w="28" w:type="dxa"/>
          <w:bottom w:w="28" w:type="dxa"/>
          <w:right w:w="28" w:type="dxa"/>
        </w:tblCellMar>
      </w:tblPr>
      <w:tblGrid>
        <w:gridCol w:w="1666"/>
        <w:gridCol w:w="146"/>
        <w:gridCol w:w="316"/>
        <w:gridCol w:w="146"/>
        <w:gridCol w:w="202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is a shell company (as defined in Rule 12b-2 of the Exchange Act). Yes</w:t>
      </w:r>
      <w:r>
        <w:rPr>
          <w:rFonts w:ascii="Times New Roman" w:hAnsi="Times New Roman"/>
          <w:color w:val="000000"/>
          <w:sz w:val="20"/>
        </w:rPr>
        <w:t>☐</w:t>
      </w:r>
      <w:r>
        <w:rPr>
          <w:rFonts w:ascii="Times New Roman" w:hAnsi="Times New Roman"/>
          <w:color w:val="000000"/>
          <w:sz w:val="16"/>
        </w:rPr>
        <w:t>No</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As of August 1, 2025,</w:t>
      </w:r>
      <w:r>
        <w:rPr>
          <w:rFonts w:ascii="Times New Roman" w:hAnsi="Times New Roman"/>
          <w:color w:val="000000"/>
          <w:sz w:val="20"/>
        </w:rPr>
        <w:t xml:space="preserve"> </w:t>
      </w:r>
      <w:r>
        <w:rPr>
          <w:rFonts w:ascii="Times New Roman" w:hAnsi="Times New Roman"/>
          <w:color w:val="000000"/>
          <w:sz w:val="16"/>
        </w:rPr>
        <w:t>133,685,225</w:t>
      </w:r>
      <w:r>
        <w:rPr>
          <w:rFonts w:ascii="Times New Roman" w:hAnsi="Times New Roman"/>
          <w:color w:val="000000"/>
          <w:sz w:val="20"/>
        </w:rPr>
        <w:t xml:space="preserve"> </w:t>
      </w:r>
      <w:r>
        <w:rPr>
          <w:rFonts w:ascii="Times New Roman" w:hAnsi="Times New Roman"/>
          <w:color w:val="000000"/>
          <w:sz w:val="16"/>
        </w:rPr>
        <w:t>shares of $0.0001 par value common stock were outstanding.</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Gogo</w:t>
      </w:r>
      <w:r>
        <w:rPr>
          <w:rFonts w:ascii="Times New Roman" w:hAnsi="Times New Roman"/>
          <w:color w:val="000000"/>
          <w:sz w:val="20"/>
        </w:rPr>
        <w:t xml:space="preserve"> </w:t>
      </w:r>
      <w:r>
        <w:rPr>
          <w:rFonts w:ascii="Times New Roman" w:hAnsi="Times New Roman"/>
          <w:b/>
          <w:color w:val="000000"/>
          <w:sz w:val="20"/>
        </w:rPr>
        <w:t>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INDEX</w:t>
      </w:r>
    </w:p>
    <w:p>
      <w:pPr>
        <w:pStyle w:val="TextBody"/>
        <w:bidi w:val="0"/>
        <w:jc w:val="left"/>
        <w:rPr/>
      </w:pPr>
      <w:r>
        <w:rPr/>
        <w:t> </w:t>
      </w:r>
    </w:p>
    <w:tbl>
      <w:tblPr>
        <w:tblW w:w="8895" w:type="dxa"/>
        <w:jc w:val="left"/>
        <w:tblInd w:w="0" w:type="dxa"/>
        <w:tblLayout w:type="fixed"/>
        <w:tblCellMar>
          <w:top w:w="28" w:type="dxa"/>
          <w:left w:w="28" w:type="dxa"/>
          <w:bottom w:w="28" w:type="dxa"/>
          <w:right w:w="28" w:type="dxa"/>
        </w:tblCellMar>
      </w:tblPr>
      <w:tblGrid>
        <w:gridCol w:w="862"/>
        <w:gridCol w:w="7552"/>
        <w:gridCol w:w="481"/>
      </w:tblGrid>
      <w:tr>
        <w:trPr/>
        <w:tc>
          <w:tcPr>
            <w:tcW w:w="862" w:type="dxa"/>
            <w:tcBorders/>
            <w:vAlign w:val="center"/>
          </w:tcPr>
          <w:p>
            <w:pPr>
              <w:pStyle w:val="TableContents"/>
              <w:bidi w:val="0"/>
              <w:spacing w:before="0" w:after="283"/>
              <w:jc w:val="left"/>
              <w:rPr>
                <w:sz w:val="4"/>
                <w:szCs w:val="4"/>
              </w:rPr>
            </w:pPr>
            <w:r>
              <w:rPr>
                <w:sz w:val="4"/>
                <w:szCs w:val="4"/>
              </w:rPr>
            </w:r>
          </w:p>
        </w:tc>
        <w:tc>
          <w:tcPr>
            <w:tcW w:w="755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862" w:type="dxa"/>
            <w:tcBorders/>
            <w:tcMar>
              <w:top w:w="0" w:type="dxa"/>
              <w:left w:w="0" w:type="dxa"/>
              <w:bottom w:w="0" w:type="dxa"/>
              <w:right w:w="0" w:type="dxa"/>
            </w:tcMar>
            <w:vAlign w:val="center"/>
          </w:tcPr>
          <w:p>
            <w:pPr>
              <w:pStyle w:val="TableContents"/>
              <w:bidi w:val="0"/>
              <w:spacing w:before="0" w:after="283"/>
              <w:jc w:val="left"/>
              <w:rPr/>
            </w:pPr>
            <w:r>
              <w:rPr/>
              <w:t> </w:t>
            </w:r>
          </w:p>
        </w:tc>
        <w:tc>
          <w:tcPr>
            <w:tcW w:w="7552"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Page</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Financial Information</w:t>
              </w:r>
            </w:hyperlink>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62" w:type="dxa"/>
            <w:tcBorders/>
            <w:tcMar>
              <w:top w:w="0" w:type="dxa"/>
              <w:left w:w="0" w:type="dxa"/>
              <w:bottom w:w="0" w:type="dxa"/>
              <w:right w:w="0" w:type="dxa"/>
            </w:tcMar>
            <w:vAlign w:val="center"/>
          </w:tcPr>
          <w:p>
            <w:pPr>
              <w:pStyle w:val="TableContents"/>
              <w:bidi w:val="0"/>
              <w:spacing w:before="0" w:after="283"/>
              <w:ind w:left="0" w:right="0" w:firstLine="186"/>
              <w:jc w:val="left"/>
              <w:rPr/>
            </w:pPr>
            <w:r>
              <w:rPr/>
              <w:t> </w:t>
            </w:r>
          </w:p>
        </w:tc>
        <w:tc>
          <w:tcPr>
            <w:tcW w:w="7552" w:type="dxa"/>
            <w:tcBorders/>
            <w:tcMar>
              <w:top w:w="0" w:type="dxa"/>
              <w:left w:w="0" w:type="dxa"/>
              <w:bottom w:w="0" w:type="dxa"/>
              <w:right w:w="0" w:type="dxa"/>
            </w:tcMar>
            <w:vAlign w:val="center"/>
          </w:tcPr>
          <w:p>
            <w:pPr>
              <w:pStyle w:val="TableContents"/>
              <w:bidi w:val="0"/>
              <w:spacing w:before="0" w:after="283"/>
              <w:ind w:left="0" w:right="0" w:firstLine="186"/>
              <w:jc w:val="left"/>
              <w:rPr/>
            </w:pPr>
            <w:hyperlink w:anchor="unaudited_condensed_consolidated_balance">
              <w:r>
                <w:rPr>
                  <w:rStyle w:val="InternetLink"/>
                  <w:rFonts w:ascii="Times New Roman" w:hAnsi="Times New Roman"/>
                  <w:color w:val="0000FF"/>
                  <w:sz w:val="20"/>
                  <w:u w:val="single"/>
                </w:rPr>
                <w:t>Unaudited Condensed Consolidated Balance Sheets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62" w:type="dxa"/>
            <w:tcBorders/>
            <w:tcMar>
              <w:top w:w="0" w:type="dxa"/>
              <w:left w:w="0" w:type="dxa"/>
              <w:bottom w:w="0" w:type="dxa"/>
              <w:right w:w="0" w:type="dxa"/>
            </w:tcMar>
            <w:vAlign w:val="center"/>
          </w:tcPr>
          <w:p>
            <w:pPr>
              <w:pStyle w:val="TableContents"/>
              <w:bidi w:val="0"/>
              <w:spacing w:before="0" w:after="283"/>
              <w:ind w:left="0" w:right="0" w:firstLine="186"/>
              <w:jc w:val="left"/>
              <w:rPr/>
            </w:pPr>
            <w:r>
              <w:rPr/>
              <w:t> </w:t>
            </w:r>
          </w:p>
        </w:tc>
        <w:tc>
          <w:tcPr>
            <w:tcW w:w="7552" w:type="dxa"/>
            <w:tcBorders/>
            <w:tcMar>
              <w:top w:w="0" w:type="dxa"/>
              <w:left w:w="0" w:type="dxa"/>
              <w:bottom w:w="0" w:type="dxa"/>
              <w:right w:w="0" w:type="dxa"/>
            </w:tcMar>
            <w:vAlign w:val="center"/>
          </w:tcPr>
          <w:p>
            <w:pPr>
              <w:pStyle w:val="TableContents"/>
              <w:bidi w:val="0"/>
              <w:spacing w:before="0" w:after="283"/>
              <w:ind w:left="0" w:right="0" w:firstLine="186"/>
              <w:jc w:val="left"/>
              <w:rPr/>
            </w:pPr>
            <w:hyperlink w:anchor="unaudited_condensed_consolidated_stateme">
              <w:r>
                <w:rPr>
                  <w:rStyle w:val="InternetLink"/>
                  <w:rFonts w:ascii="Times New Roman" w:hAnsi="Times New Roman"/>
                  <w:color w:val="0000FF"/>
                  <w:sz w:val="20"/>
                  <w:u w:val="single"/>
                </w:rPr>
                <w:t>Unaudited Condensed Consolidated Statements of Operations</w:t>
              </w:r>
            </w:hyperlink>
            <w:hyperlink w:anchor="unaudited_condensed_consolidated_stateme">
              <w:r>
                <w:rPr>
                  <w:rStyle w:val="InternetLink"/>
                  <w:rFonts w:ascii="Times New Roman" w:hAnsi="Times New Roman"/>
                  <w:color w:val="0000FF"/>
                  <w:sz w:val="20"/>
                </w:rPr>
                <w:t xml:space="preserve"> </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62" w:type="dxa"/>
            <w:tcBorders/>
            <w:tcMar>
              <w:top w:w="0" w:type="dxa"/>
              <w:left w:w="0" w:type="dxa"/>
              <w:bottom w:w="0" w:type="dxa"/>
              <w:right w:w="0" w:type="dxa"/>
            </w:tcMar>
            <w:vAlign w:val="center"/>
          </w:tcPr>
          <w:p>
            <w:pPr>
              <w:pStyle w:val="TableContents"/>
              <w:bidi w:val="0"/>
              <w:spacing w:before="0" w:after="283"/>
              <w:ind w:left="0" w:right="0" w:firstLine="186"/>
              <w:jc w:val="left"/>
              <w:rPr/>
            </w:pPr>
            <w:r>
              <w:rPr/>
              <w:t> </w:t>
            </w:r>
          </w:p>
        </w:tc>
        <w:tc>
          <w:tcPr>
            <w:tcW w:w="7552" w:type="dxa"/>
            <w:tcBorders/>
            <w:tcMar>
              <w:top w:w="0" w:type="dxa"/>
              <w:left w:w="0" w:type="dxa"/>
              <w:bottom w:w="0" w:type="dxa"/>
              <w:right w:w="0" w:type="dxa"/>
            </w:tcMar>
            <w:vAlign w:val="center"/>
          </w:tcPr>
          <w:p>
            <w:pPr>
              <w:pStyle w:val="TableContents"/>
              <w:bidi w:val="0"/>
              <w:spacing w:before="0" w:after="283"/>
              <w:ind w:left="0" w:right="0" w:firstLine="186"/>
              <w:jc w:val="left"/>
              <w:rPr/>
            </w:pPr>
            <w:hyperlink w:anchor="unaudited_condensed_comp_loss">
              <w:r>
                <w:rPr>
                  <w:rStyle w:val="InternetLink"/>
                  <w:rFonts w:ascii="Times New Roman" w:hAnsi="Times New Roman"/>
                  <w:color w:val="0000FF"/>
                  <w:sz w:val="20"/>
                  <w:u w:val="single"/>
                </w:rPr>
                <w:t>Unaudited Condensed Consolidated Statements of Comprehensive Income</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62" w:type="dxa"/>
            <w:tcBorders/>
            <w:tcMar>
              <w:top w:w="0" w:type="dxa"/>
              <w:left w:w="0" w:type="dxa"/>
              <w:bottom w:w="0" w:type="dxa"/>
              <w:right w:w="0" w:type="dxa"/>
            </w:tcMar>
            <w:vAlign w:val="center"/>
          </w:tcPr>
          <w:p>
            <w:pPr>
              <w:pStyle w:val="TableContents"/>
              <w:bidi w:val="0"/>
              <w:spacing w:before="0" w:after="283"/>
              <w:ind w:left="0" w:right="0" w:firstLine="186"/>
              <w:jc w:val="left"/>
              <w:rPr/>
            </w:pPr>
            <w:r>
              <w:rPr/>
              <w:t> </w:t>
            </w:r>
          </w:p>
        </w:tc>
        <w:tc>
          <w:tcPr>
            <w:tcW w:w="7552" w:type="dxa"/>
            <w:tcBorders/>
            <w:tcMar>
              <w:top w:w="0" w:type="dxa"/>
              <w:left w:w="0" w:type="dxa"/>
              <w:bottom w:w="0" w:type="dxa"/>
              <w:right w:w="0" w:type="dxa"/>
            </w:tcMar>
            <w:vAlign w:val="center"/>
          </w:tcPr>
          <w:p>
            <w:pPr>
              <w:pStyle w:val="TableContents"/>
              <w:bidi w:val="0"/>
              <w:spacing w:before="0" w:after="283"/>
              <w:ind w:left="0" w:right="0" w:firstLine="186"/>
              <w:jc w:val="left"/>
              <w:rPr/>
            </w:pPr>
            <w:hyperlink w:anchor="unaudited_condensed_consolidated_sta_cf">
              <w:r>
                <w:rPr>
                  <w:rStyle w:val="InternetLink"/>
                  <w:rFonts w:ascii="Times New Roman" w:hAnsi="Times New Roman"/>
                  <w:color w:val="0000FF"/>
                  <w:sz w:val="20"/>
                  <w:u w:val="single"/>
                </w:rPr>
                <w:t>Unaudited Condensed Consolidated Statements of Cash Flows</w:t>
              </w:r>
            </w:hyperlink>
            <w:hyperlink w:anchor="unaudited_condensed_consolidated_sta_cf">
              <w:r>
                <w:rPr>
                  <w:rStyle w:val="InternetLink"/>
                  <w:rFonts w:ascii="Times New Roman" w:hAnsi="Times New Roman"/>
                  <w:color w:val="0000FF"/>
                  <w:sz w:val="20"/>
                </w:rPr>
                <w:t xml:space="preserve"> </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62" w:type="dxa"/>
            <w:tcBorders/>
            <w:tcMar>
              <w:top w:w="0" w:type="dxa"/>
              <w:left w:w="0" w:type="dxa"/>
              <w:bottom w:w="0" w:type="dxa"/>
              <w:right w:w="0" w:type="dxa"/>
            </w:tcMar>
            <w:vAlign w:val="center"/>
          </w:tcPr>
          <w:p>
            <w:pPr>
              <w:pStyle w:val="TableContents"/>
              <w:bidi w:val="0"/>
              <w:spacing w:before="0" w:after="283"/>
              <w:ind w:left="0" w:right="0" w:firstLine="186"/>
              <w:jc w:val="left"/>
              <w:rPr/>
            </w:pPr>
            <w:r>
              <w:rPr/>
              <w:t> </w:t>
            </w:r>
          </w:p>
        </w:tc>
        <w:tc>
          <w:tcPr>
            <w:tcW w:w="7552" w:type="dxa"/>
            <w:tcBorders/>
            <w:tcMar>
              <w:top w:w="0" w:type="dxa"/>
              <w:left w:w="0" w:type="dxa"/>
              <w:bottom w:w="0" w:type="dxa"/>
              <w:right w:w="0" w:type="dxa"/>
            </w:tcMar>
            <w:vAlign w:val="center"/>
          </w:tcPr>
          <w:p>
            <w:pPr>
              <w:pStyle w:val="TableContents"/>
              <w:bidi w:val="0"/>
              <w:spacing w:before="0" w:after="283"/>
              <w:ind w:left="0" w:right="0" w:firstLine="186"/>
              <w:jc w:val="left"/>
              <w:rPr/>
            </w:pPr>
            <w:hyperlink w:anchor="unaudited_condensed_consolidated_sta_equ">
              <w:r>
                <w:rPr>
                  <w:rStyle w:val="InternetLink"/>
                  <w:rFonts w:ascii="Times New Roman" w:hAnsi="Times New Roman"/>
                  <w:color w:val="0000FF"/>
                  <w:sz w:val="20"/>
                  <w:u w:val="single"/>
                </w:rPr>
                <w:t>Unaudited Condensed Consolidated Statements of Stockholders’ Equity</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62" w:type="dxa"/>
            <w:tcBorders/>
            <w:tcMar>
              <w:top w:w="0" w:type="dxa"/>
              <w:left w:w="0" w:type="dxa"/>
              <w:bottom w:w="0" w:type="dxa"/>
              <w:right w:w="0" w:type="dxa"/>
            </w:tcMar>
            <w:vAlign w:val="center"/>
          </w:tcPr>
          <w:p>
            <w:pPr>
              <w:pStyle w:val="TableContents"/>
              <w:bidi w:val="0"/>
              <w:spacing w:before="0" w:after="283"/>
              <w:jc w:val="left"/>
              <w:rPr/>
            </w:pPr>
            <w:r>
              <w:rPr/>
              <w:t> </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notes">
              <w:r>
                <w:rPr>
                  <w:rStyle w:val="InternetLink"/>
                  <w:rFonts w:ascii="Times New Roman" w:hAnsi="Times New Roman"/>
                  <w:color w:val="0000FF"/>
                  <w:sz w:val="20"/>
                  <w:u w:val="single"/>
                </w:rPr>
                <w:t>Notes to Unaudited Condensed Consolidated Financial Statements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r>
      <w:tr>
        <w:trPr/>
        <w:tc>
          <w:tcPr>
            <w:tcW w:w="862" w:type="dxa"/>
            <w:tcBorders/>
            <w:tcMar>
              <w:top w:w="0" w:type="dxa"/>
              <w:left w:w="0" w:type="dxa"/>
              <w:bottom w:w="0" w:type="dxa"/>
              <w:right w:w="0" w:type="dxa"/>
            </w:tcMar>
            <w:vAlign w:val="center"/>
          </w:tcPr>
          <w:p>
            <w:pPr>
              <w:pStyle w:val="TableContents"/>
              <w:bidi w:val="0"/>
              <w:spacing w:before="0" w:after="283"/>
              <w:ind w:left="0" w:right="0" w:firstLine="186"/>
              <w:jc w:val="left"/>
              <w:rPr>
                <w:rFonts w:ascii="Times New Roman" w:hAnsi="Times New Roman"/>
                <w:color w:val="000000"/>
                <w:sz w:val="20"/>
              </w:rPr>
            </w:pPr>
            <w:r>
              <w:rPr>
                <w:rFonts w:ascii="Times New Roman" w:hAnsi="Times New Roman"/>
                <w:color w:val="000000"/>
                <w:sz w:val="20"/>
              </w:rPr>
              <w:t>Item 2.</w:t>
            </w:r>
          </w:p>
        </w:tc>
        <w:tc>
          <w:tcPr>
            <w:tcW w:w="7552" w:type="dxa"/>
            <w:tcBorders/>
            <w:tcMar>
              <w:top w:w="0" w:type="dxa"/>
              <w:left w:w="0" w:type="dxa"/>
              <w:bottom w:w="0" w:type="dxa"/>
              <w:right w:w="0" w:type="dxa"/>
            </w:tcMar>
            <w:vAlign w:val="center"/>
          </w:tcPr>
          <w:p>
            <w:pPr>
              <w:pStyle w:val="TableContents"/>
              <w:bidi w:val="0"/>
              <w:spacing w:before="0" w:after="283"/>
              <w:ind w:left="0" w:right="0" w:firstLine="186"/>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8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b/>
                  <w:color w:val="0000FF"/>
                  <w:sz w:val="20"/>
                  <w:u w:val="single"/>
                </w:rPr>
                <w:t>Other Information</w:t>
              </w:r>
            </w:hyperlink>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Risk Factors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unregistered_sales_equity_securities_use">
              <w:r>
                <w:rPr>
                  <w:rStyle w:val="InternetLink"/>
                  <w:rFonts w:ascii="Times New Roman" w:hAnsi="Times New Roman"/>
                  <w:color w:val="0000FF"/>
                  <w:sz w:val="20"/>
                  <w:u w:val="single"/>
                </w:rPr>
                <w:t>Unregistered Sales of Equity Securities and Use of Proceeds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defaults_upon_senior_securities">
              <w:r>
                <w:rPr>
                  <w:rStyle w:val="InternetLink"/>
                  <w:rFonts w:ascii="Times New Roman" w:hAnsi="Times New Roman"/>
                  <w:color w:val="0000FF"/>
                  <w:sz w:val="20"/>
                  <w:u w:val="single"/>
                </w:rPr>
                <w:t>Defaults Upon Senior Securities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mine_safety_disclosures">
              <w:r>
                <w:rPr>
                  <w:rStyle w:val="InternetLink"/>
                  <w:rFonts w:ascii="Times New Roman" w:hAnsi="Times New Roman"/>
                  <w:color w:val="0000FF"/>
                  <w:sz w:val="20"/>
                  <w:u w:val="single"/>
                </w:rPr>
                <w:t>Mine Safety Disclosures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or_information">
              <w:r>
                <w:rPr>
                  <w:rStyle w:val="InternetLink"/>
                  <w:rFonts w:ascii="Times New Roman" w:hAnsi="Times New Roman"/>
                  <w:color w:val="0000FF"/>
                  <w:sz w:val="20"/>
                  <w:u w:val="single"/>
                </w:rPr>
                <w:t>Other Information</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8414"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 FINANCIAL INFORMATION</w:t>
      </w:r>
    </w:p>
    <w:p>
      <w:pPr>
        <w:pStyle w:val="TextBody"/>
        <w:bidi w:val="0"/>
        <w:spacing w:before="12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bookmarkStart w:id="4" w:name="unaudited_condensed_consolidated_balance"/>
      <w:bookmarkEnd w:id="4"/>
      <w:r>
        <w:rPr>
          <w:rFonts w:ascii="Times New Roman" w:hAnsi="Times New Roman"/>
          <w:b/>
          <w:color w:val="000000"/>
          <w:sz w:val="20"/>
        </w:rPr>
        <w:t>Unaudited Condensed Consolidated Balance Sheets</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6521"/>
        <w:gridCol w:w="146"/>
        <w:gridCol w:w="211"/>
        <w:gridCol w:w="991"/>
        <w:gridCol w:w="166"/>
        <w:gridCol w:w="146"/>
        <w:gridCol w:w="212"/>
        <w:gridCol w:w="999"/>
        <w:gridCol w:w="813"/>
      </w:tblGrid>
      <w:tr>
        <w:trPr/>
        <w:tc>
          <w:tcPr>
            <w:tcW w:w="6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r>
      <w:tr>
        <w:trPr/>
        <w:tc>
          <w:tcPr>
            <w:tcW w:w="6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41,765</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 net of allowances of $5,504 and $4,467,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111,513</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97,934</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16,625</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 net of allowances of $2,000 and $0,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55,256</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385,855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323,093</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119,125</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275,331</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184,831</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68,465</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Investment in convertible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4,207</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non-current assets, net of allowances of $909 and $861,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36,870</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217,309</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Total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877,115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906,138</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1,262,970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1,229,231</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67,231</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81,889</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30,408</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182,028</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831,581</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68,178</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78,120</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Total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934,571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977,879</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1,160,180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1,159,907</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Commitments and contingencies (Note 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par value $0.0001 per share; 500,000,000 shares authorized at June 30, 2025 and December 31, 2024; 146,143,123 and 144,095,996 shares issued at June 30, 2025 and December 31, 2024, respectively; and 133,334,288 and 130,918,997 shares outstanding at June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1,460,270</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5,567</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 at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(196,382</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(1,175,296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(1,200,145</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5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69,324</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1,262,970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1,229,231</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See the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bookmarkStart w:id="5" w:name="unaudited_condensed_consolidated_stateme"/>
      <w:bookmarkEnd w:id="5"/>
      <w:r>
        <w:rPr>
          <w:rFonts w:ascii="Times New Roman" w:hAnsi="Times New Roman"/>
          <w:b/>
          <w:color w:val="000000"/>
          <w:sz w:val="20"/>
        </w:rPr>
        <w:t>Unaudited Condensed Consolidated Statements of Operations</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64"/>
        <w:gridCol w:w="146"/>
        <w:gridCol w:w="211"/>
        <w:gridCol w:w="781"/>
        <w:gridCol w:w="166"/>
        <w:gridCol w:w="146"/>
        <w:gridCol w:w="211"/>
        <w:gridCol w:w="781"/>
        <w:gridCol w:w="166"/>
        <w:gridCol w:w="146"/>
        <w:gridCol w:w="211"/>
        <w:gridCol w:w="781"/>
        <w:gridCol w:w="166"/>
        <w:gridCol w:w="146"/>
        <w:gridCol w:w="211"/>
        <w:gridCol w:w="781"/>
        <w:gridCol w:w="591"/>
      </w:tblGrid>
      <w:tr>
        <w:trPr/>
        <w:tc>
          <w:tcPr>
            <w:tcW w:w="45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Three Months </w:t>
              <w:br/>
              <w:t>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w:t>
              <w:br/>
              <w:t>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163,602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Equipment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42,779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456,345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206,381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 revenue (exclusive of amounts shown below)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36,742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equipment revenue (exclusive of amounts shown below)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32,218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Engineering, design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36,499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385,197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56,355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earnout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42,382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31,329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attributable to common stock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number of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128,792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132,094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See the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bookmarkStart w:id="6" w:name="unaudited_condensed_comp_loss"/>
      <w:bookmarkEnd w:id="6"/>
      <w:r>
        <w:rPr>
          <w:rFonts w:ascii="Times New Roman" w:hAnsi="Times New Roman"/>
          <w:b/>
          <w:color w:val="000000"/>
          <w:sz w:val="20"/>
        </w:rPr>
        <w:t>Unaudited Condensed Consolidated Statements of Comprehensive Income (Loss)</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29"/>
        <w:gridCol w:w="146"/>
        <w:gridCol w:w="211"/>
        <w:gridCol w:w="676"/>
        <w:gridCol w:w="166"/>
        <w:gridCol w:w="146"/>
        <w:gridCol w:w="211"/>
        <w:gridCol w:w="631"/>
        <w:gridCol w:w="166"/>
        <w:gridCol w:w="146"/>
        <w:gridCol w:w="211"/>
        <w:gridCol w:w="676"/>
        <w:gridCol w:w="166"/>
        <w:gridCol w:w="146"/>
        <w:gridCol w:w="211"/>
        <w:gridCol w:w="676"/>
        <w:gridCol w:w="791"/>
      </w:tblGrid>
      <w:tr>
        <w:trPr/>
        <w:tc>
          <w:tcPr>
            <w:tcW w:w="4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4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w:t>
              <w:br/>
              <w:t>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 Ended 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31,329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82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82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flow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4829"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Amount recognized in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829"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Less: income realized and reclassified to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2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fair value of cash flow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(3,548</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27,524</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See the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bookmarkStart w:id="7" w:name="unaudited_condensed_consolidated_sta_cf"/>
      <w:bookmarkEnd w:id="7"/>
      <w:r>
        <w:rPr>
          <w:rFonts w:ascii="Times New Roman" w:hAnsi="Times New Roman"/>
          <w:b/>
          <w:color w:val="000000"/>
          <w:sz w:val="20"/>
        </w:rPr>
        <w:t>Unaudited Condensed Consolidated Statements of Cash Flows</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left"/>
        <w:rPr/>
      </w:pPr>
      <w:r>
        <w:rPr/>
        <w:t> </w:t>
      </w:r>
    </w:p>
    <w:tbl>
      <w:tblPr>
        <w:tblW w:w="9704" w:type="dxa"/>
        <w:jc w:val="left"/>
        <w:tblInd w:w="0" w:type="dxa"/>
        <w:tblLayout w:type="fixed"/>
        <w:tblCellMar>
          <w:top w:w="28" w:type="dxa"/>
          <w:left w:w="28" w:type="dxa"/>
          <w:bottom w:w="28" w:type="dxa"/>
          <w:right w:w="28" w:type="dxa"/>
        </w:tblCellMar>
      </w:tblPr>
      <w:tblGrid>
        <w:gridCol w:w="6461"/>
        <w:gridCol w:w="146"/>
        <w:gridCol w:w="196"/>
        <w:gridCol w:w="691"/>
        <w:gridCol w:w="166"/>
        <w:gridCol w:w="146"/>
        <w:gridCol w:w="196"/>
        <w:gridCol w:w="691"/>
        <w:gridCol w:w="1011"/>
      </w:tblGrid>
      <w:tr>
        <w:trPr/>
        <w:tc>
          <w:tcPr>
            <w:tcW w:w="6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 Ended June 30,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31,329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Adjustments to reconcile net income to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Loss on asset disposals, abandonments and write-downs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Provision for expected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10,604</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9,725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Amortization of deferred financing costs and interest rate caps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Accretion of debt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Change in fair value of earnout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Change in fair value of convertible note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(6,078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(5,871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(11,146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7,840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Other non-current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16"/>
              </w:rPr>
            </w:pPr>
            <w:r>
              <w:rPr>
                <w:rFonts w:ascii="Times New Roman" w:hAnsi="Times New Roman"/>
                <w:b/>
                <w:color w:val="000000"/>
                <w:sz w:val="16"/>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69,183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54,606</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(4,837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Acquisition of intangible assets—capitalized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(5,861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Acquisition of Satcom Direct,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Proceeds from FCC Reimbursement Program for property, equipment and 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Proceeds from interest rate caps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12,918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Purchase of convertible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16"/>
              </w:rPr>
            </w:pPr>
            <w:r>
              <w:rPr>
                <w:rFonts w:ascii="Times New Roman" w:hAnsi="Times New Roman"/>
                <w:b/>
                <w:color w:val="000000"/>
                <w:sz w:val="16"/>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(2,685</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Payments on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(23,157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Payments on financing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Stock-based compensation activity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(2,668</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16"/>
              </w:rPr>
            </w:pPr>
            <w:r>
              <w:rPr>
                <w:rFonts w:ascii="Times New Roman" w:hAnsi="Times New Roman"/>
                <w:b/>
                <w:color w:val="000000"/>
                <w:sz w:val="16"/>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(29,453</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Effect of exchange rate changes on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22,514</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139,366</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161,880</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161,880</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current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non-current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102,085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161,550</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28,348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Cash paid for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1,148</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Non-cash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Purchases of property, equipment and intangibles in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7,164</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the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bookmarkStart w:id="8" w:name="unaudited_condensed_consolidated_sta_equ"/>
      <w:bookmarkEnd w:id="8"/>
      <w:r>
        <w:rPr>
          <w:rFonts w:ascii="Times New Roman" w:hAnsi="Times New Roman"/>
          <w:b/>
          <w:color w:val="000000"/>
          <w:sz w:val="20"/>
        </w:rPr>
        <w:t>Unaudited Condensed Consolidated Statements of Stockholders’ Equity</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share data)</w:t>
      </w:r>
    </w:p>
    <w:p>
      <w:pPr>
        <w:pStyle w:val="TextBody"/>
        <w:bidi w:val="0"/>
        <w:jc w:val="center"/>
        <w:rPr/>
      </w:pPr>
      <w:r>
        <w:rPr/>
        <w:t> </w:t>
      </w:r>
    </w:p>
    <w:tbl>
      <w:tblPr>
        <w:tblW w:w="10472" w:type="dxa"/>
        <w:jc w:val="left"/>
        <w:tblInd w:w="0" w:type="dxa"/>
        <w:tblLayout w:type="fixed"/>
        <w:tblCellMar>
          <w:top w:w="28" w:type="dxa"/>
          <w:left w:w="28" w:type="dxa"/>
          <w:bottom w:w="28" w:type="dxa"/>
          <w:right w:w="28" w:type="dxa"/>
        </w:tblCellMar>
      </w:tblPr>
      <w:tblGrid>
        <w:gridCol w:w="1091"/>
        <w:gridCol w:w="146"/>
        <w:gridCol w:w="146"/>
        <w:gridCol w:w="841"/>
        <w:gridCol w:w="146"/>
        <w:gridCol w:w="146"/>
        <w:gridCol w:w="181"/>
        <w:gridCol w:w="346"/>
        <w:gridCol w:w="146"/>
        <w:gridCol w:w="146"/>
        <w:gridCol w:w="181"/>
        <w:gridCol w:w="691"/>
        <w:gridCol w:w="151"/>
        <w:gridCol w:w="146"/>
        <w:gridCol w:w="278"/>
        <w:gridCol w:w="743"/>
        <w:gridCol w:w="151"/>
        <w:gridCol w:w="146"/>
        <w:gridCol w:w="181"/>
        <w:gridCol w:w="736"/>
        <w:gridCol w:w="151"/>
        <w:gridCol w:w="146"/>
        <w:gridCol w:w="146"/>
        <w:gridCol w:w="766"/>
        <w:gridCol w:w="146"/>
        <w:gridCol w:w="146"/>
        <w:gridCol w:w="181"/>
        <w:gridCol w:w="631"/>
        <w:gridCol w:w="151"/>
        <w:gridCol w:w="146"/>
        <w:gridCol w:w="181"/>
        <w:gridCol w:w="586"/>
        <w:gridCol w:w="356"/>
      </w:tblGrid>
      <w:tr>
        <w:trPr/>
        <w:tc>
          <w:tcPr>
            <w:tcW w:w="1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9"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Three Months Ended June 30, 2025</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131,760,795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1,463,873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3,546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(1,188,103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13,176,999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(196,382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82,948</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12,807</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Currency translation adjustments,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790</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Fair value adjustments of cash flow hedges,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(2,109</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6,367</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1,074,631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3,096</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470,578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Tax withholding related to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(1,288</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 in connection with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28,284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133,334,288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1,472,226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(1,175,296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13,176,999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(196,382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102,790</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tbl>
      <w:tblPr>
        <w:tblW w:w="10447" w:type="dxa"/>
        <w:jc w:val="left"/>
        <w:tblInd w:w="0" w:type="dxa"/>
        <w:tblLayout w:type="fixed"/>
        <w:tblCellMar>
          <w:top w:w="28" w:type="dxa"/>
          <w:left w:w="28" w:type="dxa"/>
          <w:bottom w:w="28" w:type="dxa"/>
          <w:right w:w="28" w:type="dxa"/>
        </w:tblCellMar>
      </w:tblPr>
      <w:tblGrid>
        <w:gridCol w:w="1091"/>
        <w:gridCol w:w="146"/>
        <w:gridCol w:w="146"/>
        <w:gridCol w:w="841"/>
        <w:gridCol w:w="151"/>
        <w:gridCol w:w="146"/>
        <w:gridCol w:w="181"/>
        <w:gridCol w:w="346"/>
        <w:gridCol w:w="146"/>
        <w:gridCol w:w="146"/>
        <w:gridCol w:w="181"/>
        <w:gridCol w:w="691"/>
        <w:gridCol w:w="151"/>
        <w:gridCol w:w="146"/>
        <w:gridCol w:w="266"/>
        <w:gridCol w:w="755"/>
        <w:gridCol w:w="151"/>
        <w:gridCol w:w="146"/>
        <w:gridCol w:w="181"/>
        <w:gridCol w:w="736"/>
        <w:gridCol w:w="151"/>
        <w:gridCol w:w="146"/>
        <w:gridCol w:w="146"/>
        <w:gridCol w:w="766"/>
        <w:gridCol w:w="146"/>
        <w:gridCol w:w="146"/>
        <w:gridCol w:w="181"/>
        <w:gridCol w:w="631"/>
        <w:gridCol w:w="151"/>
        <w:gridCol w:w="146"/>
        <w:gridCol w:w="181"/>
        <w:gridCol w:w="556"/>
        <w:gridCol w:w="356"/>
      </w:tblGrid>
      <w:tr>
        <w:trPr/>
        <w:tc>
          <w:tcPr>
            <w:tcW w:w="1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4"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Three Months Ended June 30, 2024</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128,227,127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1,404,217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(1,183,401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10,308,622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(173,357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62,439</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839</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Currency translation adjustments,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Fair value adjustments of cash flow hedges,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(2,873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(2,873</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4,885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4,885</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81,336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214</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59,554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Tax withholding related to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(256</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Repurchase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(1,485,243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1,485,243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(13,135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(13,135</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June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126,882,774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1,409,060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11,991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(1,182,562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11,793,865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(186,492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52,011</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472" w:type="dxa"/>
        <w:jc w:val="left"/>
        <w:tblInd w:w="0" w:type="dxa"/>
        <w:tblLayout w:type="fixed"/>
        <w:tblCellMar>
          <w:top w:w="28" w:type="dxa"/>
          <w:left w:w="28" w:type="dxa"/>
          <w:bottom w:w="28" w:type="dxa"/>
          <w:right w:w="28" w:type="dxa"/>
        </w:tblCellMar>
      </w:tblPr>
      <w:tblGrid>
        <w:gridCol w:w="1091"/>
        <w:gridCol w:w="146"/>
        <w:gridCol w:w="146"/>
        <w:gridCol w:w="841"/>
        <w:gridCol w:w="146"/>
        <w:gridCol w:w="146"/>
        <w:gridCol w:w="181"/>
        <w:gridCol w:w="346"/>
        <w:gridCol w:w="146"/>
        <w:gridCol w:w="146"/>
        <w:gridCol w:w="181"/>
        <w:gridCol w:w="691"/>
        <w:gridCol w:w="151"/>
        <w:gridCol w:w="146"/>
        <w:gridCol w:w="278"/>
        <w:gridCol w:w="743"/>
        <w:gridCol w:w="151"/>
        <w:gridCol w:w="146"/>
        <w:gridCol w:w="181"/>
        <w:gridCol w:w="736"/>
        <w:gridCol w:w="151"/>
        <w:gridCol w:w="146"/>
        <w:gridCol w:w="146"/>
        <w:gridCol w:w="766"/>
        <w:gridCol w:w="146"/>
        <w:gridCol w:w="146"/>
        <w:gridCol w:w="181"/>
        <w:gridCol w:w="631"/>
        <w:gridCol w:w="151"/>
        <w:gridCol w:w="146"/>
        <w:gridCol w:w="181"/>
        <w:gridCol w:w="586"/>
        <w:gridCol w:w="356"/>
      </w:tblGrid>
      <w:tr>
        <w:trPr/>
        <w:tc>
          <w:tcPr>
            <w:tcW w:w="1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9"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Six Months Ended June 30, 2025</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130,918,997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1,460,270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(1,200,145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13,176,999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(196,382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69,324</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24,849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24,849</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Currency translation adjustments,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1,028</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Fair value adjustments of cash flow hedges,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(4,368</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11,858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11,858</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1,299,520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3,660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1,051,548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Tax withholding related to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(3,977</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 in connection with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64,223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416</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133,334,288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1,472,226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(1,175,296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13,176,999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(196,382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102,790</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447" w:type="dxa"/>
        <w:jc w:val="left"/>
        <w:tblInd w:w="0" w:type="dxa"/>
        <w:tblLayout w:type="fixed"/>
        <w:tblCellMar>
          <w:top w:w="28" w:type="dxa"/>
          <w:left w:w="28" w:type="dxa"/>
          <w:bottom w:w="28" w:type="dxa"/>
          <w:right w:w="28" w:type="dxa"/>
        </w:tblCellMar>
      </w:tblPr>
      <w:tblGrid>
        <w:gridCol w:w="1091"/>
        <w:gridCol w:w="146"/>
        <w:gridCol w:w="146"/>
        <w:gridCol w:w="841"/>
        <w:gridCol w:w="151"/>
        <w:gridCol w:w="146"/>
        <w:gridCol w:w="181"/>
        <w:gridCol w:w="346"/>
        <w:gridCol w:w="146"/>
        <w:gridCol w:w="146"/>
        <w:gridCol w:w="181"/>
        <w:gridCol w:w="691"/>
        <w:gridCol w:w="151"/>
        <w:gridCol w:w="146"/>
        <w:gridCol w:w="266"/>
        <w:gridCol w:w="755"/>
        <w:gridCol w:w="151"/>
        <w:gridCol w:w="146"/>
        <w:gridCol w:w="181"/>
        <w:gridCol w:w="736"/>
        <w:gridCol w:w="151"/>
        <w:gridCol w:w="146"/>
        <w:gridCol w:w="146"/>
        <w:gridCol w:w="766"/>
        <w:gridCol w:w="146"/>
        <w:gridCol w:w="146"/>
        <w:gridCol w:w="181"/>
        <w:gridCol w:w="631"/>
        <w:gridCol w:w="151"/>
        <w:gridCol w:w="146"/>
        <w:gridCol w:w="181"/>
        <w:gridCol w:w="556"/>
        <w:gridCol w:w="356"/>
      </w:tblGrid>
      <w:tr>
        <w:trPr/>
        <w:tc>
          <w:tcPr>
            <w:tcW w:w="1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4"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Six Months Ended June 30,2024</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 Stock</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128,462,343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1,402,003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(1,213,891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9,169,941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(163,197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40,725</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31,329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31,329</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Currency translation adjustments,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(257</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Fair value adjustments of cash flow hedges,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(3,548</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9,725</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112,472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294</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931,883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Tax withholding related to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(2,962</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Repuchase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(2,623,924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2,623,924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(23,295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(23,295</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June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126,882,774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1,409,060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11,991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(1,182,562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11,793,865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(186,492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52,011</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16"/>
        </w:rPr>
      </w:pPr>
      <w:r>
        <w:rPr>
          <w:rFonts w:ascii="Times New Roman" w:hAnsi="Times New Roman"/>
          <w:i/>
          <w:color w:val="000000"/>
          <w:sz w:val="16"/>
        </w:rPr>
        <w:t>See the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left"/>
        <w:rPr>
          <w:rFonts w:ascii="Times New Roman" w:hAnsi="Times New Roman"/>
          <w:b/>
          <w:color w:val="000000"/>
          <w:sz w:val="20"/>
        </w:rPr>
      </w:pPr>
      <w:bookmarkStart w:id="9" w:name="notes"/>
      <w:bookmarkEnd w:id="9"/>
      <w:r>
        <w:rPr>
          <w:rFonts w:ascii="Times New Roman" w:hAnsi="Times New Roman"/>
          <w:b/>
          <w:color w:val="000000"/>
          <w:sz w:val="20"/>
        </w:rPr>
        <w:t>1. Basis of Presentation</w:t>
      </w:r>
    </w:p>
    <w:p>
      <w:pPr>
        <w:pStyle w:val="TextBody"/>
        <w:bidi w:val="0"/>
        <w:spacing w:before="240" w:after="283"/>
        <w:jc w:val="left"/>
        <w:rPr>
          <w:rFonts w:ascii="Times New Roman" w:hAnsi="Times New Roman"/>
          <w:sz w:val="20"/>
        </w:rPr>
      </w:pPr>
      <w:r>
        <w:rPr>
          <w:rFonts w:ascii="Times New Roman" w:hAnsi="Times New Roman"/>
          <w:b/>
          <w:i/>
          <w:color w:val="000000"/>
          <w:sz w:val="20"/>
        </w:rPr>
        <w:t>The Business –</w:t>
      </w:r>
      <w:r>
        <w:rPr>
          <w:rFonts w:ascii="Times New Roman" w:hAnsi="Times New Roman"/>
          <w:color w:val="000000"/>
          <w:sz w:val="20"/>
        </w:rPr>
        <w:t xml:space="preserve"> Gogo Inc. (“Gogo,” the “Company,” “we,” “us,” or “our”) is the only multi-orbit, multi-band in-flight connectivity provider offering connectivity technology purpose-built for business and military/government aviation. The Company has a holistic approach of providing broadband connectivity services to its customers from small to large aircraft and heavy jets through the Company’s air-to-ground (“ATG”) technology and access to multiple satellite constellations, which aim to deliver consistent, global tip-to-tail connectivity with a suite of software, hardware, and advanced infrastructure supported by a 24/7/365 customer support team.</w:t>
      </w:r>
    </w:p>
    <w:p>
      <w:pPr>
        <w:pStyle w:val="TextBody"/>
        <w:bidi w:val="0"/>
        <w:spacing w:before="120" w:after="283"/>
        <w:jc w:val="left"/>
        <w:rPr>
          <w:rFonts w:ascii="Times New Roman" w:hAnsi="Times New Roman"/>
          <w:sz w:val="20"/>
        </w:rPr>
      </w:pPr>
      <w:r>
        <w:rPr>
          <w:rFonts w:ascii="Times New Roman" w:hAnsi="Times New Roman"/>
          <w:b/>
          <w:i/>
          <w:color w:val="000000"/>
          <w:sz w:val="20"/>
        </w:rPr>
        <w:t>Segments –</w:t>
      </w:r>
      <w:r>
        <w:rPr>
          <w:rFonts w:ascii="Times New Roman" w:hAnsi="Times New Roman"/>
          <w:color w:val="000000"/>
          <w:sz w:val="20"/>
        </w:rPr>
        <w:t xml:space="preserve"> As a result of the Company’s acquisition of Satcom Direct on December 3, 2024, as described in Note 2, “Acquisition of Satcom Direct,” the Company has two reportable segments: the legacy pre-acquisition operations of the Company, (“Gogo BA”) and the acquired entities, Satcom Direct. The Gogo BA segment provides in-flight connectivity for business aviation via ATG and satellite networks. The Satcom Direct segment provides global satellite-based communication solutions primarily for business and military/government aircraft. Satcom Direct is managed as a separate reportable segment, but in the future, we may realign our reportable segments after integrating the Satcom Direct business.</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 The accompanying Unaudited Condensed Consolidated Financial Statements and notes have been prepared in accordance with accounting principles generally accepted in the United States of America (“GAAP”) and in conformity with Article 10 of Regulation S-X promulgated under the Securities Act of 1933, as amended (the “Securities Act”). Accordingly, they do not include all of the information and notes required by GAAP for complete financial statements and should be read in conjunction with our annual audited consolidated financial statements and the notes thereto included in our Annual Report on Form 10-K for the year ended December 31, 2024 as filed with the Securities and Exchange Commission (the “SEC”) on March 14, 2025 (the “2024 10-K”). These Unaudited Condensed Consolidated Financial Statements reflect, in the opinion of management, all material adjustments (which include normal recurring adjustments) necessary to fairly state, in all material respects, our financial position, results of operations and cash flows for the periods presented.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operations and cash flows for the three- and six-month periods ended June 30, 2025 are not necessarily indicative of the results that may be expected for the fiscal year ending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had one class of common stock outstanding as of June 30, 2025 and December 31, 2024.</w:t>
      </w:r>
    </w:p>
    <w:p>
      <w:pPr>
        <w:pStyle w:val="TextBody"/>
        <w:bidi w:val="0"/>
        <w:spacing w:before="12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 The preparation of financial statements in conformity with GAAP requires management to make estimates and assumptions that affect the reported amounts of assets and liabilities, disclosures of contingent assets and liabilities as of the date of the financial statements, and the reported amounts of revenues and expenses during the reporting period. On an ongoing basis, management evaluates the significant estimates and bases such estimates on historical experience and various other assumptions believed to be reasonable under the circumstances. However, actual results could differ materially from those estimates.</w:t>
      </w:r>
    </w:p>
    <w:p>
      <w:pPr>
        <w:pStyle w:val="TextBody"/>
        <w:bidi w:val="0"/>
        <w:spacing w:before="120" w:after="283"/>
        <w:jc w:val="left"/>
        <w:rPr>
          <w:rFonts w:ascii="Times New Roman" w:hAnsi="Times New Roman"/>
          <w:sz w:val="20"/>
        </w:rPr>
      </w:pPr>
      <w:r>
        <w:rPr>
          <w:rFonts w:ascii="Times New Roman" w:hAnsi="Times New Roman"/>
          <w:b/>
          <w:i/>
          <w:color w:val="221E1F"/>
          <w:sz w:val="20"/>
        </w:rPr>
        <w:t>Recently Issued Accounting Pronouncements</w:t>
      </w:r>
      <w:r>
        <w:rPr>
          <w:rFonts w:ascii="Times New Roman" w:hAnsi="Times New Roman"/>
          <w:color w:val="221E1F"/>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the applicability and impact of all Accounting Standards Updates (“ASUs”) issued by the Financial Accounting Standards Board (“FASB”). ASUs not listed below were assessed and determined to be either not applicable or expected to have minimal impact on our consolidated financial statements and related notes.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Accounting standards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ASU No. 2023-09, </w:t>
      </w:r>
      <w:r>
        <w:rPr>
          <w:rFonts w:ascii="Times New Roman" w:hAnsi="Times New Roman"/>
          <w:i/>
          <w:color w:val="000000"/>
          <w:sz w:val="20"/>
        </w:rPr>
        <w:t>Income Taxes (Topic 740): Improvement to Income Tax Disclosures</w:t>
      </w:r>
      <w:r>
        <w:rPr>
          <w:rFonts w:ascii="Times New Roman" w:hAnsi="Times New Roman"/>
          <w:color w:val="000000"/>
          <w:sz w:val="20"/>
        </w:rPr>
        <w:t xml:space="preserve"> to enhance the transparency and decision usefulness of income tax disclosures, most notably in the tax rate reconciliation and income taxes paid. This guidance is effective for annual periods beginning after December 15, 2024. Early adoption is permitted and the amendments should be applied on a prospective basis, with retrospective application permitted. As this guidance only impacts disclosures, we do not expect the adoption to have a material impact on our consolidated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issues ASU No. 2024-03, </w:t>
      </w:r>
      <w:r>
        <w:rPr>
          <w:rFonts w:ascii="Times New Roman" w:hAnsi="Times New Roman"/>
          <w:i/>
          <w:color w:val="000000"/>
          <w:sz w:val="20"/>
        </w:rPr>
        <w:t>Income Statement - Reporting Comprehensive Income (Subtopic 220-40): Disaggregation of Income Statement Expenses</w:t>
      </w:r>
      <w:r>
        <w:rPr>
          <w:rFonts w:ascii="Times New Roman" w:hAnsi="Times New Roman"/>
          <w:color w:val="000000"/>
          <w:sz w:val="20"/>
        </w:rPr>
        <w:t xml:space="preserve"> which requires disclosure about specific types of expenses included in the expense captions presented in the Consolidated Statements of Operations. This guidance is effective for fiscal years beginning after December 15, 2026, and interim periods within fiscal years beginning after December 15, 2027. Early adoption is permitted and the amendments should be applied on a prospective basis, however, retrospective application is permitted. We are currently evaluating the impact that this guidance will have upon our consolidated financial statements and related notes.</w:t>
      </w:r>
    </w:p>
    <w:p>
      <w:pPr>
        <w:pStyle w:val="TextBody"/>
        <w:bidi w:val="0"/>
        <w:spacing w:before="240" w:after="283"/>
        <w:jc w:val="left"/>
        <w:rPr>
          <w:rFonts w:ascii="Times New Roman" w:hAnsi="Times New Roman"/>
          <w:sz w:val="20"/>
        </w:rPr>
      </w:pPr>
      <w:r>
        <w:rPr>
          <w:rFonts w:ascii="Times New Roman" w:hAnsi="Times New Roman"/>
          <w:b/>
          <w:color w:val="000000"/>
          <w:sz w:val="20"/>
        </w:rPr>
        <w:t>2. Acquisition of Satcom Direct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3, 2024 (the “Closing”), the Company completed its acquisition of 100% of the issued and outstanding equity interests in Satcom Direct, LLC, a Delaware limited liability company (f/k/a Satcom Direct, Inc., a Florida corporation) and certain of its affiliates and their collective subsidiaries (collectively, “Satcom Direct”), pursuant to the terms of the purchase agreement, dated 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 September 29, 2024 (the “Purchase Agreement”). Satcom Direct operates worldwide with an international sales and service team based in nine countries. Satcom Direct sells its in-flight connectivity and communication services and equipment globally through their international sales force to OEMs, governments, military, and private fleet companies, among others.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accordance with the terms of the Purchase Agreement, on the Closing, the Company purchased all of the issued and outstanding equity interests in Satcom Direct in exchange for: (i) an aggregate cash purchase amount of $375 million, subject to customary post-closing adjustments (the “Cash Consideration”), (ii) five million restricted shares (the “Stock Consideration”) of the Company’s common stock, par value of $0.0001 per share (“Common Stock”), and (iii) up to an additional $225 million in potential earnout payments of cash and/or Common Stock tied to realizing certain financial performance milestones over the next four years (the “Earnout Consideration” and, together with the Cash Consideration and Stock Consideration, the “Acquisition Consideration”). The Cash Consideration was financed via the Company’s $250 million HPS Credit Agreement (as defined below) and the remainder with cash on hand. The Earnout Consideration has an estimated fair value of $64.0 million and $53.0 million as of June 30, 2025 and December 31, 2024, respectively. As of June 30, 2025, $28.2 million of the Earnout Consideration is included in Other non-current liabilities on the Consolidated Balance Sheets with the remainder in Accrued liabilities. The entire amount of the earnout was included in Other non-current liabilities as of December 31, 2024. The fair value of the Earnout Consideration was calculated using a Monte Carlo simulation based on future gross profit projections of Satcom Direct, gross profit volatility rates of comparable companies and a risk adjusted discount rate. The fair value measurement was based on significant unobservable inputs and thus represents a Level 3 measurement.</w:t>
      </w:r>
    </w:p>
    <w:p>
      <w:pPr>
        <w:pStyle w:val="TextBody"/>
        <w:bidi w:val="0"/>
        <w:spacing w:before="120" w:after="120"/>
        <w:jc w:val="left"/>
        <w:rPr>
          <w:rFonts w:ascii="Times New Roman" w:hAnsi="Times New Roman"/>
          <w:sz w:val="20"/>
        </w:rPr>
      </w:pPr>
      <w:r>
        <w:rPr>
          <w:rFonts w:ascii="Times New Roman" w:hAnsi="Times New Roman"/>
          <w:color w:val="000000"/>
          <w:sz w:val="20"/>
        </w:rPr>
        <w:t>The following table summarizes the fair value of the Acquisition Consideration at Closing (</w:t>
      </w:r>
      <w:r>
        <w:rPr>
          <w:rFonts w:ascii="Times New Roman" w:hAnsi="Times New Roman"/>
          <w:i/>
          <w:color w:val="000000"/>
          <w:sz w:val="20"/>
        </w:rPr>
        <w:t>in thousands</w:t>
      </w:r>
      <w:r>
        <w:rPr>
          <w:rFonts w:ascii="Times New Roman" w:hAnsi="Times New Roman"/>
          <w:color w:val="000000"/>
          <w:sz w:val="20"/>
        </w:rPr>
        <w:t>):</w:t>
      </w:r>
    </w:p>
    <w:tbl>
      <w:tblPr>
        <w:tblW w:w="7585" w:type="dxa"/>
        <w:jc w:val="left"/>
        <w:tblInd w:w="0" w:type="dxa"/>
        <w:tblLayout w:type="fixed"/>
        <w:tblCellMar>
          <w:top w:w="28" w:type="dxa"/>
          <w:left w:w="28" w:type="dxa"/>
          <w:bottom w:w="28" w:type="dxa"/>
          <w:right w:w="28" w:type="dxa"/>
        </w:tblCellMar>
      </w:tblPr>
      <w:tblGrid>
        <w:gridCol w:w="6256"/>
        <w:gridCol w:w="146"/>
        <w:gridCol w:w="211"/>
        <w:gridCol w:w="781"/>
        <w:gridCol w:w="191"/>
      </w:tblGrid>
      <w:tr>
        <w:trPr/>
        <w:tc>
          <w:tcPr>
            <w:tcW w:w="6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Estimated Aggregate Acquisition Consideration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Share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issued per the Purchase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price on December 2,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346,900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 of pre-existing relationship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fair value of Earnout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Preliminary fair value of estimated aggregate Acquisition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447,893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allocated the purchase price to the net identifiable tangible and intangible assets acquired and liabilities assumed based on their preliminary estimated fair values as of the date of acquisition using the acquisition method of accounting for business combinations. The excess of the purchase price over the estimated fair value of the net assets and liabilities was allocated to goodwill. The Company determined the preliminary estimated fair values after review and consideration of relevant information as of the Closing, including discounted cash flows, quoted market prices and estimates made by management. The fair values assigned to tangible and intangible assets acquired and liabilities assumed are preliminary based on management's estimates and assumptions and may be subject to change as additional information is received. During the three-month period ended June 30, 2025, a measurement period adjustment was recorded to increase Goodwill by $6.9 million related to the fair value of certain liabilities that were not finalized as of the Closing. The Company expects to finalize the valuation no later than one year from the Closing.</w:t>
      </w:r>
    </w:p>
    <w:p>
      <w:pPr>
        <w:pStyle w:val="TextBody"/>
        <w:bidi w:val="0"/>
        <w:spacing w:before="0" w:after="120"/>
        <w:jc w:val="left"/>
        <w:rPr>
          <w:rFonts w:ascii="Times New Roman" w:hAnsi="Times New Roman"/>
          <w:sz w:val="20"/>
        </w:rPr>
      </w:pPr>
      <w:r>
        <w:rPr>
          <w:rFonts w:ascii="Times New Roman" w:hAnsi="Times New Roman"/>
          <w:color w:val="000000"/>
          <w:sz w:val="20"/>
        </w:rPr>
        <w:t>The following table summarizes the fair values of assets acquired and liabilities assumed as of the Closing based on the preliminary purchase price allocation and measurement period adjustments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tbl>
      <w:tblPr>
        <w:tblW w:w="6965" w:type="dxa"/>
        <w:jc w:val="left"/>
        <w:tblInd w:w="0" w:type="dxa"/>
        <w:tblLayout w:type="fixed"/>
        <w:tblCellMar>
          <w:top w:w="28" w:type="dxa"/>
          <w:left w:w="28" w:type="dxa"/>
          <w:bottom w:w="28" w:type="dxa"/>
          <w:right w:w="28" w:type="dxa"/>
        </w:tblCellMar>
      </w:tblPr>
      <w:tblGrid>
        <w:gridCol w:w="5536"/>
        <w:gridCol w:w="146"/>
        <w:gridCol w:w="211"/>
        <w:gridCol w:w="781"/>
        <w:gridCol w:w="291"/>
      </w:tblGrid>
      <w:tr>
        <w:trPr/>
        <w:tc>
          <w:tcPr>
            <w:tcW w:w="5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Preliminary Aggregate Purchase Price Allocation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Preliminary fair value of estimated total Acquisition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447,893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 net of allowances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67,841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Assets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213,300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non-current assets, net of allowances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377,860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61,982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121,515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256,345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191,548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allocation of the purchase price presented above was based on management's preliminary estimate of the fair values of the acquired assets and assumed liabilities using valuation techniques including income, cost and market approaches. These valuation techniques incorporate the use of future projected revenues and cash flows as well as estimated discount rates. Current and noncurrent assets and liabilities are valued at historical carrying values, which approximate fair value, except as described below. The fair value measurements discussed below were based on significant inputs that are not observable and thus represent a Level 3 measurement. Inventories were valued using a combination of the comparative sales method, which estimated the expected sales price of the products, reduced by all costs expected to be incurred to complete the inventory, as well as a profit on the sale and estimated replacement cost. Assets held for sale represent the main corporate facility of Satcom Direct and associated land in Melbourne, Florida. The Company expects to sell the assets within the next twelve months. Assets held for sale were valued using the income approach less the direct costs associated with selling the assets. Property and equipment, net were valued using a combination of the cost and market approaches. Customer relationships represent the fair value of future projected revenue that will be derived from sales of connectivity services and equipment to existing customers of Satcom Direct. Customer relationships were valued using the multi-period excess earnings method. This method of valuation reflects the present value of the projected cash flows that are expected to be generated by these existing customers less charges representing the contribution of other assets to those cash flows. Software and the tradename were valued under the relief from royalty method, which is equal to the present value of the after-tax royalty savings attributable to owning the software or tradename as opposed to paying a third party for its use. The estimated fair value of operating leases was determined based on current market terms, which resulted in a net unfavorable adjustment to the right-of-use asset. After assessing the preliminary fair value of the net assets acquired and liabilities assumed, the Company recorded goodwill of $184.2 million as of December 31, 2024. As a result of subsequent measurement period adjustments, the balance of acquired goodwill increased to $191.5 million as of June 30, 2025. Of the total goodwill amount, $166.1 million is attributable to the U.S. entities and is deductible for U.S. income tax purposes. The goodwill is attributable to the assembled workforce, synergies, and economies of scale.</w:t>
      </w:r>
    </w:p>
    <w:p>
      <w:pPr>
        <w:pStyle w:val="TextBody"/>
        <w:bidi w:val="0"/>
        <w:spacing w:before="0" w:after="120"/>
        <w:jc w:val="left"/>
        <w:rPr>
          <w:rFonts w:ascii="Times New Roman" w:hAnsi="Times New Roman"/>
          <w:sz w:val="20"/>
        </w:rPr>
      </w:pPr>
      <w:r>
        <w:rPr>
          <w:rFonts w:ascii="Times New Roman" w:hAnsi="Times New Roman"/>
          <w:color w:val="000000"/>
          <w:sz w:val="20"/>
        </w:rPr>
        <w:t>The following table summarizes the key information underlying identifiable finite lived intangible assets related to the Satcom Direct acquisition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tbl>
      <w:tblPr>
        <w:tblW w:w="9670" w:type="dxa"/>
        <w:jc w:val="left"/>
        <w:tblInd w:w="0" w:type="dxa"/>
        <w:tblLayout w:type="fixed"/>
        <w:tblCellMar>
          <w:top w:w="28" w:type="dxa"/>
          <w:left w:w="28" w:type="dxa"/>
          <w:bottom w:w="28" w:type="dxa"/>
          <w:right w:w="28" w:type="dxa"/>
        </w:tblCellMar>
      </w:tblPr>
      <w:tblGrid>
        <w:gridCol w:w="2596"/>
        <w:gridCol w:w="146"/>
        <w:gridCol w:w="1810"/>
        <w:gridCol w:w="2615"/>
        <w:gridCol w:w="146"/>
        <w:gridCol w:w="146"/>
        <w:gridCol w:w="408"/>
        <w:gridCol w:w="1512"/>
        <w:gridCol w:w="2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Estimated Useful Life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Fair Value</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55,200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144,600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OEM 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Tradename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213,300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Supplemental Pro-Forma Information (Unaudited)</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following table presents supplemental pro-forma information for the three- and six-month periods ended June 30, 2024 as if the acquisition of Satcom Direct had occurred on January 1, 2023. The amounts have been calculated after applying the Company’s accounting policies and are based upon currently available information. The unaudited pro-forma information for the period presented includes the following adjustments, where applicable, for business combination accounting effects resulting from the acquisition: (i) the change in Cost of Equipment to reflect the fair value change in inventory, (ii) incremental stock compensation expense, and adjustments for change in control bonuses that vest after the Closing as post-combination compensation expense, (iii) additional Depreciation and amortization expense related to the step up in fair value for finite-lived intangible assets and property and equipment acquired, (iv) removal of historical interest expense associated with Satcom Direct’s historical indebtedness which was extinguished upon consummation of the acquisition and the addition of interest expense related to financing the acquisition (refer to Note 9, “Long-Term Debt and Other Liabilities,” for additional information), and (v) the related tax effects assuming the acquisition occurred on January 1, 2023. Pre-acquisition revenue and net income amounts for Satcom Direct were derived from the books and records prepared prior to the acquisition and are presented for informational purposes only and do not purport to be indicative of the results of future operations or of the results that would have occurred had the acquisition taken place as of the date noted below.</w:t>
      </w:r>
    </w:p>
    <w:tbl>
      <w:tblPr>
        <w:tblW w:w="5385" w:type="dxa"/>
        <w:jc w:val="left"/>
        <w:tblInd w:w="0" w:type="dxa"/>
        <w:tblLayout w:type="fixed"/>
        <w:tblCellMar>
          <w:top w:w="28" w:type="dxa"/>
          <w:left w:w="28" w:type="dxa"/>
          <w:bottom w:w="28" w:type="dxa"/>
          <w:right w:w="28" w:type="dxa"/>
        </w:tblCellMar>
      </w:tblPr>
      <w:tblGrid>
        <w:gridCol w:w="1246"/>
        <w:gridCol w:w="146"/>
        <w:gridCol w:w="399"/>
        <w:gridCol w:w="1476"/>
        <w:gridCol w:w="146"/>
        <w:gridCol w:w="146"/>
        <w:gridCol w:w="347"/>
        <w:gridCol w:w="1288"/>
        <w:gridCol w:w="191"/>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445,551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Earnings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and diluted earnings per share have been calculated using the weighted average number of common shares outstanding for the period. Diluted earnings per share was computed using the treasury stock method for stock-based compensation. Contingently issuable shares are only included in the diluted earnings per share computation once all necessary conditions have been satisfied.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diluted earnings per share calculations exclude the effect of stock options, deferred stock units, performance stock units, restricted stock units and the potential Earnout Consideration when the computation is anti-dilutive. For the three- and six-month periods ended June 30, 2025, the weighted average number of shares excluded from the computation was 17.2 million and 22.9 million, respectively. For the three- and six-month periods ended June 30, 2024 the weighted average number of shares excluded from the computation was 2.1 million and 2.5 million, respectively.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The following table sets forth the computation of basic and diluted earnings per share for the three- and six-month periods ended June 30, 2025 and 2024 (</w:t>
      </w:r>
      <w:r>
        <w:rPr>
          <w:rFonts w:ascii="Times New Roman" w:hAnsi="Times New Roman"/>
          <w:i/>
          <w:color w:val="000000"/>
          <w:sz w:val="20"/>
        </w:rPr>
        <w:t>in thousands, except per share amounts</w:t>
      </w:r>
      <w:r>
        <w:rPr>
          <w:rFonts w:ascii="Times New Roman" w:hAnsi="Times New Roman"/>
          <w:color w:val="000000"/>
          <w:sz w:val="20"/>
        </w:rPr>
        <w:t xml:space="preserve">): </w:t>
      </w:r>
    </w:p>
    <w:p>
      <w:pPr>
        <w:pStyle w:val="TextBody"/>
        <w:bidi w:val="0"/>
        <w:spacing w:before="120" w:after="283"/>
        <w:jc w:val="left"/>
        <w:rPr/>
      </w:pPr>
      <w:r>
        <w:rPr/>
        <w:t> </w:t>
      </w:r>
    </w:p>
    <w:tbl>
      <w:tblPr>
        <w:tblW w:w="9887" w:type="dxa"/>
        <w:jc w:val="left"/>
        <w:tblInd w:w="0" w:type="dxa"/>
        <w:tblLayout w:type="fixed"/>
        <w:tblCellMar>
          <w:top w:w="28" w:type="dxa"/>
          <w:left w:w="28" w:type="dxa"/>
          <w:bottom w:w="28" w:type="dxa"/>
          <w:right w:w="28" w:type="dxa"/>
        </w:tblCellMar>
      </w:tblPr>
      <w:tblGrid>
        <w:gridCol w:w="4606"/>
        <w:gridCol w:w="146"/>
        <w:gridCol w:w="211"/>
        <w:gridCol w:w="781"/>
        <w:gridCol w:w="146"/>
        <w:gridCol w:w="146"/>
        <w:gridCol w:w="211"/>
        <w:gridCol w:w="781"/>
        <w:gridCol w:w="146"/>
        <w:gridCol w:w="146"/>
        <w:gridCol w:w="211"/>
        <w:gridCol w:w="781"/>
        <w:gridCol w:w="146"/>
        <w:gridCol w:w="146"/>
        <w:gridCol w:w="211"/>
        <w:gridCol w:w="781"/>
        <w:gridCol w:w="291"/>
      </w:tblGrid>
      <w:tr>
        <w:trPr/>
        <w:tc>
          <w:tcPr>
            <w:tcW w:w="4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Three Months </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w:t>
              <w:br/>
              <w:t>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31,329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128,792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Earnings per share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Three Months </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w:t>
              <w:br/>
              <w:t>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31,329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Average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128,792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dilutive securities -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weighted average diluted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132,094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Earnings per share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 Revenue Recognition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Remaining performance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2025, the aggregate amount of the transaction price in our contracts allocated to the remaining unsatisfied performance obligations (“RPO”) was approximately $594 million and excludes consideration from contracts that have an original duration of one year or less. Approximately $582 million of the RPO primarily represents connectivity and entertainment service revenues which are recognized as services are provided, which is expected to occur through the remaining term of the contracts. Our contracts vary in length and generally have terms of two to ten years. We expect to recognize approximately 38% of our connectivity and entertainment service RPO within the next year, approximately 46% in one to five years and the remaining 16% in five to ten years. The remaining $12 million of the RPO represents future equipment revenue that is expected to be recognized primarily within the next three years as equipment is shipped.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Disaggregation of revenue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table presents our revenue disaggregated by category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8250" w:type="dxa"/>
        <w:jc w:val="left"/>
        <w:tblInd w:w="0" w:type="dxa"/>
        <w:tblLayout w:type="fixed"/>
        <w:tblCellMar>
          <w:top w:w="28" w:type="dxa"/>
          <w:left w:w="28" w:type="dxa"/>
          <w:bottom w:w="28" w:type="dxa"/>
          <w:right w:w="28" w:type="dxa"/>
        </w:tblCellMar>
      </w:tblPr>
      <w:tblGrid>
        <w:gridCol w:w="2866"/>
        <w:gridCol w:w="146"/>
        <w:gridCol w:w="211"/>
        <w:gridCol w:w="676"/>
        <w:gridCol w:w="146"/>
        <w:gridCol w:w="146"/>
        <w:gridCol w:w="277"/>
        <w:gridCol w:w="1028"/>
        <w:gridCol w:w="146"/>
        <w:gridCol w:w="146"/>
        <w:gridCol w:w="211"/>
        <w:gridCol w:w="781"/>
        <w:gridCol w:w="146"/>
        <w:gridCol w:w="146"/>
        <w:gridCol w:w="211"/>
        <w:gridCol w:w="676"/>
        <w:gridCol w:w="2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4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Gogo BA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Satcom Direct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Gogo BA</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Service revenue by type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Satellite broadband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ATG broadband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77,653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Narrowband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service revenue by type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81,929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Service revenue by market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Business aviation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81,929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Military / Government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service revenue by market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81,929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Equipment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Satellite broadband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ATG broadband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Narrowband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equipment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460" w:type="dxa"/>
        <w:jc w:val="left"/>
        <w:tblInd w:w="0" w:type="dxa"/>
        <w:tblLayout w:type="fixed"/>
        <w:tblCellMar>
          <w:top w:w="28" w:type="dxa"/>
          <w:left w:w="28" w:type="dxa"/>
          <w:bottom w:w="28" w:type="dxa"/>
          <w:right w:w="28" w:type="dxa"/>
        </w:tblCellMar>
      </w:tblPr>
      <w:tblGrid>
        <w:gridCol w:w="2866"/>
        <w:gridCol w:w="146"/>
        <w:gridCol w:w="211"/>
        <w:gridCol w:w="781"/>
        <w:gridCol w:w="146"/>
        <w:gridCol w:w="146"/>
        <w:gridCol w:w="277"/>
        <w:gridCol w:w="1028"/>
        <w:gridCol w:w="146"/>
        <w:gridCol w:w="146"/>
        <w:gridCol w:w="211"/>
        <w:gridCol w:w="781"/>
        <w:gridCol w:w="146"/>
        <w:gridCol w:w="146"/>
        <w:gridCol w:w="211"/>
        <w:gridCol w:w="781"/>
        <w:gridCol w:w="2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5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7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Gogo BA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Satcom Direct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Gogo BA</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Service revenue by type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Satellite broadband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ATG broadband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155,565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Narrowband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service revenue by type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163,602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Service revenue by market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Business aviation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163,602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Military / Government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service revenue by market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163,602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Equipment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Satellite broadband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ATG broadband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36,543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Narrowband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equipment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42,779</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Contract balances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and non-current contract asset balances totaled $30.9 million and $25.0 million as of June 30, 2025 and December 31, 2024, respectively. Contract assets represent the aggregate amount of revenue recognized in excess of billings and recoverable contract costs primarily for certain sales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and non-current deferred revenue balances totaled $37.3 million and $41.3 million as of June 30, 2025 and December 31, 2024, respectively. Deferred revenue includes, among other things, prepayments for equipment and subscription connectivity products. For the three- and six-month periods ended June 30, 2025, we recognized revenue of $13.9 million and $30.7 million, respectively, that was previously included in the beginning balance of deferred revenue.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Government Assistance</w:t>
      </w:r>
    </w:p>
    <w:p>
      <w:pPr>
        <w:pStyle w:val="TextBody"/>
        <w:bidi w:val="0"/>
        <w:spacing w:before="120" w:after="283"/>
        <w:jc w:val="left"/>
        <w:rPr>
          <w:rFonts w:ascii="Times New Roman" w:hAnsi="Times New Roman"/>
          <w:sz w:val="20"/>
        </w:rPr>
      </w:pPr>
      <w:r>
        <w:rPr>
          <w:rFonts w:ascii="Times New Roman" w:hAnsi="Times New Roman"/>
          <w:b/>
          <w:i/>
          <w:color w:val="000000"/>
          <w:sz w:val="20"/>
        </w:rPr>
        <w:t>Federal Communications Commission (“FCC”) Reimbursement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15, 2022, the Company was notified that it was approved for participation in the FCC Reimbursement Program, designed to reimburse providers of advanced communications services for reasonable costs incurred in the required removal, replacement, and disposal of covered communications equipment or services, that have been deemed to pose a national security risk, from their networks. Pursuant to the FCC Reimbursement Program, the FCC approved up to approximately $334 million in reimbursements to the Company to cover documented and approved costs to (i) remove and securely destroy all ZTE communications equipment and services in the Company’s terrestrial U.S. networks and replace such equipment and (ii) remove and replace certain equipment installed on aircraft operated by the Company’s ATG customers that is not compatible with the terrestrial equipment that will replace ZTE equipment. Due to an initial shortfall in the amount appropriated by Congress to fund the FCC Reimbursement Program, approximately $132 million of the approved amount was allocated to the Company under the program. Following passage of the Fiscal Year 2025 National Defense Authorization Act, the Company was allocated its full approved amount of approximately $334 million and the program completion deadline was extended to May 8,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2025 and December 31, 2024, we have recorded a $9.8 million and $9.7 million receivable from the FCC, respectively, which is included in Prepaid expenses and other current assets in our Unaudited Condensed Consolidated Balance Sheets.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are the deductions to the carrying value of asset balances in our Unaudited Condensed Consolidated Balance Sheets as of June 30, 2025 and December 31, 2024 </w:t>
      </w:r>
      <w:r>
        <w:rPr>
          <w:rFonts w:ascii="Times New Roman" w:hAnsi="Times New Roman"/>
          <w:i/>
          <w:color w:val="000000"/>
          <w:sz w:val="20"/>
        </w:rPr>
        <w:t>(in thousands):</w:t>
      </w:r>
    </w:p>
    <w:p>
      <w:pPr>
        <w:pStyle w:val="TextBody"/>
        <w:bidi w:val="0"/>
        <w:jc w:val="left"/>
        <w:rPr/>
      </w:pPr>
      <w:r>
        <w:rPr/>
        <w:t> </w:t>
      </w:r>
    </w:p>
    <w:tbl>
      <w:tblPr>
        <w:tblW w:w="7395" w:type="dxa"/>
        <w:jc w:val="left"/>
        <w:tblInd w:w="0" w:type="dxa"/>
        <w:tblLayout w:type="fixed"/>
        <w:tblCellMar>
          <w:top w:w="28" w:type="dxa"/>
          <w:left w:w="28" w:type="dxa"/>
          <w:bottom w:w="28" w:type="dxa"/>
          <w:right w:w="28" w:type="dxa"/>
        </w:tblCellMar>
      </w:tblPr>
      <w:tblGrid>
        <w:gridCol w:w="3626"/>
        <w:gridCol w:w="146"/>
        <w:gridCol w:w="284"/>
        <w:gridCol w:w="991"/>
        <w:gridCol w:w="166"/>
        <w:gridCol w:w="146"/>
        <w:gridCol w:w="384"/>
        <w:gridCol w:w="1341"/>
        <w:gridCol w:w="311"/>
      </w:tblGrid>
      <w:tr>
        <w:trPr/>
        <w:tc>
          <w:tcPr>
            <w:tcW w:w="3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Prepaids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are the increases to Net income in our Unaudited Condensed Consolidated Statements of Operations for the three- and six-month periods ended June 30, 2025 and 2024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6990" w:type="dxa"/>
        <w:jc w:val="left"/>
        <w:tblInd w:w="0" w:type="dxa"/>
        <w:tblLayout w:type="fixed"/>
        <w:tblCellMar>
          <w:top w:w="28" w:type="dxa"/>
          <w:left w:w="28" w:type="dxa"/>
          <w:bottom w:w="28" w:type="dxa"/>
          <w:right w:w="28" w:type="dxa"/>
        </w:tblCellMar>
      </w:tblPr>
      <w:tblGrid>
        <w:gridCol w:w="2411"/>
        <w:gridCol w:w="146"/>
        <w:gridCol w:w="226"/>
        <w:gridCol w:w="614"/>
        <w:gridCol w:w="157"/>
        <w:gridCol w:w="157"/>
        <w:gridCol w:w="226"/>
        <w:gridCol w:w="614"/>
        <w:gridCol w:w="146"/>
        <w:gridCol w:w="146"/>
        <w:gridCol w:w="211"/>
        <w:gridCol w:w="571"/>
        <w:gridCol w:w="146"/>
        <w:gridCol w:w="146"/>
        <w:gridCol w:w="211"/>
        <w:gridCol w:w="571"/>
        <w:gridCol w:w="291"/>
      </w:tblGrid>
      <w:tr>
        <w:trPr/>
        <w:tc>
          <w:tcPr>
            <w:tcW w:w="2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Three Months </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w:t>
              <w:br/>
              <w:t>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equipment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 Composition of Certain Balance Sheet Accounts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Inventories consist primarily of telecommunications systems and parts and are recorded at the lower of average cost or net realizable value. We evaluate the need for write-downs associated with obsolete, slow-moving and nonsalable inventory by reviewing net realizable inventory values on a periodic basis.</w:t>
      </w:r>
    </w:p>
    <w:p>
      <w:pPr>
        <w:pStyle w:val="TextBody"/>
        <w:bidi w:val="0"/>
        <w:spacing w:before="120" w:after="283"/>
        <w:jc w:val="left"/>
        <w:rPr>
          <w:rFonts w:ascii="Times New Roman" w:hAnsi="Times New Roman"/>
          <w:sz w:val="20"/>
        </w:rPr>
      </w:pPr>
      <w:r>
        <w:rPr>
          <w:rFonts w:ascii="Times New Roman" w:hAnsi="Times New Roman"/>
          <w:color w:val="000000"/>
          <w:sz w:val="20"/>
        </w:rPr>
        <w:t>Inventories as of June 30, 2025 and December 31, 2024 were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5627" w:type="dxa"/>
        <w:jc w:val="left"/>
        <w:tblInd w:w="0" w:type="dxa"/>
        <w:tblLayout w:type="fixed"/>
        <w:tblCellMar>
          <w:top w:w="28" w:type="dxa"/>
          <w:left w:w="28" w:type="dxa"/>
          <w:bottom w:w="28" w:type="dxa"/>
          <w:right w:w="28" w:type="dxa"/>
        </w:tblCellMar>
      </w:tblPr>
      <w:tblGrid>
        <w:gridCol w:w="2851"/>
        <w:gridCol w:w="146"/>
        <w:gridCol w:w="211"/>
        <w:gridCol w:w="676"/>
        <w:gridCol w:w="146"/>
        <w:gridCol w:w="146"/>
        <w:gridCol w:w="299"/>
        <w:gridCol w:w="961"/>
        <w:gridCol w:w="19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Work-in-process component parts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44,301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 inventory</w:t>
            </w:r>
            <w:r>
              <w:rPr>
                <w:rFonts w:ascii="Times New Roman" w:hAnsi="Times New Roman"/>
                <w:i/>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97,934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imes New Roman" w:hAnsi="Times New Roman"/>
          <w:color w:val="000000"/>
          <w:sz w:val="20"/>
        </w:rPr>
      </w:pPr>
      <w:r>
        <w:rPr>
          <w:rFonts w:ascii="Times New Roman" w:hAnsi="Times New Roman"/>
          <w:color w:val="000000"/>
          <w:sz w:val="20"/>
        </w:rPr>
        <w:t>(1) See Note 5, “Government Assistance,” for additional information.</w:t>
      </w:r>
    </w:p>
    <w:p>
      <w:pPr>
        <w:pStyle w:val="TextBody"/>
        <w:bidi w:val="0"/>
        <w:spacing w:before="120" w:after="283"/>
        <w:jc w:val="left"/>
        <w:rPr>
          <w:rFonts w:ascii="Times New Roman" w:hAnsi="Times New Roman"/>
          <w:sz w:val="20"/>
        </w:rPr>
      </w:pPr>
      <w:r>
        <w:rPr>
          <w:rFonts w:ascii="Times New Roman" w:hAnsi="Times New Roman"/>
          <w:color w:val="000000"/>
          <w:sz w:val="20"/>
        </w:rPr>
        <w:t>Prepaid expenses and other current assets as of June 30, 2025 and December 31, 2024 were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both"/>
        <w:rPr/>
      </w:pPr>
      <w:r>
        <w:rPr/>
        <w:t> </w:t>
      </w:r>
    </w:p>
    <w:tbl>
      <w:tblPr>
        <w:tblW w:w="7352" w:type="dxa"/>
        <w:jc w:val="left"/>
        <w:tblInd w:w="0" w:type="dxa"/>
        <w:tblLayout w:type="fixed"/>
        <w:tblCellMar>
          <w:top w:w="28" w:type="dxa"/>
          <w:left w:w="28" w:type="dxa"/>
          <w:bottom w:w="28" w:type="dxa"/>
          <w:right w:w="28" w:type="dxa"/>
        </w:tblCellMar>
      </w:tblPr>
      <w:tblGrid>
        <w:gridCol w:w="4576"/>
        <w:gridCol w:w="146"/>
        <w:gridCol w:w="211"/>
        <w:gridCol w:w="676"/>
        <w:gridCol w:w="146"/>
        <w:gridCol w:w="146"/>
        <w:gridCol w:w="299"/>
        <w:gridCol w:w="961"/>
        <w:gridCol w:w="19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caps and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FCC reimbursement receivable</w:t>
            </w:r>
            <w:r>
              <w:rPr>
                <w:rFonts w:ascii="Times New Roman" w:hAnsi="Times New Roman"/>
                <w:i/>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Contract assets</w:t>
            </w:r>
            <w:r>
              <w:rPr>
                <w:rFonts w:ascii="Times New Roman" w:hAnsi="Times New Roman"/>
                <w:i/>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Tax indemnification receivable</w:t>
            </w:r>
            <w:r>
              <w:rPr>
                <w:rFonts w:ascii="Times New Roman" w:hAnsi="Times New Roman"/>
                <w:i/>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net of allowances of $2,000 and $0,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55,256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imes New Roman" w:hAnsi="Times New Roman"/>
          <w:color w:val="000000"/>
          <w:sz w:val="20"/>
        </w:rPr>
      </w:pPr>
      <w:r>
        <w:rPr>
          <w:rFonts w:ascii="Times New Roman" w:hAnsi="Times New Roman"/>
          <w:color w:val="000000"/>
          <w:sz w:val="20"/>
        </w:rPr>
        <w:t>(1) See Note 5, “Government Assistance,” for additional information.</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(2) See Note 17, “Commitments and Contingencies,” for additional information.</w:t>
      </w:r>
    </w:p>
    <w:p>
      <w:pPr>
        <w:pStyle w:val="TextBody"/>
        <w:bidi w:val="0"/>
        <w:spacing w:before="120" w:after="283"/>
        <w:jc w:val="left"/>
        <w:rPr>
          <w:rFonts w:ascii="Times New Roman" w:hAnsi="Times New Roman"/>
          <w:sz w:val="20"/>
        </w:rPr>
      </w:pPr>
      <w:r>
        <w:rPr>
          <w:rFonts w:ascii="Times New Roman" w:hAnsi="Times New Roman"/>
          <w:color w:val="000000"/>
          <w:sz w:val="20"/>
        </w:rPr>
        <w:t>Property and equipment as of June 30, 2025 and December 31, 2024 were as follows (</w:t>
      </w:r>
      <w:r>
        <w:rPr>
          <w:rFonts w:ascii="Times New Roman" w:hAnsi="Times New Roman"/>
          <w:i/>
          <w:color w:val="000000"/>
          <w:sz w:val="20"/>
        </w:rPr>
        <w:t>in thousands</w:t>
      </w:r>
      <w:r>
        <w:rPr>
          <w:rFonts w:ascii="Times New Roman" w:hAnsi="Times New Roman"/>
          <w:color w:val="000000"/>
          <w:sz w:val="20"/>
        </w:rPr>
        <w:t xml:space="preserve">): </w:t>
      </w:r>
    </w:p>
    <w:p>
      <w:pPr>
        <w:pStyle w:val="TextBody"/>
        <w:bidi w:val="0"/>
        <w:jc w:val="both"/>
        <w:rPr/>
      </w:pPr>
      <w:r>
        <w:rPr/>
        <w:t> </w:t>
      </w:r>
    </w:p>
    <w:tbl>
      <w:tblPr>
        <w:tblW w:w="6822" w:type="dxa"/>
        <w:jc w:val="left"/>
        <w:tblInd w:w="0" w:type="dxa"/>
        <w:tblLayout w:type="fixed"/>
        <w:tblCellMar>
          <w:top w:w="28" w:type="dxa"/>
          <w:left w:w="28" w:type="dxa"/>
          <w:bottom w:w="28" w:type="dxa"/>
          <w:right w:w="28" w:type="dxa"/>
        </w:tblCellMar>
      </w:tblPr>
      <w:tblGrid>
        <w:gridCol w:w="3841"/>
        <w:gridCol w:w="146"/>
        <w:gridCol w:w="211"/>
        <w:gridCol w:w="841"/>
        <w:gridCol w:w="166"/>
        <w:gridCol w:w="146"/>
        <w:gridCol w:w="252"/>
        <w:gridCol w:w="1008"/>
        <w:gridCol w:w="21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 furniture, fixtures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 and buildings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Network equipment</w:t>
            </w:r>
            <w:r>
              <w:rPr>
                <w:rFonts w:ascii="Times New Roman" w:hAnsi="Times New Roman"/>
                <w:i/>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189,198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253,662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(134,537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119,125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imes New Roman" w:hAnsi="Times New Roman"/>
          <w:color w:val="000000"/>
          <w:sz w:val="20"/>
        </w:rPr>
      </w:pPr>
      <w:r>
        <w:rPr>
          <w:rFonts w:ascii="Times New Roman" w:hAnsi="Times New Roman"/>
          <w:color w:val="000000"/>
          <w:sz w:val="20"/>
        </w:rPr>
        <w:t>(1) See Note 5, “Government Assistance,” for additional information.</w:t>
      </w:r>
    </w:p>
    <w:p>
      <w:pPr>
        <w:pStyle w:val="TextBody"/>
        <w:bidi w:val="0"/>
        <w:spacing w:before="120" w:after="283"/>
        <w:jc w:val="left"/>
        <w:rPr>
          <w:rFonts w:ascii="Times New Roman" w:hAnsi="Times New Roman"/>
          <w:sz w:val="20"/>
        </w:rPr>
      </w:pPr>
      <w:r>
        <w:rPr>
          <w:rFonts w:ascii="Times New Roman" w:hAnsi="Times New Roman"/>
          <w:color w:val="000000"/>
          <w:sz w:val="20"/>
        </w:rPr>
        <w:t>Other non-current assets as of June 30, 2025 and December 31, 2024 were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both"/>
        <w:rPr/>
      </w:pPr>
      <w:r>
        <w:rPr/>
        <w:t> </w:t>
      </w:r>
    </w:p>
    <w:tbl>
      <w:tblPr>
        <w:tblW w:w="8342" w:type="dxa"/>
        <w:jc w:val="left"/>
        <w:tblInd w:w="0" w:type="dxa"/>
        <w:tblLayout w:type="fixed"/>
        <w:tblCellMar>
          <w:top w:w="28" w:type="dxa"/>
          <w:left w:w="28" w:type="dxa"/>
          <w:bottom w:w="28" w:type="dxa"/>
          <w:right w:w="28" w:type="dxa"/>
        </w:tblCellMar>
      </w:tblPr>
      <w:tblGrid>
        <w:gridCol w:w="5566"/>
        <w:gridCol w:w="146"/>
        <w:gridCol w:w="211"/>
        <w:gridCol w:w="676"/>
        <w:gridCol w:w="146"/>
        <w:gridCol w:w="146"/>
        <w:gridCol w:w="299"/>
        <w:gridCol w:w="961"/>
        <w:gridCol w:w="19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caps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Contract assets, net of allowances of $909 and $861, respectively</w:t>
            </w:r>
            <w:r>
              <w:rPr>
                <w:rFonts w:ascii="Times New Roman" w:hAnsi="Times New Roman"/>
                <w:i/>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imes New Roman" w:hAnsi="Times New Roman"/>
          <w:color w:val="000000"/>
          <w:sz w:val="20"/>
        </w:rPr>
      </w:pPr>
      <w:r>
        <w:rPr>
          <w:rFonts w:ascii="Times New Roman" w:hAnsi="Times New Roman"/>
          <w:color w:val="000000"/>
          <w:sz w:val="20"/>
        </w:rPr>
        <w:t>(1) See Note 5, “Government Assistance,” for additional information.</w:t>
      </w:r>
    </w:p>
    <w:p>
      <w:pPr>
        <w:pStyle w:val="TextBody"/>
        <w:bidi w:val="0"/>
        <w:spacing w:before="120" w:after="283"/>
        <w:jc w:val="left"/>
        <w:rPr>
          <w:rFonts w:ascii="Times New Roman" w:hAnsi="Times New Roman"/>
          <w:sz w:val="20"/>
        </w:rPr>
      </w:pPr>
      <w:r>
        <w:rPr>
          <w:rFonts w:ascii="Times New Roman" w:hAnsi="Times New Roman"/>
          <w:color w:val="000000"/>
          <w:sz w:val="20"/>
        </w:rPr>
        <w:t>Accrued liabilities as of June 30, 2025 and December 31, 2024 were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tbl>
      <w:tblPr>
        <w:tblW w:w="6047" w:type="dxa"/>
        <w:jc w:val="left"/>
        <w:tblInd w:w="0" w:type="dxa"/>
        <w:tblLayout w:type="fixed"/>
        <w:tblCellMar>
          <w:top w:w="28" w:type="dxa"/>
          <w:left w:w="28" w:type="dxa"/>
          <w:bottom w:w="28" w:type="dxa"/>
          <w:right w:w="28" w:type="dxa"/>
        </w:tblCellMar>
      </w:tblPr>
      <w:tblGrid>
        <w:gridCol w:w="3166"/>
        <w:gridCol w:w="146"/>
        <w:gridCol w:w="211"/>
        <w:gridCol w:w="781"/>
        <w:gridCol w:w="146"/>
        <w:gridCol w:w="146"/>
        <w:gridCol w:w="299"/>
        <w:gridCol w:w="961"/>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Earnout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credit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Network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Warranty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Gogo Galileo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81,889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Research and Development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Expenditures for research and development are charged to expense as incurred and totaled $12.5 million and $26.4 million, respectively, during the three- and six-month periods ended June 30, 2025, and $10.3 million and $19.5 million, respectively, during the prior-year period. Research and development costs are reported as Engineering, design and development expenses in our Unaudited Condensed Consolidated Statements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 Goodwill and Other 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intangible assets are comprised of both indefinite-lived and finite-lived intangible assets and goodwill. Intangible assets with indefinite lives are not amortized but are reviewed for impairment at least annually or whenever events or circumstances indicate the carrying value of the asset may not be recoverable. We perform our annual impairment test of our indefinite-lived intangible assets during the fourth quarter of each fiscal year, and the results from the test performed in the fourth quarter of 2024 indicated no impairment. We also reevaluate the useful life of indefinite-lived intangible assets each reporting period to determine whether events and circumstances continue to support an indefinite useful life.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Changes in the carrying value of goodwill by reportable segment were as follows </w:t>
      </w:r>
      <w:r>
        <w:rPr>
          <w:rFonts w:ascii="Times New Roman" w:hAnsi="Times New Roman"/>
          <w:i/>
          <w:color w:val="000000"/>
          <w:sz w:val="20"/>
        </w:rPr>
        <w:t>(in thousands)</w:t>
      </w:r>
      <w:r>
        <w:rPr>
          <w:rFonts w:ascii="Times New Roman" w:hAnsi="Times New Roman"/>
          <w:color w:val="000000"/>
          <w:sz w:val="20"/>
        </w:rPr>
        <w:t>:</w:t>
      </w:r>
    </w:p>
    <w:tbl>
      <w:tblPr>
        <w:tblW w:w="7109" w:type="dxa"/>
        <w:jc w:val="left"/>
        <w:tblInd w:w="0" w:type="dxa"/>
        <w:tblLayout w:type="fixed"/>
        <w:tblCellMar>
          <w:top w:w="28" w:type="dxa"/>
          <w:left w:w="28" w:type="dxa"/>
          <w:bottom w:w="28" w:type="dxa"/>
          <w:right w:w="28" w:type="dxa"/>
        </w:tblCellMar>
      </w:tblPr>
      <w:tblGrid>
        <w:gridCol w:w="2906"/>
        <w:gridCol w:w="146"/>
        <w:gridCol w:w="295"/>
        <w:gridCol w:w="590"/>
        <w:gridCol w:w="146"/>
        <w:gridCol w:w="146"/>
        <w:gridCol w:w="277"/>
        <w:gridCol w:w="1028"/>
        <w:gridCol w:w="146"/>
        <w:gridCol w:w="146"/>
        <w:gridCol w:w="211"/>
        <w:gridCol w:w="781"/>
        <w:gridCol w:w="291"/>
      </w:tblGrid>
      <w:tr>
        <w:trPr/>
        <w:tc>
          <w:tcPr>
            <w:tcW w:w="2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Gogo BA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Satcom Direct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184,831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Measurement period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192,168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goodwill balance was $192.2 million and $184.8 million as of June 30, 2025 and December 31, 2024, respectively. Refer to Note 2, “Acquisition of Satcom Direct,” for further information on the 2025 change in goodwill. We have preliminarily allocated goodwill to segments of the Company. As the Company finalizes the estimation of the fair value of assets acquired and liabilities assumed, additional adjustments to the amount of goodwill and the allocation to each segment may be necessary.</w:t>
      </w:r>
    </w:p>
    <w:p>
      <w:pPr>
        <w:pStyle w:val="TextBody"/>
        <w:bidi w:val="0"/>
        <w:spacing w:before="120" w:after="120"/>
        <w:jc w:val="left"/>
        <w:rPr>
          <w:rFonts w:ascii="Times New Roman" w:hAnsi="Times New Roman"/>
          <w:sz w:val="20"/>
        </w:rPr>
      </w:pPr>
      <w:r>
        <w:rPr>
          <w:rFonts w:ascii="Times New Roman" w:hAnsi="Times New Roman"/>
          <w:color w:val="000000"/>
          <w:sz w:val="20"/>
        </w:rPr>
        <w:t>Our intangible assets, other than goodwill, as of June 30, 2025 and December 31, 2024 were as follows (</w:t>
      </w:r>
      <w:r>
        <w:rPr>
          <w:rFonts w:ascii="Times New Roman" w:hAnsi="Times New Roman"/>
          <w:i/>
          <w:color w:val="000000"/>
          <w:sz w:val="20"/>
        </w:rPr>
        <w:t>in thousands</w:t>
      </w:r>
      <w:r>
        <w:rPr>
          <w:rFonts w:ascii="Times New Roman" w:hAnsi="Times New Roman"/>
          <w:color w:val="000000"/>
          <w:sz w:val="20"/>
        </w:rPr>
        <w:t>):</w:t>
      </w:r>
    </w:p>
    <w:tbl>
      <w:tblPr>
        <w:tblW w:w="10205" w:type="dxa"/>
        <w:jc w:val="left"/>
        <w:tblInd w:w="0" w:type="dxa"/>
        <w:tblLayout w:type="fixed"/>
        <w:tblCellMar>
          <w:top w:w="28" w:type="dxa"/>
          <w:left w:w="28" w:type="dxa"/>
          <w:bottom w:w="28" w:type="dxa"/>
          <w:right w:w="28" w:type="dxa"/>
        </w:tblCellMar>
      </w:tblPr>
      <w:tblGrid>
        <w:gridCol w:w="2332"/>
        <w:gridCol w:w="146"/>
        <w:gridCol w:w="196"/>
        <w:gridCol w:w="691"/>
        <w:gridCol w:w="146"/>
        <w:gridCol w:w="146"/>
        <w:gridCol w:w="257"/>
        <w:gridCol w:w="869"/>
        <w:gridCol w:w="166"/>
        <w:gridCol w:w="146"/>
        <w:gridCol w:w="196"/>
        <w:gridCol w:w="691"/>
        <w:gridCol w:w="146"/>
        <w:gridCol w:w="146"/>
        <w:gridCol w:w="196"/>
        <w:gridCol w:w="691"/>
        <w:gridCol w:w="146"/>
        <w:gridCol w:w="146"/>
        <w:gridCol w:w="264"/>
        <w:gridCol w:w="896"/>
        <w:gridCol w:w="166"/>
        <w:gridCol w:w="146"/>
        <w:gridCol w:w="196"/>
        <w:gridCol w:w="691"/>
        <w:gridCol w:w="393"/>
      </w:tblGrid>
      <w:tr>
        <w:trPr/>
        <w:tc>
          <w:tcPr>
            <w:tcW w:w="23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3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Accumulated </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br/>
              <w:t>Carrying</w:t>
              <w:br/>
              <w:t>Amount</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Amortized intangible assets</w:t>
            </w:r>
            <w:r>
              <w:rPr>
                <w:rFonts w:ascii="Times New Roman" w:hAnsi="Times New Roman"/>
                <w:b/>
                <w:color w:val="000000"/>
                <w:sz w:val="12"/>
              </w:rPr>
              <w:t>(1)</w:t>
            </w: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137,837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132,673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85,448</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Service 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152,681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127,730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152,681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142,190</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OEM and dealer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10,193</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5,217</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amortized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232,221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307,648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243,048</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Unamortized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FCC Licenses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32,283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347,899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(84,359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263,540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339,931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(64,600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275,331</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See Note 5, “Government Assistance,” for additional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Amortization expense was $10.0 million and $19.8 million, for the three- and six-month periods ended June 30, 2025, and $0.2 million and $0.4 million, respectively, for the prior-year periods.</w:t>
      </w:r>
    </w:p>
    <w:p>
      <w:pPr>
        <w:pStyle w:val="TextBody"/>
        <w:bidi w:val="0"/>
        <w:spacing w:before="120" w:after="283"/>
        <w:jc w:val="left"/>
        <w:rPr>
          <w:rFonts w:ascii="Times New Roman" w:hAnsi="Times New Roman"/>
          <w:sz w:val="20"/>
        </w:rPr>
      </w:pPr>
      <w:r>
        <w:rPr>
          <w:rFonts w:ascii="Times New Roman" w:hAnsi="Times New Roman"/>
          <w:color w:val="000000"/>
          <w:sz w:val="20"/>
        </w:rPr>
        <w:t>Amortization expense for the remainder of 2025, each of the next four years and thereafter is estimated to be as follows (</w:t>
      </w:r>
      <w:r>
        <w:rPr>
          <w:rFonts w:ascii="Times New Roman" w:hAnsi="Times New Roman"/>
          <w:i/>
          <w:color w:val="000000"/>
          <w:sz w:val="20"/>
        </w:rPr>
        <w:t>in thousands</w:t>
      </w:r>
      <w:r>
        <w:rPr>
          <w:rFonts w:ascii="Times New Roman" w:hAnsi="Times New Roman"/>
          <w:color w:val="000000"/>
          <w:sz w:val="20"/>
        </w:rPr>
        <w:t>):</w:t>
      </w:r>
    </w:p>
    <w:tbl>
      <w:tblPr>
        <w:tblW w:w="4599" w:type="dxa"/>
        <w:jc w:val="left"/>
        <w:tblInd w:w="0" w:type="dxa"/>
        <w:tblLayout w:type="fixed"/>
        <w:tblCellMar>
          <w:top w:w="28" w:type="dxa"/>
          <w:left w:w="28" w:type="dxa"/>
          <w:bottom w:w="28" w:type="dxa"/>
          <w:right w:w="28" w:type="dxa"/>
        </w:tblCellMar>
      </w:tblPr>
      <w:tblGrid>
        <w:gridCol w:w="3136"/>
        <w:gridCol w:w="146"/>
        <w:gridCol w:w="276"/>
        <w:gridCol w:w="850"/>
        <w:gridCol w:w="191"/>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Amortization</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Years ending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Expense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2025 (period from July 1 to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Actual future amortization expense could differ from the estimated amount as a result of future investments and other factors.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 Long-Term Debt and Other Liabilities</w:t>
      </w:r>
    </w:p>
    <w:p>
      <w:pPr>
        <w:pStyle w:val="TextBody"/>
        <w:bidi w:val="0"/>
        <w:spacing w:before="120" w:after="283"/>
        <w:jc w:val="left"/>
        <w:rPr>
          <w:rFonts w:ascii="Times New Roman" w:hAnsi="Times New Roman"/>
          <w:sz w:val="20"/>
        </w:rPr>
      </w:pPr>
      <w:r>
        <w:rPr>
          <w:rFonts w:ascii="Times New Roman" w:hAnsi="Times New Roman"/>
          <w:color w:val="000000"/>
          <w:sz w:val="20"/>
        </w:rPr>
        <w:t>Long-term debt as of June 30, 2025 and December 31, 2024 was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6577" w:type="dxa"/>
        <w:jc w:val="left"/>
        <w:tblInd w:w="0" w:type="dxa"/>
        <w:tblLayout w:type="fixed"/>
        <w:tblCellMar>
          <w:top w:w="28" w:type="dxa"/>
          <w:left w:w="28" w:type="dxa"/>
          <w:bottom w:w="28" w:type="dxa"/>
          <w:right w:w="28" w:type="dxa"/>
        </w:tblCellMar>
      </w:tblPr>
      <w:tblGrid>
        <w:gridCol w:w="3456"/>
        <w:gridCol w:w="146"/>
        <w:gridCol w:w="211"/>
        <w:gridCol w:w="781"/>
        <w:gridCol w:w="166"/>
        <w:gridCol w:w="146"/>
        <w:gridCol w:w="268"/>
        <w:gridCol w:w="992"/>
        <w:gridCol w:w="411"/>
      </w:tblGrid>
      <w:tr>
        <w:trPr/>
        <w:tc>
          <w:tcPr>
            <w:tcW w:w="3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Term Loan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599,993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599,776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HPS Term Loan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244,469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832,513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831,581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2021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30, 2021, Gogo and Gogo Intermediate Holdings LLC (“GIH”) (a wholly owned subsidiary of Gogo) entered into a credit agreement (the “Original 2021 Credit Agreement,” and, as it may be amended, supplemented or otherwise modified from time to time, the “2021 Credit Agreement”) among Gogo, GIH, the lenders and issuing banks party thereto and Morgan Stanley Senior Funding, Inc., as administrative agent, which provides for (i) a term loan credit facility (the “2021 Term Loan Facility”) in an aggregate principal amount of $725.0 million, issued with a discount of 0.5%, and (ii) a revolving credit facility (the “Revolving Facility” and together with the 2021 Term Loan Facility, the “2021 Facilities”) of up to $100.0 million, which includes a letter of credit sub-facility. The 2021 Term Loan Facility matures on April 30, 2028.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3, 2024, Gogo and GIH entered into a second amendment to the 2021 Credit Agreement, by and among, Gogo, GIH, guarantors party thereto, Morgan Stanley Senior Funding, Inc., as administrative agent, and the lenders party thereto, among other purposes, (a) increase the aggregate principal amount of revolving commitments available under the 2021 Credit Agreement to an aggregate amount of revolving commitments equal to $122 million and (b) extend the maturity date of the revolving facility to December 3, 2029 (subject to such maturity date springing to the date that is 90 days prior to the then-current maturity date of (a) the 2021 Term Loan Facility under the 2021 Credit Agreement and (b) the HPS Term Loan Facility under the HPS Credit Agreement under certain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2021 Term Loan Facility amortizes in nominal quarterly installments equal to one percent of the aggregate initial principal amount thereof per annum, with the remaining balance payable upon final maturity of the 2021 Term Loan Facility. There are no amortization payments under the Revolving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2021 Term Loan Facility bears annual interest at a floating rate measured by reference to, at GIH’s option, either (i) an adjusted term secured overnight financing rate as administered by the Federal Reserve Bank of New York (“SOFR”) (subject to a floor of 0.75%) plus an applicable margin of 3.75% and a credit spread adjustment of approximately 0.11%, 0.26% or 0.43% per annum based on 1-month, 3-month or 6-month term SOFR, respectively or (ii) an alternate base rate plus an applicable margin of 2.75%.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Loans outstanding under the Revolving Facility bear annual interest at a floating rate measured by reference to, at GIH’s option, either (i) an adjusted term SOFR rate (subject to a floor of 0.00%) plus an applicable margin ranging from 3.50% to 4.00% per annum depending on GIH’s senior secured first lien net leverage ratio or (ii) an alternate base rate plus an applicable margin ranging from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2.50% to 3.00% per annum depending on GIH’s senior secured first lien net leverage ratio. Additionally, unused commitments under the Revolving Facility are subject to a fee ranging from 0.25% to 0.50% per annum depending on GIH’s senior secured first lien net leverage ratio. As of June 30, 2025, the fee for unused commitments under the Revolving Facility was 0.25% and the applicable margin was 4.00% for SOFR rate loans and 3.00% for alternate rate loans.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2021 Facilities may be prepaid at GIH’s option at any time without premium or penalty (other than customary breakage costs), subject to minimum principal payment amount requirements. On May 3, 2023, the Company prepaid $100 million of the outstanding principal amount of the 2021 Term Loan Facility. This prepayment satisfied the required amortization payments for the remaining term of the 2021 Term Loan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to certain exceptions and de minimis thresholds, the 2021 Term Loan Facility is subject to mandatory prepayments in an amount equal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100% of the net cash proceeds of certain asset sales, insurance recovery and condemnation events, subject to reduction to 50% and 0% if specified senior secured first lien net leverage ratio targets are met;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100% of the net cash proceeds of certain debt offerings;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50% of annual excess cash flow (as defined in the 2021 Credit Agreement), subject to reduction to 25% and 0% if specified senior secured first lien net leverage ratio targets are met.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2021 Credit Agreement contains customary representations and warranties and customary affirmative and negative covenants. The negative covenants include restrictions on, among other things: incurrence of indebtedness or issuance of disqualified equity interests; incurrence or existence of liens; consolidations or mergers; activities of Gogo and any subsidiary holding a license issued by the FCC; investments, loans, advances, guarantees or acquisitions; asset sales; dividends or other distributions on equity; purchase, redemption or retirement of capital stock; payment or redemption of certain junior indebtedness; entry into other agreements that restrict the ability to incur liens securing the 2021 Facilities; and amendment of organizational documents; in each case subject to customary exceptions.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Revolving Facility includes a financial covenant set at a maximum senior secured first lien net leverage ratio of 7.50:1.00, which will apply if the outstanding amount of loans and unreimbursed letter of credit drawings thereunder at the end of any fiscal quarter exceeds 35% of the aggregate of all commitments thereunder.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2021 Credit Agreement contains customary events of default, which, if any of them occurred, would permit or require the principal, premium, if any, and interest on all of the then outstanding obligations under the 2021 Facilities to be due and payable immediately and the commitments under the Revolving Facility to be terminated.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Revolving Facility is available for working capital and general corporate purposes of GIH and its subsidiaries and was undrawn as of June 30, 2025 and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both June 30, 2025 and December 31, 2024, the outstanding principal amount of the 2021 Term Loan Facility was $601.4 million, the unaccreted debt discount was $1.4 million and $1.7 million, respectively, and the net carrying amount was $600.0 million and $599.8 million,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paid approximately $21.6 million of loan origination and financing costs related to the 2021 Facilities, which are being accounted for as deferred financing costs on our Unaudited Condensed Consolidated Balance Sheets and are amortized over the terms of the 2021 Facilities. Total amortization expense was $0.7 million and $1.4 million, respectively, for the three- and six-month periods ended June 30, 2025 and $0.6 million and $1.2 million, respectively, for the prior-year periods and is included in interest expense in our Unaudited Condensed Consolidated Statements of Operations. As of June 30, 2025 and December 31, 2024, the balance of unamortized deferred financing costs related to the 2021 Facilities was $9.0 million and $10.4 million, respectively.</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April 30, 2021, Gogo, GIH, and each direct and indirect wholly-owned U.S. restricted subsidiary of GIH (Gogo and such subsidiaries collectively, the “Guarantors”) entered into a guarantee agreement (the “Guarantee Agreement”) in favor of Morgan Stanley Senior Funding, Inc., as collateral agent (the “Collateral Agent”), whereby GIH and the Guarantors guarantee the obligations under the 2021 Facilities and certain other secured obligations as set forth in the Guarantee Agreement, and GIH and the Guarantors entered into a collateral agreement (the “Collateral Agreement”), in favor of the Collateral Agent, whereby GIH and the Guarantors grant a security interest in substantially all of their respective tangible and intangible assets (including the equity interests in each direct material wholly-owned U.S. restricted subsidiary owned by GIH or any Guarantor, and 65% of the equity interests in any non-U.S. subsidiary held directly by GIH or any Guarantor), subject to certain exceptions, to secure the obligations under the 2021 Facilities and certain other secured obligations as set forth in the Collateral Agreement. The liens granted under the 2021 Term Loan Facility are subject to an intercreditor agreement and are </w:t>
      </w:r>
      <w:r>
        <w:rPr>
          <w:rFonts w:ascii="Times New Roman" w:hAnsi="Times New Roman"/>
          <w:i/>
          <w:color w:val="000000"/>
          <w:sz w:val="20"/>
        </w:rPr>
        <w:t>pari passu</w:t>
      </w:r>
      <w:r>
        <w:rPr>
          <w:rFonts w:ascii="Times New Roman" w:hAnsi="Times New Roman"/>
          <w:color w:val="000000"/>
          <w:sz w:val="20"/>
        </w:rPr>
        <w:t xml:space="preserve"> with the liens granted under the HPS Term Loan Facility (as defined below).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HPS Credit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December 3, 2024, the Company and GIH entered into a credit agreement (the “HPS Credit Agreement” and together with the 2021 Credit Agreement, the “Credit Agreements”) with HPS Investment Partners, LLC, as the administrative agent, and the lenders party thereto, which provides for a term loan credit facility (the “HPS Term Loan Facility”) in an aggregate principal amount of $250 million. The HPS Term Loan Facility amortizes in quarterly installments equal to one percent of the aggregate initial principal amount thereof per annum, with the remaining balance payable upon final maturity of the HPS Term Loan Facility on April 30, 2028.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HPS Term Loan Facility bears annual interest at a floating rate measured by reference to, at the Company’s option, either (i) an adjusted term SOFR (subject to a floor of 1.00%) plus an initial applicable margin of 6.00%, which is subject to two leverage-based step-downs of up to 0.25% each or (ii) an alternate base rate plus an applicable margin of 5.00%, which is subject to two leverage-based step-downs of up to 0.25% each.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HPS Term Loan Facility may be prepaid at the Company’s option, at any time, without premium or penalty (other than customary breakage costs, and except that (a) during the first 12 months following the closing of the HPS Credit Agreement, certain prepayments of the HPS Term Loan Facility are subject to a 3.00% prepayment premium and (b) during the period from 12 months to 24 months following the closing of the HPS Credit Agreement, certain prepayments of the HPS Term Loan Facility are subject to a 1.00% prepayment premium), subject to minimum principal repayment amount requirements.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Subject to certain exceptions and de minimis thresholds, the HPS Term Loan Facility is subject to mandatory prepayments in an amount equal to:</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100% of the net cash proceeds of certain asset sales, insurance recovery and condemnation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100% of the net cash proceeds of certain debt offerings;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75% of annual excess cash flow (as defined in the HPS Credit Agreement), subject to reduction to 50% if specified senior secured first lien net leverage ratio targets are met.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HPS Credit Agreement contains customary representations and warranties and customary affirmative and negative covenants. The negative covenants include restrictions on, among other things: the incurrence of indebtedness or issuance of disqualified equity interests; the incurrence or existence of liens; consolidations or mergers; activities of the Company; the making of investments, loans, advances, guarantees or acquisitions; asset sales; the making of dividends or other distributions on equity; the purchase, redemption or retirement of capital stock; payment or redemption of certain junior indebtedness; activities of Federal Communications Commission license holders; entry into other agreements that restrict the ability to incur liens securing the HPS Term Loan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HPS Credit Agreement contains customary events of default, which, if any of them occurred, would permit or require the principal, premium, if any, and interest on all of the then outstanding obligations under the HPS Term Loan Facility to be due and payable immediately.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2025 and December 31, 2024, the outstanding principal amount of the HPS Term Loan Facility was $248.1 million and $249.4 million, respectively, the unaccreted debt discount was $4.3 million and $4.9 million, respectively, and the net carrying amount was $243.8 million and $244.5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paid approximately $2.2 million of loan origination and financing costs related to the HPS Credit Agreement which are being accounted for as deferred financing costs on our consolidated balance sheets and are amortized over the term of the HPS Credit Agreement. Total amortization expense was $0.1 million and $0.3 million, respectively, for the three- and six-month periods ended June 30, 2025 and is included in interest expense in our Unaudited Condensed Consolidated Statements of Operations. As of June 30, 2025 and December 31, 2024 the balance of unamortized deferred financing costs related to the HPS Credit Agreement was $1.8 million and $2.1 million, respectively.</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December 3, 2024, Gogo, GIH, and the Guarantors entered into a guarantee agreement (the “HPS Guarantee Agreement”) in favor of HPS Investment Partners, LLC, as collateral agent (the “HPS Collateral Agent”), whereby GIH and the Guarantors guarantee the obligations under the HPS Term Loan Facility and certain other secured obligations as set forth in the HPS Guarantee Agreement, and GIH and the Guarantors entered into a collateral agreement (the “HPS Collateral Agreement”), in favor of the Collateral Agent, whereby GIH and the Guarantors grant a security interest in substantially all of their respective tangible and intangible assets (including the equity interests in each direct material wholly-owned U.S. restricted subsidiary owned by GIH or any Guarantor, and 65% of the equity interests in any non-U.S. subsidiary held directly by GIH or any Guarantor), subject to certain exceptions, to secure the obligations under the HPS Term Loan Facility and certain other secured obligations as set forth in the HPS Collateral Agreement. The liens granted under the HPS Term Loan Facility are subject to an intercreditor agreement and are </w:t>
      </w:r>
      <w:r>
        <w:rPr>
          <w:rFonts w:ascii="Times New Roman" w:hAnsi="Times New Roman"/>
          <w:i/>
          <w:color w:val="000000"/>
          <w:sz w:val="20"/>
        </w:rPr>
        <w:t>pari passu</w:t>
      </w:r>
      <w:r>
        <w:rPr>
          <w:rFonts w:ascii="Times New Roman" w:hAnsi="Times New Roman"/>
          <w:color w:val="000000"/>
          <w:sz w:val="20"/>
        </w:rPr>
        <w:t xml:space="preserve"> with the liens granted under the 2021 Term Loan Facility.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 Derivative Instruments and Hedging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interest rate risk on our variable rate borrowings. We currently use interest rate caps to manage our exposure to interest rate changes, and have designated these interest rate caps as cash flow hedges for accounting purposes. Accordingly, the earnings impact of the derivatives designated as cash flow hedges is recorded upon the recognition of the variable interest payments related to the hedged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2021, we purchased interest rate caps with an aggregate notional amount of $650.0 million for $8.6 million. The cost of the interest rate caps will be amortized to interest expense using the caplet method, from the effective date through termination date. We receive payments in the amount calculated pursuant to the caps for any period in which the daily compounded SOFR rate plus a credit spread adjustment recommended by the Alternative Reference Rate Committee of 0.26% increases beyond the applicable strike rate. The notional amounts of the interest rate caps periodically decrease over the life of the caps.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notional amounts, strike rates and end dates of the cap agreements are as follows </w:t>
      </w:r>
      <w:r>
        <w:rPr>
          <w:rFonts w:ascii="Times New Roman" w:hAnsi="Times New Roman"/>
          <w:i/>
          <w:color w:val="000000"/>
          <w:sz w:val="20"/>
        </w:rPr>
        <w:t>(notional amounts in thousands)</w:t>
      </w:r>
      <w:r>
        <w:rPr>
          <w:rFonts w:ascii="Times New Roman" w:hAnsi="Times New Roman"/>
          <w:color w:val="000000"/>
          <w:sz w:val="20"/>
        </w:rPr>
        <w:t>:</w:t>
      </w:r>
    </w:p>
    <w:tbl>
      <w:tblPr>
        <w:tblW w:w="4879" w:type="dxa"/>
        <w:jc w:val="left"/>
        <w:tblInd w:w="0" w:type="dxa"/>
        <w:tblLayout w:type="fixed"/>
        <w:tblCellMar>
          <w:top w:w="28" w:type="dxa"/>
          <w:left w:w="28" w:type="dxa"/>
          <w:bottom w:w="28" w:type="dxa"/>
          <w:right w:w="28" w:type="dxa"/>
        </w:tblCellMar>
      </w:tblPr>
      <w:tblGrid>
        <w:gridCol w:w="976"/>
        <w:gridCol w:w="146"/>
        <w:gridCol w:w="961"/>
        <w:gridCol w:w="146"/>
        <w:gridCol w:w="211"/>
        <w:gridCol w:w="781"/>
        <w:gridCol w:w="146"/>
        <w:gridCol w:w="146"/>
        <w:gridCol w:w="249"/>
        <w:gridCol w:w="801"/>
        <w:gridCol w:w="316"/>
      </w:tblGrid>
      <w:tr>
        <w:trPr/>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Start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End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Notional</w:t>
              <w:br/>
              <w:t>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Strike Rate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7/31/2021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7/30/2026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7/30/2027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color w:val="000000"/>
          <w:sz w:val="20"/>
        </w:rPr>
        <w:t xml:space="preserve">We record the effective portion of changes in the fair value of our cash flow hedges to other comprehensive income (loss), net of tax, and subsequently reclassify these amounts into earnings in the period during which the hedged transaction is recognized. The amounts included in accumulated other comprehensive income will be reclassified to interest expense in the event the hedges are no longer considered effective, in accordance with ASC 815, </w:t>
      </w:r>
      <w:r>
        <w:rPr>
          <w:rFonts w:ascii="Times New Roman" w:hAnsi="Times New Roman"/>
          <w:i/>
          <w:color w:val="000000"/>
          <w:sz w:val="20"/>
        </w:rPr>
        <w:t>Derivatives and Hedging</w:t>
      </w:r>
      <w:r>
        <w:rPr>
          <w:rFonts w:ascii="Times New Roman" w:hAnsi="Times New Roman"/>
          <w:color w:val="000000"/>
          <w:sz w:val="20"/>
        </w:rPr>
        <w:t>. No gains or losses of our cash flow hedges were considered to be ineffective and reclassified from other comprehensive income (loss) to earnings for the three- and six-month periods ended June 30, 2025 and 2024. We estimate that approximately $1.6 million currently recorded in accumulated other comprehensive income (loss) will be recognized in earnings over the next 12 months. We assess the effectiveness of the hedges on an ongoing basis, and the remaining outstanding caps are still considered to be highly effective, and remain designated as a cash flow hedge. Cash flows from interest rate caps are classified in the Unaudited Condensed Consolidated Statements of Cash Flows as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three-month period ended June 30, 2025, we recorded a decrease in fair value on the interest rate caps of $2.6 million, net of tax of $0.7 million, and for the six-month period ended June 30, 2025, we recorded decrease in fair value on the interest rate caps of $5.6 million, net of tax of $1.5 million. For the three-month period ended June 30, 2024, we recorded a decrease in fair value on the interest rate caps of $3.5 million, net of tax of $0.9 million, and for the six-month period ended June 30, 2024, we recorded a decrease in fair value on the interest rate caps of $4.9 million, net of tax of $1.2 million. Increases and decreases in fair value on interest rate caps above exclude amortization of the purchase price paid for the interest rate caps.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When derivatives are used, we are exposed to credit loss in the event of non-performance by the counterparties; however, non-performance is not anticipated. ASC 815, </w:t>
      </w:r>
      <w:r>
        <w:rPr>
          <w:rFonts w:ascii="Times New Roman" w:hAnsi="Times New Roman"/>
          <w:i/>
          <w:color w:val="000000"/>
          <w:sz w:val="20"/>
        </w:rPr>
        <w:t>Derivatives and Hedging</w:t>
      </w:r>
      <w:r>
        <w:rPr>
          <w:rFonts w:ascii="Times New Roman" w:hAnsi="Times New Roman"/>
          <w:color w:val="000000"/>
          <w:sz w:val="20"/>
        </w:rPr>
        <w:t xml:space="preserve">, requires companies to recognize all derivative instruments as either assets or liabilities at fair value in the balance sheet. The fair values of the interest rate derivatives are based on quoted market prices for similar instruments from commercial banks (based on significant observable inputs - Level 2 inputs).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the fair value of our interest rate derivatives included in the Unaudited Condensed Consolidated Balance Sheets for the periods presented (in thousands): </w:t>
      </w:r>
    </w:p>
    <w:tbl>
      <w:tblPr>
        <w:tblW w:w="10205" w:type="dxa"/>
        <w:jc w:val="left"/>
        <w:tblInd w:w="0" w:type="dxa"/>
        <w:tblLayout w:type="fixed"/>
        <w:tblCellMar>
          <w:top w:w="28" w:type="dxa"/>
          <w:left w:w="28" w:type="dxa"/>
          <w:bottom w:w="28" w:type="dxa"/>
          <w:right w:w="28" w:type="dxa"/>
        </w:tblCellMar>
      </w:tblPr>
      <w:tblGrid>
        <w:gridCol w:w="3970"/>
        <w:gridCol w:w="146"/>
        <w:gridCol w:w="3394"/>
        <w:gridCol w:w="146"/>
        <w:gridCol w:w="217"/>
        <w:gridCol w:w="591"/>
        <w:gridCol w:w="146"/>
        <w:gridCol w:w="146"/>
        <w:gridCol w:w="337"/>
        <w:gridCol w:w="917"/>
        <w:gridCol w:w="195"/>
      </w:tblGrid>
      <w:tr>
        <w:trPr/>
        <w:tc>
          <w:tcPr>
            <w:tcW w:w="3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9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Derivatives designated as hedging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sheet location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interest rate caps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portion of interest rate caps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Fair Value Measurement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derivative assets and liabilities consist principally of interest rate caps, which are carried at fair value based on significant observable inputs (Level 2 inputs). Derivatives entered into by us are typically executed over-the-counter and are valued using discounted cash flows along with fair value models that primarily use market observable inputs. These models take into account a variety of factors including, where applicable, maturity, interest rate yield curves, and counterparty credit risks.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 Interest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capitalize a portion of our interest on funds borrowed during the active construction period of major capital projects. Capitalized interest is added to the cost of the underlying assets and amortized over the useful lives of the assets.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is a summary of our interest costs for the three- and six-month periods ended June 30, 2025 and 2024 </w:t>
      </w:r>
      <w:r>
        <w:rPr>
          <w:rFonts w:ascii="Times New Roman" w:hAnsi="Times New Roman"/>
          <w:i/>
          <w:color w:val="000000"/>
          <w:sz w:val="20"/>
        </w:rPr>
        <w:t>(in thousands)</w:t>
      </w:r>
      <w:r>
        <w:rPr>
          <w:rFonts w:ascii="Times New Roman" w:hAnsi="Times New Roman"/>
          <w:color w:val="000000"/>
          <w:sz w:val="20"/>
        </w:rPr>
        <w:t>:</w:t>
      </w:r>
    </w:p>
    <w:tbl>
      <w:tblPr>
        <w:tblW w:w="9632" w:type="dxa"/>
        <w:jc w:val="left"/>
        <w:tblInd w:w="0" w:type="dxa"/>
        <w:tblLayout w:type="fixed"/>
        <w:tblCellMar>
          <w:top w:w="28" w:type="dxa"/>
          <w:left w:w="28" w:type="dxa"/>
          <w:bottom w:w="28" w:type="dxa"/>
          <w:right w:w="28" w:type="dxa"/>
        </w:tblCellMar>
      </w:tblPr>
      <w:tblGrid>
        <w:gridCol w:w="4631"/>
        <w:gridCol w:w="146"/>
        <w:gridCol w:w="211"/>
        <w:gridCol w:w="676"/>
        <w:gridCol w:w="166"/>
        <w:gridCol w:w="146"/>
        <w:gridCol w:w="211"/>
        <w:gridCol w:w="676"/>
        <w:gridCol w:w="166"/>
        <w:gridCol w:w="146"/>
        <w:gridCol w:w="211"/>
        <w:gridCol w:w="676"/>
        <w:gridCol w:w="166"/>
        <w:gridCol w:w="146"/>
        <w:gridCol w:w="211"/>
        <w:gridCol w:w="736"/>
        <w:gridCol w:w="311"/>
      </w:tblGrid>
      <w:tr>
        <w:trPr/>
        <w:tc>
          <w:tcPr>
            <w:tcW w:w="4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Three Months </w:t>
              <w:br/>
              <w:t>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w:t>
              <w:br/>
              <w:t>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costs charged to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26,600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the purchase price of interest rate caps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rate cap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6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Accretion of debt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costs capitalized to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costs capitalized to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interest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18,275</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12. Fair Value of Financial Assets and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three-tier fair value hierarchy has been established which prioritizes the inputs used in measuring fair value. These tiers include:</w:t>
      </w:r>
    </w:p>
    <w:p>
      <w:pPr>
        <w:pStyle w:val="TextBody"/>
        <w:bidi w:val="0"/>
        <w:spacing w:before="60" w:after="283"/>
        <w:jc w:val="left"/>
        <w:rPr>
          <w:color w:val="000000"/>
        </w:rPr>
      </w:pPr>
      <w:r>
        <w:rPr>
          <w:color w:val="000000"/>
        </w:rPr>
        <w:t>•</w:t>
      </w:r>
    </w:p>
    <w:p>
      <w:pPr>
        <w:pStyle w:val="TextBody"/>
        <w:bidi w:val="0"/>
        <w:spacing w:before="60" w:after="283"/>
        <w:jc w:val="left"/>
        <w:rPr/>
      </w:pPr>
      <w:r>
        <w:rPr>
          <w:rFonts w:ascii="Times New Roman" w:hAnsi="Times New Roman"/>
          <w:i/>
          <w:color w:val="000000"/>
          <w:sz w:val="20"/>
        </w:rPr>
        <w:t>Level 1</w:t>
      </w:r>
      <w:r>
        <w:rPr>
          <w:color w:val="000000"/>
        </w:rPr>
        <w:t xml:space="preserve"> </w:t>
      </w:r>
      <w:r>
        <w:rPr>
          <w:rFonts w:ascii="Times New Roman" w:hAnsi="Times New Roman"/>
          <w:color w:val="000000"/>
          <w:sz w:val="20"/>
        </w:rPr>
        <w:t>- defined as observable inputs such as quoted prices for identical assets or liabilities in active markets;</w:t>
      </w:r>
    </w:p>
    <w:p>
      <w:pPr>
        <w:pStyle w:val="TextBody"/>
        <w:bidi w:val="0"/>
        <w:spacing w:before="60" w:after="283"/>
        <w:jc w:val="left"/>
        <w:rPr>
          <w:color w:val="000000"/>
        </w:rPr>
      </w:pPr>
      <w:r>
        <w:rPr>
          <w:color w:val="000000"/>
        </w:rPr>
        <w:t>•</w:t>
      </w:r>
    </w:p>
    <w:p>
      <w:pPr>
        <w:pStyle w:val="TextBody"/>
        <w:bidi w:val="0"/>
        <w:spacing w:before="60" w:after="283"/>
        <w:jc w:val="left"/>
        <w:rPr/>
      </w:pPr>
      <w:r>
        <w:rPr>
          <w:rFonts w:ascii="Times New Roman" w:hAnsi="Times New Roman"/>
          <w:i/>
          <w:color w:val="000000"/>
          <w:sz w:val="20"/>
        </w:rPr>
        <w:t>Level 2</w:t>
      </w:r>
      <w:r>
        <w:rPr>
          <w:color w:val="000000"/>
        </w:rPr>
        <w:t xml:space="preserve"> </w:t>
      </w:r>
      <w:r>
        <w:rPr>
          <w:rFonts w:ascii="Times New Roman" w:hAnsi="Times New Roman"/>
          <w:color w:val="000000"/>
          <w:sz w:val="20"/>
        </w:rPr>
        <w:t>- defined as observable inputs other than Level 1 inputs such as quoted prices for similar assets or liabilities, quoted prices in markets that are not active, or inputs that are observable or can be corroborated by observable market data for substantially the full term of the assets or liabilities; and</w:t>
      </w:r>
    </w:p>
    <w:p>
      <w:pPr>
        <w:pStyle w:val="TextBody"/>
        <w:bidi w:val="0"/>
        <w:spacing w:before="60" w:after="283"/>
        <w:jc w:val="left"/>
        <w:rPr>
          <w:color w:val="000000"/>
        </w:rPr>
      </w:pPr>
      <w:r>
        <w:rPr>
          <w:color w:val="000000"/>
        </w:rPr>
        <w:t>•</w:t>
      </w:r>
    </w:p>
    <w:p>
      <w:pPr>
        <w:pStyle w:val="TextBody"/>
        <w:bidi w:val="0"/>
        <w:spacing w:before="60" w:after="283"/>
        <w:jc w:val="left"/>
        <w:rPr/>
      </w:pPr>
      <w:r>
        <w:rPr>
          <w:rFonts w:ascii="Times New Roman" w:hAnsi="Times New Roman"/>
          <w:i/>
          <w:color w:val="000000"/>
          <w:sz w:val="20"/>
        </w:rPr>
        <w:t>Level 3</w:t>
      </w:r>
      <w:r>
        <w:rPr>
          <w:color w:val="000000"/>
        </w:rPr>
        <w:t xml:space="preserve"> </w:t>
      </w:r>
      <w:r>
        <w:rPr>
          <w:rFonts w:ascii="Times New Roman" w:hAnsi="Times New Roman"/>
          <w:color w:val="000000"/>
          <w:sz w:val="20"/>
        </w:rPr>
        <w:t>- defined as unobservable inputs in which little or no market data exists, therefore requiring an entity to develop its own assumptions.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 to Note 10, “Derivative Instruments and Hedging Activities,” for fair value information relating to our interest rate caps.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Investment in Convertible Note: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26, 2024, Gogo invested $5 million in a convertible note offering (“Investment in Convertible Note”). The Investment in Convertible Note accrues interest at 5% per annum, payable upon maturity of the note or upon conversion, and matures two years after the date of issuance. We have elected to measure our Investment in Convertible Note using the fair value option and record changes in fair value, including accrued interest, in Other (income) expense, net on the Unaudited Condensed Consolidated Statements of Operations. The Company elected the fair value option for the Investment in Convertible Note to eliminate complexities of applying certain accounting models.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of the Investment in Convertible Note is measured using Level 3 (unobservable) inputs. The Company, with the assistance of a third-party valuation specialist, determined the fair value using a binomial lattice model. The significant assumptions used in the model include the yield, equity volatility, outstanding principal, remaining term, stated interest rate, risk-free interest rate and the current publicly available stock price. The yield is estimated using similar security yields for companies with similar credit ratings. Equity volatility is estimated based on observed equity volatility for similar companies. The outstanding principal, remaining term and stated interest rate are all determined based on contractually defined terms and the risk-free interest rate is determined by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reference to the U.S. Treasury yield curve in effect at the time of measurement for time periods approximately equal to the remaining time to maturity.</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The Investment in Convertible Note is included in Prepaid and other current assets on our Unaudited Condensed Consolidated Balance Sheets as of June 30, 2025 and the reconciliation of beginning and ending balances were as follows </w:t>
      </w:r>
      <w:r>
        <w:rPr>
          <w:rFonts w:ascii="Times New Roman" w:hAnsi="Times New Roman"/>
          <w:i/>
          <w:color w:val="000000"/>
          <w:sz w:val="20"/>
        </w:rPr>
        <w:t>(in thousands)</w:t>
      </w:r>
      <w:r>
        <w:rPr>
          <w:rFonts w:ascii="Times New Roman" w:hAnsi="Times New Roman"/>
          <w:color w:val="000000"/>
          <w:sz w:val="20"/>
        </w:rPr>
        <w:t>:</w:t>
      </w:r>
    </w:p>
    <w:tbl>
      <w:tblPr>
        <w:tblW w:w="7327" w:type="dxa"/>
        <w:jc w:val="left"/>
        <w:tblInd w:w="0" w:type="dxa"/>
        <w:tblLayout w:type="fixed"/>
        <w:tblCellMar>
          <w:top w:w="28" w:type="dxa"/>
          <w:left w:w="28" w:type="dxa"/>
          <w:bottom w:w="28" w:type="dxa"/>
          <w:right w:w="28" w:type="dxa"/>
        </w:tblCellMar>
      </w:tblPr>
      <w:tblGrid>
        <w:gridCol w:w="2641"/>
        <w:gridCol w:w="146"/>
        <w:gridCol w:w="211"/>
        <w:gridCol w:w="571"/>
        <w:gridCol w:w="146"/>
        <w:gridCol w:w="146"/>
        <w:gridCol w:w="211"/>
        <w:gridCol w:w="736"/>
        <w:gridCol w:w="166"/>
        <w:gridCol w:w="146"/>
        <w:gridCol w:w="211"/>
        <w:gridCol w:w="571"/>
        <w:gridCol w:w="146"/>
        <w:gridCol w:w="146"/>
        <w:gridCol w:w="211"/>
        <w:gridCol w:w="631"/>
        <w:gridCol w:w="2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Three Months </w:t>
              <w:br/>
              <w:t>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w:t>
              <w:br/>
              <w:t>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Long-Term Debt:</w:t>
      </w:r>
    </w:p>
    <w:p>
      <w:pPr>
        <w:pStyle w:val="TextBody"/>
        <w:bidi w:val="0"/>
        <w:spacing w:before="120" w:after="283"/>
        <w:jc w:val="left"/>
        <w:rPr>
          <w:rFonts w:ascii="Times New Roman" w:hAnsi="Times New Roman"/>
          <w:color w:val="000000"/>
          <w:sz w:val="20"/>
        </w:rPr>
      </w:pPr>
      <w:bookmarkStart w:id="10" w:name="our_financial_assets_liabilities_that_ar"/>
      <w:bookmarkEnd w:id="10"/>
      <w:r>
        <w:rPr>
          <w:rFonts w:ascii="Times New Roman" w:hAnsi="Times New Roman"/>
          <w:color w:val="000000"/>
          <w:sz w:val="20"/>
        </w:rPr>
        <w:t xml:space="preserve">As of June 30, 2025 and December 31, 2024, our only financial assets and liabilities disclosed but not measured at fair value are the 2021 Term Loan Facility and the HPS Term Loan Facility, which are reflected on the consolidated balance sheets at cost. The fair value measurements are classified as Level 2 within the fair value hierarchy since they are based on quoted market prices of our instruments in markets that are not active. We estimated the fair values of the 2021 Term Loan Facility and the HPS Term Loan Facility by calculating the upfront cash payments a market participant would require to assume these obligations. The upfront cash payments used in the calculations of fair values on our Unaudited Condensed Consolidated Balance Sheets, excluding any issuance costs, are the amounts that a market participant would be willing to lend at such date to an entity with a credit rating similar to ours and that would allow such an entity to achieve sufficient cash inflows to cover the scheduled cash outflows under the 2021 Term Loan Facility and HPS Term Loan Facility. </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The fair value and carrying value of long-term debt as of June 30, 2025 and December 31, 2024 were as follows </w:t>
      </w:r>
      <w:r>
        <w:rPr>
          <w:rFonts w:ascii="Times New Roman" w:hAnsi="Times New Roman"/>
          <w:i/>
          <w:color w:val="000000"/>
          <w:sz w:val="20"/>
        </w:rPr>
        <w:t>(in thousands)</w:t>
      </w:r>
      <w:r>
        <w:rPr>
          <w:rFonts w:ascii="Times New Roman" w:hAnsi="Times New Roman"/>
          <w:color w:val="000000"/>
          <w:sz w:val="20"/>
        </w:rPr>
        <w:t>:</w:t>
      </w:r>
    </w:p>
    <w:tbl>
      <w:tblPr>
        <w:tblW w:w="7761" w:type="dxa"/>
        <w:jc w:val="left"/>
        <w:tblInd w:w="0" w:type="dxa"/>
        <w:tblLayout w:type="fixed"/>
        <w:tblCellMar>
          <w:top w:w="28" w:type="dxa"/>
          <w:left w:w="28" w:type="dxa"/>
          <w:bottom w:w="28" w:type="dxa"/>
          <w:right w:w="28" w:type="dxa"/>
        </w:tblCellMar>
      </w:tblPr>
      <w:tblGrid>
        <w:gridCol w:w="2146"/>
        <w:gridCol w:w="146"/>
        <w:gridCol w:w="261"/>
        <w:gridCol w:w="969"/>
        <w:gridCol w:w="146"/>
        <w:gridCol w:w="211"/>
        <w:gridCol w:w="781"/>
        <w:gridCol w:w="271"/>
        <w:gridCol w:w="146"/>
        <w:gridCol w:w="261"/>
        <w:gridCol w:w="969"/>
        <w:gridCol w:w="146"/>
        <w:gridCol w:w="211"/>
        <w:gridCol w:w="781"/>
        <w:gridCol w:w="316"/>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8"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8"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Fair Value </w:t>
            </w:r>
            <w:r>
              <w:rPr>
                <w:rFonts w:ascii="Times New Roman" w:hAnsi="Times New Roman"/>
                <w:b/>
                <w:i/>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Value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Fair Value </w:t>
            </w:r>
            <w:r>
              <w:rPr>
                <w:rFonts w:ascii="Times New Roman" w:hAnsi="Times New Roman"/>
                <w:b/>
                <w:i/>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Value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Term Loan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599,993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3"/>
              </w:rPr>
            </w:pPr>
            <w:r>
              <w:rPr>
                <w:rFonts w:ascii="Times New Roman" w:hAnsi="Times New Roman"/>
                <w:i/>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599,776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3"/>
              </w:rPr>
            </w:pPr>
            <w:r>
              <w:rPr>
                <w:rFonts w:ascii="Times New Roman" w:hAnsi="Times New Roman"/>
                <w:i/>
                <w:color w:val="000000"/>
                <w:sz w:val="13"/>
              </w:rPr>
              <w:t>(2)</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HPS Term Loan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3"/>
              </w:rPr>
            </w:pPr>
            <w:r>
              <w:rPr>
                <w:rFonts w:ascii="Times New Roman" w:hAnsi="Times New Roman"/>
                <w:i/>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244,469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3"/>
              </w:rPr>
            </w:pPr>
            <w:r>
              <w:rPr>
                <w:rFonts w:ascii="Times New Roman" w:hAnsi="Times New Roman"/>
                <w:i/>
                <w:color w:val="000000"/>
                <w:sz w:val="13"/>
              </w:rPr>
              <w:t>(3)</w:t>
            </w:r>
          </w:p>
        </w:tc>
      </w:tr>
    </w:tbl>
    <w:p>
      <w:pPr>
        <w:pStyle w:val="TextBody"/>
        <w:bidi w:val="0"/>
        <w:jc w:val="left"/>
        <w:rPr/>
      </w:pPr>
      <w:r>
        <w:rPr/>
        <w:t> </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Fair value amounts are rounded to the nearest million.</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Carrying value of the 2021 Term Loan Facility reflects the unaccreted debt discount of $1.4 million and $1.7 million as of June 30, 2025 and December 31, 2024, respectively. See Note 9, “Long-Term Debt and Other Liabilities,” for further information.</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Carrying value of the HPS Term Loan Facility reflects the unaccreted debt discount of $4.3 million and $4.9 million as of June 30, 2025 and December 31, 2024, respectively. See Note 9, “Long-Term Debt and Other Liabilities,” for further information.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13. Business Segments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chief operating decision maker (“CODM”) is the Chief Executive Officer (“CEO”). The CODM makes resource and operating decisions by evaluating performance and business results of the segments’ net income (loss).</w:t>
      </w:r>
    </w:p>
    <w:p>
      <w:pPr>
        <w:pStyle w:val="TextBody"/>
        <w:bidi w:val="0"/>
        <w:spacing w:before="120" w:after="283"/>
        <w:jc w:val="left"/>
        <w:rPr>
          <w:rFonts w:ascii="Times New Roman" w:hAnsi="Times New Roman"/>
          <w:sz w:val="20"/>
        </w:rPr>
      </w:pPr>
      <w:r>
        <w:rPr>
          <w:rFonts w:ascii="Times New Roman" w:hAnsi="Times New Roman"/>
          <w:color w:val="000000"/>
          <w:sz w:val="20"/>
        </w:rPr>
        <w:t>Information regarding our reportable segments is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69"/>
        <w:gridCol w:w="146"/>
        <w:gridCol w:w="211"/>
        <w:gridCol w:w="781"/>
        <w:gridCol w:w="166"/>
        <w:gridCol w:w="146"/>
        <w:gridCol w:w="256"/>
        <w:gridCol w:w="950"/>
        <w:gridCol w:w="146"/>
        <w:gridCol w:w="146"/>
        <w:gridCol w:w="211"/>
        <w:gridCol w:w="781"/>
        <w:gridCol w:w="166"/>
        <w:gridCol w:w="146"/>
        <w:gridCol w:w="211"/>
        <w:gridCol w:w="781"/>
        <w:gridCol w:w="592"/>
      </w:tblGrid>
      <w:tr>
        <w:trPr/>
        <w:tc>
          <w:tcPr>
            <w:tcW w:w="43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4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9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9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Gogo BA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Satcom Direct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Gogo BA</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81,929</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Equipment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20,130</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6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102,059</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 revenue (exclusive of items shown below)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18,871</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69"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Cost of equipment - product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11,734</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6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Cost of equipment -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4,698</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cost of equipment revenue (exclusive of items shown below)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16,432</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Engineering, design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10,304</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9,036</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21,848</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3,887</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6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80,378</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21,681</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8,113</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earnout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14,717</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6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20,710</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29"/>
        <w:gridCol w:w="146"/>
        <w:gridCol w:w="211"/>
        <w:gridCol w:w="781"/>
        <w:gridCol w:w="166"/>
        <w:gridCol w:w="146"/>
        <w:gridCol w:w="254"/>
        <w:gridCol w:w="942"/>
        <w:gridCol w:w="146"/>
        <w:gridCol w:w="146"/>
        <w:gridCol w:w="211"/>
        <w:gridCol w:w="931"/>
        <w:gridCol w:w="166"/>
        <w:gridCol w:w="146"/>
        <w:gridCol w:w="211"/>
        <w:gridCol w:w="781"/>
        <w:gridCol w:w="592"/>
      </w:tblGrid>
      <w:tr>
        <w:trPr/>
        <w:tc>
          <w:tcPr>
            <w:tcW w:w="42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4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3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3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Gogo BA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Satcom Direct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Gogo BA</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163,602</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Equipment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42,779</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2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456,345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206,381</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 revenue (exclusive of items shown below)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36,742</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22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Cost of equipment - 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23,186</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229"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Cost of equipment -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9,032</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cost of equipment revenue (exclusive of items shown below)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32,218</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Engineering, design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19,520</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17,319</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36,499</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7,728</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2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385,197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150,026</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56,355</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(4,168</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16,523</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earnout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2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13,973</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42,382</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11,053</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31,329</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segment disclosures: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2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597,822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1,262,970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802,677</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2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Consolidated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10,698</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14. Income Tax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 income tax rates for the three- and six-month periods ended June 30, 2025 were 24.6% and 30.9%, respectively, compared to 13.6% and 26.1%, respectively, for the prior-year periods. For the three-month period ended June 30, 2025, our effective income tax rate was higher than the U.S. federal statutory rate of 21% primarily due to state income taxes and non-deductible officer’s compensation, partially offset by losses in certain of our non-U.S. entities. For the six-month period ended June 30, 2025, our effective income tax rate was higher than the U.S. federal statutory rate of 21% primarily due to state income taxes and nondeductible officer’s compensation. For the three-month period ended June 30, 2024, our effective income tax rate was lower than the U.S. federal statutory rate of 21% primarily due to tax benefits related to domestic research and development tax credits, partially offset by stock-based compensation and state income taxes. For the six-month period ended June 30, 2024, our effective income tax rate was higher than the U.S. federal statutory rate of 21% primarily due to state income taxes, stock-based compensation and nondeductible officer’s compensation partially offset by tax benefits related to domestic research and development tax credits.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regularly assess the need for a valuation allowance related to our deferred income tax assets to determine, based on the weight of all available positive and negative evidence, whether it is more likely than not that some or all of such deferred assets will not be realized. In our assessments, the Company considers recent financial operating results, the scheduled expiration of our net operating losses, future taxable income, the reversal of existing taxable differences, and tax planning strategies. The remaining valuation allowance is still required for deferred tax assets related to foreign net operating losses and capital loss carryforwards as it is more likely than not as of June 30, 2025 that these deferred tax assets will not be realized.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taxation and file income tax returns in the United States, various states, and several foreign jurisdictions including, but not limited to, Canada, Switzerland, United Kingdom, Australia, Brazil and Singapore. With a few exceptions, as of June 30, 2025, we are no longer subject to U.S. federal, state, local or foreign examinations by tax authorities for years before 2021.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record penalties and interest relating to uncertain tax positions in the income tax provision line item in the Unaudited Condensed Consolidated Statements of Operations. No penalties or interest related to uncertain tax positions were recorded for the three- and six-month periods ended June 30, 2025 and 2024, and as of June 30, 2025 and December 31, 2024, we did not have a liability recorded for interest or potential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4, 2025, the One Big Beautiful Bill Act (OBBBA) was signed into law. This legislation includes changes to U.S. federal tax law, which may be subject to further clarification and the issuance of interpretive guidance. We are assessing the legislation and its effect on our consolidated financial statements. Currently, however, we do not anticipate the provisions of the OBBBA will have a material impact on our effective income tax rate.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15. Stock-Based Compensation and Retirement Plans</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Stock-Based Compensation — </w:t>
      </w:r>
      <w:r>
        <w:rPr>
          <w:rFonts w:ascii="Times New Roman" w:hAnsi="Times New Roman"/>
          <w:color w:val="000000"/>
          <w:sz w:val="20"/>
        </w:rPr>
        <w:t>As of June 30, 2025, we maintained the 2024 Omnibus Equity Incentive Plan (the “2024 Plan”). The 2024 Plan provides for the grant of both equity and cash awards, including non-qualified stock options, incentive stock options, stock appreciation rights, performance awards (shares and units), restricted stock, restricted stock units (“RSUs”), deferred share units and other stock-based awards and dividend equivalents to eligible employees, directors and consultants, as determined by the Compensation Committee of our Board of Directors. See Note 14, “Stock-Based Compensation and 401(k) Plan,” in our 2024 10-K for further information regarding the 2024 Plan.</w:t>
      </w:r>
      <w:r>
        <w:rPr>
          <w:rFonts w:ascii="Times New Roman" w:hAnsi="Times New Roman"/>
          <w:color w:val="FF0000"/>
          <w:sz w:val="20"/>
        </w:rPr>
        <w:t xml:space="preserve"> </w:t>
      </w:r>
      <w:r>
        <w:rPr>
          <w:rFonts w:ascii="Times New Roman" w:hAnsi="Times New Roman"/>
          <w:color w:val="000000"/>
          <w:sz w:val="20"/>
        </w:rPr>
        <w:t>The majority of our equity grants are awarded on an annual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in connection with the Company’s acquisition of Satcom Direct on December 3, 2024, 2,275,000 shares were granted, consisting of a combination of RSUs and performance-based restricted stock units (“PSUs”) (together, the “Inducement Awards”) by the Compensation Committee. The RSUs will vest in equal annual installments over the five-year period following the grant date. The PSUs are subject to performance-based vesting and will vest when the performance-based vesting conditions are met. Though not awarded pursuant to the 2024 Plan, the Inducement Awards have been issued subject to the terms and conditions of the 2024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six-month period ended June 30, 2025, no options to purchase shares of common stock were granted, options to purchase 1,299,520 shares of common stock were exercised, no options to purchase shares of common stock were forfeited and 32,236 options to purchase shares of common stock expired.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six-month period ended June 30, 2025, 2,751,661 RSUs were granted, 1,159,093 RSUs vested and 269,494 RSUs were forfeited. The fair value of the RSUs granted during the six-month period ended June 30, 2025 was approximately $27.3 million, which will generally be recognized over a period of four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six-month period ended June 30, 2025, 83,201 deferred stock units were granted, 166,239 vested and 11,174 were forfeited. The fair value of the deferred stock units granted during the six-month period ended June 30, 2025 was approximately $0.9 million, which was recognized immediately.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six-month period ended June 30, 2025, 64,223 shares of common stock were issued under the Employee Stock Purchase Plan.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is a summary of our stock-based compensation expense by operating expense line in the Unaudited Condensed Consolidated Statements of Operations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7897" w:type="dxa"/>
        <w:jc w:val="left"/>
        <w:tblInd w:w="0" w:type="dxa"/>
        <w:tblLayout w:type="fixed"/>
        <w:tblCellMar>
          <w:top w:w="28" w:type="dxa"/>
          <w:left w:w="28" w:type="dxa"/>
          <w:bottom w:w="28" w:type="dxa"/>
          <w:right w:w="28" w:type="dxa"/>
        </w:tblCellMar>
      </w:tblPr>
      <w:tblGrid>
        <w:gridCol w:w="3451"/>
        <w:gridCol w:w="146"/>
        <w:gridCol w:w="211"/>
        <w:gridCol w:w="571"/>
        <w:gridCol w:w="146"/>
        <w:gridCol w:w="146"/>
        <w:gridCol w:w="211"/>
        <w:gridCol w:w="571"/>
        <w:gridCol w:w="146"/>
        <w:gridCol w:w="146"/>
        <w:gridCol w:w="211"/>
        <w:gridCol w:w="676"/>
        <w:gridCol w:w="146"/>
        <w:gridCol w:w="146"/>
        <w:gridCol w:w="211"/>
        <w:gridCol w:w="571"/>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equipment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Engineering, design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color w:val="000000"/>
          <w:sz w:val="20"/>
        </w:rPr>
        <w:t>Retirement Plans</w:t>
      </w:r>
      <w:r>
        <w:rPr>
          <w:rFonts w:ascii="Times New Roman" w:hAnsi="Times New Roman"/>
          <w:color w:val="000000"/>
          <w:sz w:val="20"/>
        </w:rPr>
        <w:t xml:space="preserve"> — We have a 401(k) plan for U.S.-based employees, as well as various defined contribution plans for international employees. Eligible U.S. employees may make tax-deferred contributions under the 401(k) plan, subject to Internal Revenue Service limitations. We match contributions towards the 401(k) plan and international defined contribution plans, subject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annual limitations. Our matching contributions were $1.1 million and $2.1 million, respectively, during the three- and six-month periods ended June 30, 2025, and $0.6 million and $1.2 million, respectively, during the prior-year periods.</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16. Leases</w:t>
      </w:r>
    </w:p>
    <w:p>
      <w:pPr>
        <w:pStyle w:val="TextBody"/>
        <w:bidi w:val="0"/>
        <w:jc w:val="left"/>
        <w:rPr>
          <w:rFonts w:ascii="Times New Roman" w:hAnsi="Times New Roman"/>
          <w:sz w:val="20"/>
        </w:rPr>
      </w:pPr>
      <w:r>
        <w:rPr>
          <w:rFonts w:ascii="Times New Roman" w:hAnsi="Times New Roman"/>
          <w:b/>
          <w:color w:val="000000"/>
          <w:sz w:val="20"/>
        </w:rPr>
        <w:t>Operating and Financing Leases —</w:t>
      </w:r>
      <w:r>
        <w:rPr>
          <w:rFonts w:ascii="Times New Roman" w:hAnsi="Times New Roman"/>
          <w:color w:val="000000"/>
          <w:sz w:val="20"/>
        </w:rPr>
        <w:t xml:space="preserve"> We determine whether a contract contains a lease at contract inception and calculate the lease liability and right-of-use asset using our incremental borrowing rate.</w:t>
      </w:r>
      <w:r>
        <w:rPr>
          <w:rFonts w:ascii="Times New Roman" w:hAnsi="Times New Roman"/>
          <w:color w:val="FF0000"/>
          <w:sz w:val="20"/>
        </w:rPr>
        <w:t xml:space="preserve"> </w:t>
      </w:r>
      <w:r>
        <w:rPr>
          <w:rFonts w:ascii="Times New Roman" w:hAnsi="Times New Roman"/>
          <w:color w:val="000000"/>
          <w:sz w:val="20"/>
        </w:rPr>
        <w:t>We have operating lease agreements primarily related to cell sites, data centers and office buildings. Our cell site leases generally have terms of five to ten years, with renewal options for an additional five to 25 years. For certain cell sites, the renewal options are deemed to be reasonably certain to be exercised. Our data center leases have original terms between one to four years with unlimited one-year renewal options, some of which are reasonably certain to be exercised. Our building leases have original terms of ten years, with renewal options for an additional five years. We recognize operating lease expense on a straight-line basis over the lease term. As of June 30, 2025, there were no significant leases which had not commenced.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is a summary of our lease expense included in the Unaudited Condensed Consolidated Statements of Operations </w:t>
      </w:r>
      <w:r>
        <w:rPr>
          <w:rFonts w:ascii="Times New Roman" w:hAnsi="Times New Roman"/>
          <w:i/>
          <w:color w:val="000000"/>
          <w:sz w:val="20"/>
        </w:rPr>
        <w:t>(in thousands)</w:t>
      </w:r>
      <w:r>
        <w:rPr>
          <w:rFonts w:ascii="Times New Roman" w:hAnsi="Times New Roman"/>
          <w:color w:val="000000"/>
          <w:sz w:val="20"/>
        </w:rPr>
        <w:t>:</w:t>
      </w:r>
    </w:p>
    <w:tbl>
      <w:tblPr>
        <w:tblW w:w="7460" w:type="dxa"/>
        <w:jc w:val="left"/>
        <w:tblInd w:w="0" w:type="dxa"/>
        <w:tblLayout w:type="fixed"/>
        <w:tblCellMar>
          <w:top w:w="28" w:type="dxa"/>
          <w:left w:w="28" w:type="dxa"/>
          <w:bottom w:w="28" w:type="dxa"/>
          <w:right w:w="28" w:type="dxa"/>
        </w:tblCellMar>
      </w:tblPr>
      <w:tblGrid>
        <w:gridCol w:w="2676"/>
        <w:gridCol w:w="146"/>
        <w:gridCol w:w="226"/>
        <w:gridCol w:w="614"/>
        <w:gridCol w:w="157"/>
        <w:gridCol w:w="157"/>
        <w:gridCol w:w="226"/>
        <w:gridCol w:w="614"/>
        <w:gridCol w:w="146"/>
        <w:gridCol w:w="146"/>
        <w:gridCol w:w="211"/>
        <w:gridCol w:w="676"/>
        <w:gridCol w:w="146"/>
        <w:gridCol w:w="146"/>
        <w:gridCol w:w="211"/>
        <w:gridCol w:w="571"/>
        <w:gridCol w:w="391"/>
      </w:tblGrid>
      <w:tr>
        <w:trPr/>
        <w:tc>
          <w:tcPr>
            <w:tcW w:w="2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Three Months </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w:t>
              <w:br/>
              <w:t>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Operating lease cost</w:t>
            </w:r>
            <w:r>
              <w:rPr>
                <w:rFonts w:ascii="Times New Roman" w:hAnsi="Times New Roman"/>
                <w:i/>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9,078</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leased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on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9,094</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(1) Includes short-term and variable lease cost.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Other information regarding our leases is as follows </w:t>
      </w:r>
      <w:r>
        <w:rPr>
          <w:rFonts w:ascii="Times New Roman" w:hAnsi="Times New Roman"/>
          <w:i/>
          <w:color w:val="000000"/>
          <w:sz w:val="20"/>
        </w:rPr>
        <w:t>(in thousands, except lease terms and discount rates)</w:t>
      </w:r>
      <w:r>
        <w:rPr>
          <w:rFonts w:ascii="Times New Roman" w:hAnsi="Times New Roman"/>
          <w:color w:val="000000"/>
          <w:sz w:val="20"/>
        </w:rPr>
        <w:t>:</w:t>
      </w:r>
    </w:p>
    <w:tbl>
      <w:tblPr>
        <w:tblW w:w="8084" w:type="dxa"/>
        <w:jc w:val="left"/>
        <w:tblInd w:w="0" w:type="dxa"/>
        <w:tblLayout w:type="fixed"/>
        <w:tblCellMar>
          <w:top w:w="28" w:type="dxa"/>
          <w:left w:w="28" w:type="dxa"/>
          <w:bottom w:w="28" w:type="dxa"/>
          <w:right w:w="28" w:type="dxa"/>
        </w:tblCellMar>
      </w:tblPr>
      <w:tblGrid>
        <w:gridCol w:w="5566"/>
        <w:gridCol w:w="146"/>
        <w:gridCol w:w="211"/>
        <w:gridCol w:w="571"/>
        <w:gridCol w:w="271"/>
        <w:gridCol w:w="146"/>
        <w:gridCol w:w="211"/>
        <w:gridCol w:w="571"/>
        <w:gridCol w:w="39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w:t>
              <w:br/>
              <w:t>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measurement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used in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used in financing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cash flows used in financing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 obtained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leases obtained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remaining lease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 years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 years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 years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 years</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Annual future minimum lease payments as of June 30, 2025 </w:t>
      </w:r>
      <w:r>
        <w:rPr>
          <w:rFonts w:ascii="Times New Roman" w:hAnsi="Times New Roman"/>
          <w:i/>
          <w:color w:val="000000"/>
          <w:sz w:val="20"/>
        </w:rPr>
        <w:t>(in thousands)</w:t>
      </w:r>
      <w:r>
        <w:rPr>
          <w:rFonts w:ascii="Times New Roman" w:hAnsi="Times New Roman"/>
          <w:color w:val="000000"/>
          <w:sz w:val="20"/>
        </w:rPr>
        <w:t>:</w:t>
      </w:r>
    </w:p>
    <w:tbl>
      <w:tblPr>
        <w:tblW w:w="6817" w:type="dxa"/>
        <w:jc w:val="left"/>
        <w:tblInd w:w="0" w:type="dxa"/>
        <w:tblLayout w:type="fixed"/>
        <w:tblCellMar>
          <w:top w:w="28" w:type="dxa"/>
          <w:left w:w="28" w:type="dxa"/>
          <w:bottom w:w="28" w:type="dxa"/>
          <w:right w:w="28" w:type="dxa"/>
        </w:tblCellMar>
      </w:tblPr>
      <w:tblGrid>
        <w:gridCol w:w="4011"/>
        <w:gridCol w:w="146"/>
        <w:gridCol w:w="217"/>
        <w:gridCol w:w="759"/>
        <w:gridCol w:w="166"/>
        <w:gridCol w:w="146"/>
        <w:gridCol w:w="320"/>
        <w:gridCol w:w="641"/>
        <w:gridCol w:w="411"/>
      </w:tblGrid>
      <w:tr>
        <w:trPr/>
        <w:tc>
          <w:tcPr>
            <w:tcW w:w="4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Years ending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Operating</w:t>
              <w:br/>
              <w:t>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Financing</w:t>
              <w:br/>
              <w:t>Leases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(period from July 1 to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 representing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Present value of net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Reported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17. Commitments and Contingencies</w:t>
      </w:r>
    </w:p>
    <w:p>
      <w:pPr>
        <w:pStyle w:val="TextBody"/>
        <w:bidi w:val="0"/>
        <w:spacing w:before="120" w:after="283"/>
        <w:jc w:val="left"/>
        <w:rPr>
          <w:rFonts w:ascii="Times New Roman" w:hAnsi="Times New Roman"/>
          <w:sz w:val="20"/>
        </w:rPr>
      </w:pPr>
      <w:r>
        <w:rPr>
          <w:rFonts w:ascii="Times New Roman" w:hAnsi="Times New Roman"/>
          <w:b/>
          <w:color w:val="000000"/>
          <w:sz w:val="20"/>
        </w:rPr>
        <w:t>Contractual Commitments</w:t>
      </w:r>
      <w:r>
        <w:rPr>
          <w:rFonts w:ascii="Times New Roman" w:hAnsi="Times New Roman"/>
          <w:color w:val="000000"/>
          <w:sz w:val="20"/>
        </w:rPr>
        <w:t xml:space="preserve"> – We have agreements with various vendors under which we have remaining commitments to purchase hardware components and development services. Such commitments will become payable as we receive the hardware components, or as development services are provided.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17, 2024, Airspan Networks Holdings Inc. (“Airspan”) filed a plan supplement to its Joint Prepackaged Chapter 11 Plan of Reorganization, Case No. 24-10621 (the “Plan”), whereby the Company and Fortress Credit Corp. (“Fortress”) agreed in principle to each provide fifty percent (50%) of a new first lien revolving facility in an aggregate committed principal amount of $20.0 million (the “New Revolving Credit Facility”). Unless otherwise extended by the parties, any amounts outstanding under the New Revolving Credit Facility shall be due and payable in full on the first anniversary of the closing date of the New Revolving Credit Facility. The Plan, including the Company’s participation in the New Revolving Credit Facility, was approved by the Bankruptcy Court for the District of Delaware on June 28, 2024. On June 27, 2024, Airspan and the Company amended the Master Service Agreement, dated November 25, 2019. Further, on October 11, 2024, in connection with Airspan becoming a private company, the Company, Airspan and Fortress executed the necessary documents for the New Revolving Credit Facility to become effective. The New Revolving Credit Facility was undrawn as of December 31, 2024. As of June 30, 2025, the outstanding principal amount of the New Revolving Credit Facility was $15.0 million, of which $7.5 million was the Company’s obligation and is included in Prepaid expenses and other current assets on the Unaudited Condensed Consolidated Balance Sheets. In July 2025, Airspan borrowed the remaining $5.0 million under the New Revolving Credit facility, of which $2.5 million was the Company’s obligation.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accrued a contingent liability of $5.0 million in Accrued liabilities in the Unaudited Condensed Consolidated Balance Sheets as of June 30, 2025 and December 31, 2024 for state and local taxes in a variety of jurisdictions for periods between 2010 and 2023 related to Satcom Direct’s pre-acquisition business activities. While the Company believes that the reserve represents the best current estimate of any potential liability in state and local taxes, there can be no assurance that the outcome of discussions with any state taxing authority will not result in the payment of state sales taxes for prior periods, or that the amount of any such payments will not be materially different than the liability currently recorded. Pursuant to the terms of the Purchase Agreement, the Company has accrued a $5.0 million indemnification receivable in Prepaid expenses and other current assets in the Unaudited Condensed Consolidated Balance Sheets. See Note 2, “Acquisition of Satcom Direct,” for further information on the Purchase Agreement.</w:t>
      </w:r>
    </w:p>
    <w:p>
      <w:pPr>
        <w:pStyle w:val="TextBody"/>
        <w:bidi w:val="0"/>
        <w:spacing w:before="120" w:after="283"/>
        <w:jc w:val="left"/>
        <w:rPr>
          <w:rFonts w:ascii="Times New Roman" w:hAnsi="Times New Roman"/>
          <w:sz w:val="20"/>
        </w:rPr>
      </w:pPr>
      <w:r>
        <w:rPr>
          <w:rFonts w:ascii="Times New Roman" w:hAnsi="Times New Roman"/>
          <w:b/>
          <w:color w:val="000000"/>
          <w:sz w:val="20"/>
        </w:rPr>
        <w:t>SmartSky Litigation</w:t>
      </w:r>
      <w:r>
        <w:rPr>
          <w:rFonts w:ascii="Times New Roman" w:hAnsi="Times New Roman"/>
          <w:color w:val="000000"/>
          <w:sz w:val="20"/>
        </w:rPr>
        <w:t xml:space="preserve"> – On February 28, 2022, SmartSky Networks, LLC (“SmartSky”) brought suit against Gogo Inc. and its subsidiary Gogo Business Aviation LLC in the U.S. District Court for the District of Delaware (the “Court”) alleging that Gogo 5G infringes four patents owned by the plaintiff. On February 21, 2023, the plaintiff amended its complaint to allege that Gogo 5G infringes two additional patents recently issued to the plaintiff. The suit seeks compensatory damages as well as treble damages for alleged willful infringement and reimbursement of plaintiff's costs, disbursements and attorneys' fees. On May 29, 2024, Gogo Inc. and its subsidiary Gogo Business Aviation LLC amended its answer and counterclaims in the same suit, alleging that three of the six patents asserted by SmartSky are unenforceable due to inequitable conduct before the U.S. Patent Office. A trial date has been scheduled for November 17, 2025. Claim construction proceedings, fact discovery and expert discovery are completed. Dispositive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motions were filed on October 25, 2024 and await resolution. We continue to vigorously defend our position in the infringement suit. The outcome of the underlying litigation is inherently uncertain. No amounts have been accrued for any potential losses under this matter, as we cannot reasonably predict the outcome of the litigation or any potential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5, 2024, Gogo Inc. and its subsidiary Gogo Business Aviation LLC filed counterclaims in the same suit, alleging that SmartSky’s ATG network, Flagship equipment, and LITE ATG equipment infringe three patents owned by Gogo. Gogo’s counterclaim suit seeks an unspecified amount of compensatory damages as well as reimbursement of Gogo's costs and attorneys' fees. On April 10, 2024, the Court held that Gogo's counterclaims would proceed under a separate schedule and would be tried separately from SmartSky's claims. The court entered a scheduling order for Gogo’s counterclaims on January 14, 2025 with a trial date of March 8,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16, 2024, SmartSky sued Gogo Inc. and its subsidiaries alleging that Gogo maintains an illegal monopoly over air-to-ground broadband inflight connectivity products and services and has blocked SmartSky from entering the market in violation of antitrust laws. SmartSky also alleges claims of false advertising, unfair and deceptive trade practices, and tortious interference. The suit seeks actual damages, treble damages, punitive damages, disgorgement of profits, reimbursement of plaintiff's costs, attorneys' fees, pre- and post-judgment interest, and interest on actual damages. On March 14, 2025, Gogo Inc. and its subsidiary Gogo Business Aviation LLC filed a motion to dismiss for failure to state a claim. We will vigorously defend our position in this lawsuit. The outcome of the litigation is inherently uncertain. No amounts have been accrued for any potential losses under this matter, as we cannot reasonably predict the outcome of the litigation or any potential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legal proceedings arising in the ordinary course of our business. We cannot predict with certainty the outcome of any litigation or the potential for future litigation. With respect to such legal proceedings, we accrue a loss when it is probable and its amount can be reasonably estimated. Regardless of the outcome of any particular litigation and the merits of any particular claim, litigation can have a material adverse impact on our Company due to, among other reasons, any injunctive relief granted, which could inhibit our ability to operate our business, amounts paid as damages or in settlement of any such matter, diversion of management resources and defense costs.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18. Accumulated Other Comprehensive Income (Loss)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is a summary of changes in accumulated other comprehensive income (loss) by component </w:t>
      </w:r>
      <w:r>
        <w:rPr>
          <w:rFonts w:ascii="Times New Roman" w:hAnsi="Times New Roman"/>
          <w:i/>
          <w:color w:val="000000"/>
          <w:sz w:val="20"/>
        </w:rPr>
        <w:t>(in thousands):</w:t>
      </w:r>
    </w:p>
    <w:p>
      <w:pPr>
        <w:pStyle w:val="TextBody"/>
        <w:bidi w:val="0"/>
        <w:jc w:val="left"/>
        <w:rPr/>
      </w:pPr>
      <w:r>
        <w:rPr/>
        <w:t> </w:t>
      </w:r>
    </w:p>
    <w:tbl>
      <w:tblPr>
        <w:tblW w:w="9105" w:type="dxa"/>
        <w:jc w:val="left"/>
        <w:tblInd w:w="0" w:type="dxa"/>
        <w:tblLayout w:type="fixed"/>
        <w:tblCellMar>
          <w:top w:w="28" w:type="dxa"/>
          <w:left w:w="28" w:type="dxa"/>
          <w:bottom w:w="28" w:type="dxa"/>
          <w:right w:w="28" w:type="dxa"/>
        </w:tblCellMar>
      </w:tblPr>
      <w:tblGrid>
        <w:gridCol w:w="5076"/>
        <w:gridCol w:w="146"/>
        <w:gridCol w:w="237"/>
        <w:gridCol w:w="709"/>
        <w:gridCol w:w="166"/>
        <w:gridCol w:w="146"/>
        <w:gridCol w:w="270"/>
        <w:gridCol w:w="810"/>
        <w:gridCol w:w="166"/>
        <w:gridCol w:w="146"/>
        <w:gridCol w:w="211"/>
        <w:gridCol w:w="631"/>
        <w:gridCol w:w="391"/>
      </w:tblGrid>
      <w:tr>
        <w:trPr/>
        <w:tc>
          <w:tcPr>
            <w:tcW w:w="5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Currency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Translation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Flow</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Adjustment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Hedges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 (loss)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income realized and reclassified to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current period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150" w:type="dxa"/>
        <w:jc w:val="left"/>
        <w:tblInd w:w="0" w:type="dxa"/>
        <w:tblLayout w:type="fixed"/>
        <w:tblCellMar>
          <w:top w:w="28" w:type="dxa"/>
          <w:left w:w="28" w:type="dxa"/>
          <w:bottom w:w="28" w:type="dxa"/>
          <w:right w:w="28" w:type="dxa"/>
        </w:tblCellMar>
      </w:tblPr>
      <w:tblGrid>
        <w:gridCol w:w="5076"/>
        <w:gridCol w:w="146"/>
        <w:gridCol w:w="237"/>
        <w:gridCol w:w="709"/>
        <w:gridCol w:w="166"/>
        <w:gridCol w:w="146"/>
        <w:gridCol w:w="257"/>
        <w:gridCol w:w="823"/>
        <w:gridCol w:w="166"/>
        <w:gridCol w:w="146"/>
        <w:gridCol w:w="211"/>
        <w:gridCol w:w="676"/>
        <w:gridCol w:w="391"/>
      </w:tblGrid>
      <w:tr>
        <w:trPr/>
        <w:tc>
          <w:tcPr>
            <w:tcW w:w="5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Currency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Translation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Flow</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Adjustment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Hedges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 (loss)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income realized and reclassified to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current period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SPECIAL NOTE REGARDING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statements in this Quarterly Report on Form 10-Q may constitute “forward-looking” statements within the meaning of the Private Securities Litigation Reform Act of 1995. These forward-looking statements include, without limitation, statements regarding our industry, business strategy, acquisitions, plans, goals and expectations concerning our market position, international expansion, future technologies, future operations, margins, profitability, future efficiencies, capital expenditures, liquidity and capital resources and other financial and operating information. When used in this discussion, the words “anticipate,” “assume,” “believe,” “budget,” “continue,” “could,” “estimate,” “expect,” “forecast,” “intend,” “may,” “plan,” “potential,” “predict,” “project,” “should,” “will,” “future” and the negative of these or similar terms and phrases are intended to identify forward-looking statements in this Quarterly Report on Form 10-Q.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Forward-looking statements reflect our current expectations regarding future events, results or outcomes. These expectations may or may not be realized. Although we believe the expectations reflected in the forward-looking statements are reasonable, we can give you no assurance these expectations will prove to have been correct. Some of these expectations may be based upon assumptions, data or judgments that prove to be incorrect. Actual events, results and outcomes may differ materially from our expectations due to a variety of known and unknown risks, uncertainties and other factors. Although it is not possible to identify all of these risks and factors, they include, among others,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continue to generate revenue from the provision of our connectivity and other service offerings;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development and fixed-price contracts;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reliance on our key OEMs and dealers for equipment sales;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dependence on single-source, third party satellite network providers;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competition;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high-quality customer support;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 parties for equipment components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participation in U.S. government contracts;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participation in non-U.S. government contracts;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finite useful life of satellites;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global supply chain and logistics issues, tariffs and inflationary trends;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continued expansion of our business outside of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risk;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recruit, train and retain highly skilled employees, and the loss of any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pandemics or other outbreaks of contagious diseases, and the measures implemented to combat them;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adverse economic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fully utilize portions of our deferred tax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attention to climate change, conservation measures and other ESG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evaluate or pursue strategic opportunities;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integrate Satcom Direct’s business, and the potential failure to realize or delay in realizing all of the anticipated benefits of the acquisition;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changes in executive management that occurred as part of the acquisition of Satcom Direct;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develop and deploy Gogo 5G, Gogo Galileo or other next generation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our rights to use our licensed 4MHz of ATG spectrum in the United States and obtain rights to additional spectrum if needed;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service interruptions or delays, cyberattacks, technology failures, equipment damage or system disruptions or failures;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assertions by third parties of infringement, misappropriation or other violations;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innovate and provide products and services;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protect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associated with the use of artificial intelligence in our products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our use of open-source software;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equipment failure or material defects or errors in our software;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comply with applicable foreign ownership limitations;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government regulation of communication networks, and the internet;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possession and use of personal information;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associated with participation in the Federal Communications Commission (“FCC”) Secure and Trusted Communications Networks Reimbursement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comply with anti-bribery, anti-corruption, anti-money laundering and export control 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of expenses, liabilities or business disruptions resulting from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global climate change and legal, regulatory or market responses to 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the distribution of income among various jurisdictions in which we operate as well as changes in tax law or regulation on our U.S. and non-U.S. tax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changes in laws and regulations on U.S. government contractors;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our substantial indebtedness;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restrictions and limitations in the agreements governing our debt;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fully utilize our tax losses;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risks and factors listed under “Risk Factors” in the 2024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one of these factors or a combination of these factors could materially affect our financial condition or future results of operations and could influence whether any forward-looking statements contained in this Quarterly Report on Form 10-Q ultimately prove to be accurate. Our forward-looking statements are not guarantees of future performance, and you should not place undue reliance on them. All forward-looking statements speak only as of the date made and unless required by law we undertake no obligation to update or revise publicly any forward-looking statements, whether as a result of new information, future events or otherwise.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while we do, from time to time, communicate with securities analysts, it is against our policy to disclose to them any material non-public information or other confidential information. Accordingly, stockholders should not assume that we agree with any statement or report issued by any analyst irrespective of the content of the statement or report. Thus, to the extent that reports issued by securities analysts contain any projections, forecasts, or opinions, such reports are not our responsibility.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1" w:name="item_2_managements_discussion_analysis_f"/>
      <w:bookmarkEnd w:id="11"/>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is intended to help the reader understand our business, financial condition, results of operations, liquidity and capital resources. You should read this discussion in conjunction with our unaudited condensed consolidated interim financial statements and the related notes contained elsewhere in this Quarterly Report on Form 10-Q. Unless the context otherwise indicates or requires, the terms “we,” “our,” “us,” “Gogo,” and the “Company,” as used in this Quarterly Report on Form 10-Q, refer to Gogo Inc. and its directly and indirectly owned subsidiaries as a combined entity, except where otherwise stated or where it is clear that the terms refer only to Gogo Inc. exclusive of its subsidiaries.</w:t>
      </w:r>
    </w:p>
    <w:p>
      <w:pPr>
        <w:pStyle w:val="TextBody"/>
        <w:bidi w:val="0"/>
        <w:spacing w:before="120" w:after="283"/>
        <w:jc w:val="left"/>
        <w:rPr>
          <w:rFonts w:ascii="Times New Roman" w:hAnsi="Times New Roman"/>
          <w:sz w:val="20"/>
        </w:rPr>
      </w:pPr>
      <w:r>
        <w:rPr>
          <w:rFonts w:ascii="Times New Roman" w:hAnsi="Times New Roman"/>
          <w:i/>
          <w:color w:val="000000"/>
          <w:sz w:val="20"/>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under “Risk Factors” in the 2024 10-K. Our actual results may differ materially from those contained in or implied by any 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Our fiscal year ends December 31 and, unless otherwise noted, references to “years” or “fiscal” are for fiscal years ended December 31. See “</w:t>
      </w:r>
      <w:r>
        <w:rPr>
          <w:rFonts w:ascii="Times New Roman" w:hAnsi="Times New Roman"/>
          <w:color w:val="000000"/>
          <w:sz w:val="20"/>
        </w:rPr>
        <w:t xml:space="preserve">— </w:t>
      </w:r>
      <w:r>
        <w:rPr>
          <w:rFonts w:ascii="Times New Roman" w:hAnsi="Times New Roman"/>
          <w:i/>
          <w:color w:val="000000"/>
          <w:sz w:val="20"/>
        </w:rPr>
        <w:t>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Company 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acquisition of Satcom Direct, as described in Note 2, “Acquisition of Satcom Direct,” created a combined organization which currently is the only multi-orbit, multi-band in-flight connectivity provider offering connectivity technology purpose-built for business and military/government aviation. The transaction united two industry-leading brands, creating a product portfolio that offers best-in-class solutions for small to large aircraft and heavy jets. As a combined organization, the Company has a holistic approach of providing broadband connectivity services to its customers through Gogo’s air-to-ground (“ATG”) technology and access to multiple satellite constellations aiming to deliver consistent, global tip-to-tail connectivity with a suite of software, hardware, and advanced infrastructure supported by a 24/7/365 customer support team.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Segments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the Company’s acquisition of Satcom Direct, the Company has two reportable segments: (i) the legacy pre-acquisition operations of the Company (“Gogo BA”) and (ii) the acquired entity, Satcom Direct. The consolidated financial statements and the related notes contained elsewhere in this Quarterly Report on Form 10-Q report the results of the Gogo BA segment and, for the 2025 period and the Consolidated Balance Sheets as of December 31, 2024, the Satcom Direct segment. The Gogo BA segment provides in-flight connectivity for business aviation via ATG and satellite networks. The Satcom Direct segment primarily provides global satellite-based communication solutions for business and military/government aircraft. Satcom Direct is managed as a separate reportable segment, but in the future, we may realign our reportable segments after integrating the Satcom Direct business. This “Management’s Discussion and Analysis of Financial Condition and Results of Operations” discusses the results of both segments for the periods in which they are covered by the consolidated financial statements, except that, for the reasons described below, it does not reflect the impact of the Satcom Direct segment in “Key Operating Metrics” and “Results of Operations—Three and Six Months Ended June 2025 and 2024.”</w:t>
      </w:r>
    </w:p>
    <w:p>
      <w:pPr>
        <w:pStyle w:val="TextBody"/>
        <w:bidi w:val="0"/>
        <w:spacing w:before="240" w:after="283"/>
        <w:jc w:val="both"/>
        <w:rPr>
          <w:rFonts w:ascii="Times New Roman" w:hAnsi="Times New Roman"/>
          <w:sz w:val="20"/>
        </w:rPr>
      </w:pPr>
      <w:r>
        <w:rPr>
          <w:rFonts w:ascii="Times New Roman" w:hAnsi="Times New Roman"/>
          <w:b/>
          <w:color w:val="000000"/>
          <w:sz w:val="20"/>
        </w:rPr>
        <w:t>Factors and Trends Affecting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operating and business performance is driven by various factors that affect the business and military/government aviation industries, including trends affecting the travel industry and trends affecting the customer bases that we target, as well as factors that affect wireless Internet service providers and general macroeconomic factors. Key factors that may affect our future performance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associated with the implementation of, and our ability to implement on a timely basis, our technology roadmap, including upgrades to and installation of the ATG Broadband technologies we currently offer, Gogo 5G, Gogo Galileo, LTE and any other next generation or other new technology that we develop or acquire;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manage issues and related costs that may arise in connection with the implementation of our technology roadmap, including technological issues and related remediation efforts and failures or delays on the part of antenna, chipset, and other equipment developers and providers or satellite network providers, some of which are single-source;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license additional spectrum and make other improvements to our ATG network and operations as technology and user expectations change;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aircraft in service in our markets, including consolidations or changes in fleet size by one or more of our large-fleet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economic environment and other trends that affect both business and leisure aviation travel;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to supply chains in the aviation industry and installations of our equipment driven by, among other things, labor shortages;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of our customers’ adoption of our products and services, which is affected by, among other things, willingness to pay for the services that we provide, the quality and reliability of our products and services, changes in technology and competition from current competitors and new market entrants;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engage suppliers of equipment components and network services on a timely basis and on commercially reasonable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fully utilize portions of our deferred income tax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laws, regulations, policies and interpretations affecting our business, the business of our customers and suppliers globally, including changes that impact the design of our equipment and our ability to obtain required certifications for our equipment and services, and telecommunications services globally, including those affecting our ability to maintain our licenses for ATG spectrum in the United States, obtain sufficient rights to use additional ATG spectrum and/or other sources of broadband connectivity to deliver our services, including Gogo Galileo, expand our service offerings and manage our network;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enactment of and proposals for trade protection measures by the United States as well as other countries (including United States “reciprocal” tariffs that were announced at the end of July 2025), including increases or changes in tariffs and trade barriers, changes in government policies and international trade arrangements, geopolitical volatility, and global macroeconomic conditions, or uncertainty regarding the impact of proposed or future trade protection measures, may affect our results of operations in some markets.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Key Operating Metrics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regularly reviews financial and operating metrics, including the following key operating metrics, to evaluate the performance of our business and our success in executing our business plan, make decisions regarding resource allocation and corporate strategies, and evaluate forward-looking projections. The metrics below are only for the Gogo BA segment and do not include metrics for the Satcom Direct segment for the periods in which it is reflected in the Company’s consolidated financial statements, with the exception of the GEO aircraft online (which includes the Satcom Direct business aviation broadband GEO aircraft online but excludes military/government GEO aircraft online), because these reporting periods provided insufficient time for management to review, test and select meaningful metrics that would be useful on a standalone basis to both management and investors. Additionally, the below metrics are different in scope than those previously presented for the Gogo BA segment given the impact of the Satcom Direct acquisition. As previously disclosed, as part of the integration of the Satcom Direct business into the Company’s operations, management plans to develop a set of key financial and operating metrics for use by management and investors to reflect the major aspects of the combined Gogo BA and Satcom Direct business.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64"/>
        <w:gridCol w:w="146"/>
        <w:gridCol w:w="211"/>
        <w:gridCol w:w="571"/>
        <w:gridCol w:w="146"/>
        <w:gridCol w:w="146"/>
        <w:gridCol w:w="211"/>
        <w:gridCol w:w="571"/>
        <w:gridCol w:w="146"/>
        <w:gridCol w:w="146"/>
        <w:gridCol w:w="211"/>
        <w:gridCol w:w="571"/>
        <w:gridCol w:w="146"/>
        <w:gridCol w:w="146"/>
        <w:gridCol w:w="211"/>
        <w:gridCol w:w="571"/>
        <w:gridCol w:w="591"/>
      </w:tblGrid>
      <w:tr>
        <w:trPr/>
        <w:tc>
          <w:tcPr>
            <w:tcW w:w="54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4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Aircraft online (at period end)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4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ATG AVANCE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Gogo Biz</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ATG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 aircraft online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monthly connectivity service revenue per ATG aircraft online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ATG units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color w:val="000000"/>
        </w:rPr>
      </w:pPr>
      <w:r>
        <w:rPr>
          <w:color w:val="000000"/>
        </w:rPr>
        <w:t>•</w:t>
      </w:r>
    </w:p>
    <w:p>
      <w:pPr>
        <w:pStyle w:val="TextBody"/>
        <w:bidi w:val="0"/>
        <w:spacing w:before="40" w:after="283"/>
        <w:jc w:val="left"/>
        <w:rPr/>
      </w:pPr>
      <w:r>
        <w:rPr>
          <w:rFonts w:ascii="Times New Roman" w:hAnsi="Times New Roman"/>
          <w:i/>
          <w:color w:val="000000"/>
          <w:sz w:val="20"/>
        </w:rPr>
        <w:t xml:space="preserve">AVANCE aircraft online. </w:t>
      </w:r>
      <w:r>
        <w:rPr>
          <w:rFonts w:ascii="Times New Roman" w:hAnsi="Times New Roman"/>
          <w:color w:val="000000"/>
          <w:sz w:val="20"/>
        </w:rPr>
        <w:t xml:space="preserve">We define AVANCE aircraft online as the total number of business aircraft equipped with our AVANCE L5 or L3 system for which we provide ATG services as of the last day of each period presented.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Gogo Biz aircraft online. </w:t>
      </w:r>
      <w:r>
        <w:rPr>
          <w:rFonts w:ascii="Times New Roman" w:hAnsi="Times New Roman"/>
          <w:color w:val="000000"/>
          <w:sz w:val="20"/>
        </w:rPr>
        <w:t>We define Gogo Biz aircraft online as the total number of business aircraft not equipped with our AVANCE L5 or L3 system for which we provide ATG services as of the last day of each period presented. This number excludes commercial aircraft operated by Intelsat’s airline customers receiving ATG service.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GEO aircraft online</w:t>
      </w:r>
      <w:r>
        <w:rPr>
          <w:rFonts w:ascii="Times New Roman" w:hAnsi="Times New Roman"/>
          <w:color w:val="000000"/>
          <w:sz w:val="20"/>
        </w:rPr>
        <w:t>. We define GEO aircraft online as the total number of aircraft for which we provide GEO broadband services to business aviation customers as of the last day of each period presented. This number excludes aircraft receiving services through GEO satellite networks that are end-of-life.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Average monthly connectivity service revenue per ATG aircraft online (“ARPU”). </w:t>
      </w:r>
      <w:r>
        <w:rPr>
          <w:rFonts w:ascii="Times New Roman" w:hAnsi="Times New Roman"/>
          <w:color w:val="000000"/>
          <w:sz w:val="20"/>
        </w:rPr>
        <w:t>We define ARPU as the aggregate ATG connectivity service revenue for the period divided by the number of months in the period, divided by the number of ATG aircraft online during the period (expressed as an average of the month end figures for each month in such period). Revenue share earned from Intelsat is excluded from this calculation.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ATG units sold</w:t>
      </w:r>
      <w:r>
        <w:rPr>
          <w:rFonts w:ascii="Times New Roman" w:hAnsi="Times New Roman"/>
          <w:color w:val="000000"/>
          <w:sz w:val="20"/>
        </w:rPr>
        <w:t>. We define units sold as the number of ATG units for which we recognized revenue during the period.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Key Components of Consolidated Statements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no material changes to our key components of Unaudited Condensed Consolidated Statements of Operations as described in “Management’s Discussion and Analysis of Financial Condition and Results of Operations” (“MD&amp;A”) in our 2024 10-K.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discussion and analysis of our financial condition and results of operations are based on our Unaudited Condensed Consolidated Financial Statements, which have been prepared in accordance with accounting principles generally accepted in the United States of America (“GAAP”). The preparation of our Unaudited Condensed Consolidated Financial Statements and related disclosures requires us to make estimates, assumptions and judgments that affect the reported amounts of assets, liabilities, revenue, costs and expenses, and related exposures. We base our estimates and assumptions on historical experience and other factors that we believe to be reasonable under the circumstances. In some instances, we could reasonably use different accounting estimates, and in some instances, actual results could differ significantly from our estimates. We evaluate our estimates and assumptions on an ongoing basis. To the extent that there are differences between our estimates and actual results, our future financial statement presentation, financial condition, results of operations and cash flows will be affected.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the assumptions and estimates associated with the fair value of service customer relationships and software acquired in the acquisition of Satcom Direct have the greatest potential impact on and are the most critical to fully understanding and evaluating our reported financial results, and that they require our most difficult, subjective or complex judgments.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to our critical accounting estimates described in the MD&amp;A in our 2024 10-K.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1, “Basis of Presentation,” to our Unaudited Condensed Consolidated Financials Statements for additional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set forth, for the periods presented, certain data from our Unaudited Condensed Consolidated Statements of Operations. The information contained in the table below should be read in conjunction with our Unaudited Condensed Consolidated Financial Statements and related notes.</w:t>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sz w:val="20"/>
        </w:rPr>
      </w:pPr>
      <w:r>
        <w:rPr>
          <w:rFonts w:ascii="Times New Roman" w:hAnsi="Times New Roman"/>
          <w:b/>
          <w:color w:val="000000"/>
          <w:sz w:val="20"/>
        </w:rPr>
        <w:t>Unaudited Condensed 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4369"/>
        <w:gridCol w:w="146"/>
        <w:gridCol w:w="211"/>
        <w:gridCol w:w="781"/>
        <w:gridCol w:w="166"/>
        <w:gridCol w:w="146"/>
        <w:gridCol w:w="256"/>
        <w:gridCol w:w="950"/>
        <w:gridCol w:w="146"/>
        <w:gridCol w:w="146"/>
        <w:gridCol w:w="211"/>
        <w:gridCol w:w="781"/>
        <w:gridCol w:w="166"/>
        <w:gridCol w:w="146"/>
        <w:gridCol w:w="211"/>
        <w:gridCol w:w="781"/>
        <w:gridCol w:w="592"/>
      </w:tblGrid>
      <w:tr>
        <w:trPr/>
        <w:tc>
          <w:tcPr>
            <w:tcW w:w="43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4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9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9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Gogo BA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Satcom Direct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Gogo BA</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81,929</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Equipment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20,130</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6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102,059</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 revenue (exclusive of items shown below)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18,871</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69"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Cost of equipment - product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11,734</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6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Cost of equipment -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4,698</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cost of equipment revenue (exclusive of items shown below)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16,432</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Engineering, design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10,304</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9,036</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21,848</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3,887</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6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80,378</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21,681</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8,113</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earnout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14,717</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6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20,710</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369"/>
        <w:gridCol w:w="146"/>
        <w:gridCol w:w="211"/>
        <w:gridCol w:w="781"/>
        <w:gridCol w:w="166"/>
        <w:gridCol w:w="146"/>
        <w:gridCol w:w="256"/>
        <w:gridCol w:w="950"/>
        <w:gridCol w:w="146"/>
        <w:gridCol w:w="146"/>
        <w:gridCol w:w="211"/>
        <w:gridCol w:w="781"/>
        <w:gridCol w:w="166"/>
        <w:gridCol w:w="146"/>
        <w:gridCol w:w="211"/>
        <w:gridCol w:w="781"/>
        <w:gridCol w:w="592"/>
      </w:tblGrid>
      <w:tr>
        <w:trPr/>
        <w:tc>
          <w:tcPr>
            <w:tcW w:w="43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4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9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9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Gogo BA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Satcom Direct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Gogo BA</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163,602</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Equipment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42,779</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6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456,345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206,381</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 revenue (exclusive of items shown below)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36,742</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6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Cost of equipment - 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23,186</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69"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Cost of equipment -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9,032</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cost of equipment revenue (exclusive of items shown below)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32,218</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Engineering, design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19,520</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17,319</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36,499</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7,728</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6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385,197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150,026</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56,355</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(4,168</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16,523</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earnout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6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13,973</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42,382</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11,053</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31,329</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Three and Six Months Ended June 30, 2025 and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Below is a discussion of changes in the results in operations for the three- and six-month periods ended June 30, 2025 and 2024, which as discussed above are for the Gogo BA segment only. The acquisition of Satcom Direct was completed in the fourth quarter of 2024 and as a result, there is no meaningful prior period comparison point. Unless otherwise noted below, we expect consolidated revenue and expenses to increase in 2025 compared to 2024 as a result of a full year of activity for Satcom Direct.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Revenue and percent change for the three- and six-month periods ended June 30, 2025 and 2024 were as follows </w:t>
      </w:r>
      <w:r>
        <w:rPr>
          <w:rFonts w:ascii="Times New Roman" w:hAnsi="Times New Roman"/>
          <w:i/>
          <w:color w:val="000000"/>
          <w:sz w:val="20"/>
        </w:rPr>
        <w:t>(in thousands, except for percent change)</w:t>
      </w:r>
      <w:r>
        <w:rPr>
          <w:rFonts w:ascii="Times New Roman" w:hAnsi="Times New Roman"/>
          <w:color w:val="000000"/>
          <w:sz w:val="20"/>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52"/>
        <w:gridCol w:w="146"/>
        <w:gridCol w:w="211"/>
        <w:gridCol w:w="781"/>
        <w:gridCol w:w="146"/>
        <w:gridCol w:w="146"/>
        <w:gridCol w:w="211"/>
        <w:gridCol w:w="781"/>
        <w:gridCol w:w="146"/>
        <w:gridCol w:w="146"/>
        <w:gridCol w:w="288"/>
        <w:gridCol w:w="925"/>
        <w:gridCol w:w="325"/>
        <w:gridCol w:w="146"/>
        <w:gridCol w:w="211"/>
        <w:gridCol w:w="781"/>
        <w:gridCol w:w="146"/>
        <w:gridCol w:w="146"/>
        <w:gridCol w:w="211"/>
        <w:gridCol w:w="781"/>
        <w:gridCol w:w="146"/>
        <w:gridCol w:w="146"/>
        <w:gridCol w:w="288"/>
        <w:gridCol w:w="925"/>
        <w:gridCol w:w="374"/>
      </w:tblGrid>
      <w:tr>
        <w:trPr/>
        <w:tc>
          <w:tcPr>
            <w:tcW w:w="1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over 2024</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over 2024</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Gogo BA revenue increased to $103.3 million for the three-month period ended June 30, 2025, as compared with $102.1 million for the prior-year period due to an increase in equipment revenue, partially offset by a decrease in service revenue. Total Gogo BA revenue decreased to $204.6 million for the six-month period ended June 30, 2025, as compared with $206.4 million for the prior-year period, due to a decrease in service revenue, partially offset by an increase in equipment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Gogo BA’s service revenue decreased to $77.6 million and $157.1 million, respectively, for the three- and six-month periods ended June 30, 2025, as compared with $81.9 million and $163.6 million, respectively, for the prior-year periods due to a decrease in ATG units online.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Gogo BA’s equipment revenue increased to $25.7 million and $47.5 million, respectively, for the three- and six-month periods ended June 30, 2025, as compared with $20.1 million and $42.8 million, respectively, for the prior-year periods due to an increase in shipments of AVANCE units.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Cost of revenue and percent change for the three- and six-month periods ended June 30, 2025 and 2024 were as follows </w:t>
      </w:r>
      <w:r>
        <w:rPr>
          <w:rFonts w:ascii="Times New Roman" w:hAnsi="Times New Roman"/>
          <w:i/>
          <w:color w:val="000000"/>
          <w:sz w:val="20"/>
        </w:rPr>
        <w:t>(in thousands, except for percent change)</w:t>
      </w:r>
      <w:r>
        <w:rPr>
          <w:rFonts w:ascii="Times New Roman" w:hAnsi="Times New Roman"/>
          <w:color w:val="000000"/>
          <w:sz w:val="20"/>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23"/>
        <w:gridCol w:w="146"/>
        <w:gridCol w:w="211"/>
        <w:gridCol w:w="676"/>
        <w:gridCol w:w="146"/>
        <w:gridCol w:w="146"/>
        <w:gridCol w:w="211"/>
        <w:gridCol w:w="676"/>
        <w:gridCol w:w="146"/>
        <w:gridCol w:w="146"/>
        <w:gridCol w:w="283"/>
        <w:gridCol w:w="908"/>
        <w:gridCol w:w="322"/>
        <w:gridCol w:w="146"/>
        <w:gridCol w:w="211"/>
        <w:gridCol w:w="676"/>
        <w:gridCol w:w="146"/>
        <w:gridCol w:w="146"/>
        <w:gridCol w:w="211"/>
        <w:gridCol w:w="676"/>
        <w:gridCol w:w="146"/>
        <w:gridCol w:w="146"/>
        <w:gridCol w:w="283"/>
        <w:gridCol w:w="908"/>
        <w:gridCol w:w="370"/>
      </w:tblGrid>
      <w:tr>
        <w:trPr/>
        <w:tc>
          <w:tcPr>
            <w:tcW w:w="21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21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over 2024</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over 2024</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equipment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Gogo BA’s cost of service revenue decreased 6.1% and 1.8% to $17.7 million and $36.1 million, respectively, for the three- and six-month periods ended June 30, 2025, as compared with $18.9 million and $36.7 million for the prior-year periods due to a decrease in net credit card processing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Gogo BA’s cost of equipment revenue increased 32.0% and 29.4% to $21.7 million and $41.7 million, respectively, for the three-month period ended June 30, 2025, as compared with $16.4 million and $32.2 million, respectively, for the prior-year periods due to higher sales of lower margin products.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Engineering, Design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Gogo BA’s engineering, design and development expenses decreased 28.1% and 16.5% to $7.4 million and $16.3 million, respectively, for the three- and six-month periods ended June 30, 2025, as compared with $10.3 million and $19.5 million, respectively, for the prior-year periods due to a decrease in Gogo Galileo and Gogo 5G development costs.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Sales and Marketing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Gogo BA’s sales and marketing expenses decreased 31.7% and 24.2% to $6.2 million and $13.1 million, respectively, for the three- and six-month periods ended June 30, 2025, as compared with $9.0 million and $17.3 million, respectively, for the prior-year periods due to lower personnel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Gogo BA’s general and administrative expenses increased 6.7% and 30.4% to $23.3 million and $47.6 million, respectively, for the three- and six-month periods ended June 30, 2025, as compared with $21.8 million and $36.5 million, respectively, for the prior-year periods. The increase for the three-month period is due to acquisition and integration-related costs of $3.1 million and increased personnel costs of $5.2 million, partially offset by lower legal fees of $6.8 million. The increase in for the six-month period is due to acquisition and integration-related costs of $7.5 million and increased personnel costs of $7.9 million, partially offset by lower legal fees of $6.5 million.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Depreciation and Amortization: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Gogo BA’s depreciation and amortization expense decreased 11.7% and 15.6% to $3.4 million and $6.5 million, respectively, for the three- and six-month periods ended June 30, 2025, as compared with $3.9 million and $7.7 million, respectively, for the prior-year periods due to depreciation expense.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Expense (Income):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Other expense (income) and percent change for the three- and six-month periods ended June 30, 2025 and 2024 were as follows </w:t>
      </w:r>
      <w:r>
        <w:rPr>
          <w:rFonts w:ascii="Times New Roman" w:hAnsi="Times New Roman"/>
          <w:i/>
          <w:color w:val="000000"/>
          <w:sz w:val="20"/>
        </w:rPr>
        <w:t>(in thousands, except for percent change)</w:t>
      </w:r>
      <w:r>
        <w:rPr>
          <w:rFonts w:ascii="Times New Roman" w:hAnsi="Times New Roman"/>
          <w:color w:val="000000"/>
          <w:sz w:val="20"/>
        </w:rPr>
        <w:t>:</w:t>
      </w:r>
    </w:p>
    <w:tbl>
      <w:tblPr>
        <w:tblW w:w="9611" w:type="dxa"/>
        <w:jc w:val="left"/>
        <w:tblInd w:w="0" w:type="dxa"/>
        <w:tblLayout w:type="fixed"/>
        <w:tblCellMar>
          <w:top w:w="28" w:type="dxa"/>
          <w:left w:w="28" w:type="dxa"/>
          <w:bottom w:w="28" w:type="dxa"/>
          <w:right w:w="28" w:type="dxa"/>
        </w:tblCellMar>
      </w:tblPr>
      <w:tblGrid>
        <w:gridCol w:w="5446"/>
        <w:gridCol w:w="146"/>
        <w:gridCol w:w="211"/>
        <w:gridCol w:w="676"/>
        <w:gridCol w:w="166"/>
        <w:gridCol w:w="146"/>
        <w:gridCol w:w="211"/>
        <w:gridCol w:w="676"/>
        <w:gridCol w:w="166"/>
        <w:gridCol w:w="146"/>
        <w:gridCol w:w="253"/>
        <w:gridCol w:w="992"/>
        <w:gridCol w:w="376"/>
      </w:tblGrid>
      <w:tr>
        <w:trPr/>
        <w:tc>
          <w:tcPr>
            <w:tcW w:w="5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w:t>
              <w:br/>
              <w:t>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over 2024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earnout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over 2024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earnout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Percentage changes that are considered not meaningful are denoted with 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other expense decreased to $19.0 million for the three-month period ended June 30, 2025 as compared with $20.7 million for the prior-year period due to an unrealized holding loss on the Investment in Convertible Note during the prior-year period, partially offset by an increase in interest expense in the current-year period due to the HPS Term Loan Facility and the change in fair value of the earnout liability. Total other expense increased to $35.2 million for the six-month period ended June 30, 2025 as compared with $14.0 million for the prior-year period due to increased interest expense on the HPS Term Loan Facility and the change in fair value of the earnout liability.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 income tax rate for the three- and six-month periods ended June 30, 2025 was 24.6% and 30.9%, respectively, as compared with 13.6% and 26.1%, respectively, for the prior-year periods. For the three- and six-month periods ended June 30, 2025, our income tax provision was $4.2 million and $11.1 million, respectively, due to consolidated pre-tax income. For the three- and six-month periods ended June 30, 2024, our income tax provision was $0.1 million and $11.1 million, respectively, due to consolidated pre-tax income. See Note 14, “Income Tax,” to our Unaudited Condensed Consolidated Financial Statements for additional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income tax provision to increase in the long term as we continue to generate positive pre-tax income.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Non-GAAP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our discussion below, we discuss EBITDA, Adjusted EBITDA and Free Cash Flow, as defined below, which are non-GAAP financial measures. Management uses EBITDA, Adjusted EBITDA and Free Cash Flow for business planning purposes, including managing our business against internally projected results of operations and measuring our performance and liquidity. These supplemental performance measures also provide another basis for comparing period-to-period results by excluding potential differences caused by non-operational and unusual or non-recurring items. These supplemental performance measures may vary from and may not be comparable to similarly titled measures used by other companies. EBITDA, Adjusted EBITDA and Free Cash Flow are not recognized measurements under GAAP; when analyzing our performance with EBITDA or Adjusted EBITDA or liquidity with Free Cash Flow, as applicable, investors should (i) evaluate each adjustment in our reconciliation to the corresponding GAAP measure, and the explanatory footnotes regarding those adjustments, (ii) use EBITDA or Adjusted EBITDA in addition to, and not as an alternative to, net income attributable to common stock as a measure of operating results and (iii) use Free Cash Flow in addition to, and not as an alternative to, consolidated net cash provided by operating activities when evaluating our liquidity.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Definition and Reconciliation of Non-GAAP Measures</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EBITDA</w:t>
      </w:r>
      <w:r>
        <w:rPr>
          <w:rFonts w:ascii="Times New Roman" w:hAnsi="Times New Roman"/>
          <w:color w:val="000000"/>
          <w:sz w:val="20"/>
        </w:rPr>
        <w:t xml:space="preserve"> represents net income attributable to common stock before interest expense, interest income, income taxes and depreciation and amortization expense. </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Adjusted EBITDA</w:t>
      </w:r>
      <w:r>
        <w:rPr>
          <w:rFonts w:ascii="Times New Roman" w:hAnsi="Times New Roman"/>
          <w:color w:val="000000"/>
          <w:sz w:val="20"/>
        </w:rPr>
        <w:t xml:space="preserve"> represents EBITDA adjusted for (i) stock-based compensation expense, (ii) acquisition and integration-related costs, including amortization of acquisition-related inventory step-up costs and changes in fair value of the earnout liability, and (iii) change in fair value of convertible note investment. Our management believes that the use of Adjusted EBITDA eliminates items that management believes have less bearing on our operating performance, thereby highlighting trends in our core business which may not otherwise be apparent. It also provides an assessment of controllable expenses, which are indicators management uses to determine whether current spending decisions need to be adjusted in order to meet financial goals and achieve optimal financial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the exclusion of stock-based compensation expense from Adjusted EBITDA provides a clearer view of the operating performance of our business and is appropriate given that grants made at a certain price and point in time do not necessarily reflect how our business is performing at any particular time. While we believe that investors should have information about any dilutive effect of outstanding options and the cost of that compensation, we also believe that stockholders should have the ability to consider our performance using a non-GAAP financial measure that excludes these costs and that management uses to evaluate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Acquisition and integration-related costs include direct transaction costs, such as due diligence and advisory fees and certain compensation and integration-related expenses as well as the amortization of acquisition-related inventory step-up costs. We believe it is useful for an understanding of our operating performance to exclude acquisition and integration-related costs from Adjusted EBITDA because they are infrequent, are outside of the ordinary course of our operations and do not reflect our operating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it is useful for an understanding of our operating performance to exclude the changes in fair value of the earnout liability related to the acquisition of Satcom Direct from Adjusted EBITDA because this activity is outside of the ordinary course of our operations and does not reflect our operating performance.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it is useful for an understanding of our operating performance to exclude the change in fair value of convertible note investment from Adjusted EBITDA because this activity is not related to our operating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present Adjusted EBITDA as a supplemental performance measure because we believe that this measure provides investors, securities analysts and other users of our consolidated financial statements with important supplemental information with which to evaluate our performance and to enable them to assess our performance on the same basis as management.</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Free Cash Flow</w:t>
      </w:r>
      <w:r>
        <w:rPr>
          <w:rFonts w:ascii="Times New Roman" w:hAnsi="Times New Roman"/>
          <w:color w:val="000000"/>
          <w:sz w:val="20"/>
        </w:rPr>
        <w:t xml:space="preserve"> represents net cash provided by operating activities, plus the proceeds received from the FCC Reimbursement Program and the interest rate caps, less purchases of property and equipment and the acquisition of intangible assets. We believe that Free Cash Flow provides meaningful information regarding our liquidity. Management believes that Free Cash Flow is useful for investors because it provides them with an important perspective on the cash available for strategic measures, after making necessary capital investments in property and equipment to support the Company’s ongoing business operations and provides them with the same measures that management uses as the basis of making capital allocation decisions.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GAAP to Non-GAAP Measures</w:t>
      </w:r>
    </w:p>
    <w:p>
      <w:pPr>
        <w:pStyle w:val="TextBody"/>
        <w:bidi w:val="0"/>
        <w:jc w:val="center"/>
        <w:rPr>
          <w:rFonts w:ascii="Times New Roman" w:hAnsi="Times New Roman"/>
          <w:i/>
          <w:color w:val="000000"/>
          <w:sz w:val="20"/>
        </w:rPr>
      </w:pPr>
      <w:r>
        <w:rPr>
          <w:rFonts w:ascii="Times New Roman" w:hAnsi="Times New Roman"/>
          <w:i/>
          <w:color w:val="000000"/>
          <w:sz w:val="20"/>
        </w:rPr>
        <w:t>(in thousands, unaudited)</w:t>
      </w:r>
    </w:p>
    <w:tbl>
      <w:tblPr>
        <w:tblW w:w="10205" w:type="dxa"/>
        <w:jc w:val="left"/>
        <w:tblInd w:w="0" w:type="dxa"/>
        <w:tblLayout w:type="fixed"/>
        <w:tblCellMar>
          <w:top w:w="28" w:type="dxa"/>
          <w:left w:w="28" w:type="dxa"/>
          <w:bottom w:w="28" w:type="dxa"/>
          <w:right w:w="28" w:type="dxa"/>
        </w:tblCellMar>
      </w:tblPr>
      <w:tblGrid>
        <w:gridCol w:w="4799"/>
        <w:gridCol w:w="146"/>
        <w:gridCol w:w="211"/>
        <w:gridCol w:w="676"/>
        <w:gridCol w:w="166"/>
        <w:gridCol w:w="146"/>
        <w:gridCol w:w="211"/>
        <w:gridCol w:w="676"/>
        <w:gridCol w:w="166"/>
        <w:gridCol w:w="146"/>
        <w:gridCol w:w="211"/>
        <w:gridCol w:w="781"/>
        <w:gridCol w:w="166"/>
        <w:gridCol w:w="146"/>
        <w:gridCol w:w="211"/>
        <w:gridCol w:w="736"/>
        <w:gridCol w:w="611"/>
      </w:tblGrid>
      <w:tr>
        <w:trPr/>
        <w:tc>
          <w:tcPr>
            <w:tcW w:w="47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7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w:t>
              <w:br/>
              <w:t>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attributable to common stock (GAAP)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31,329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79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7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79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7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9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62,465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7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79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earnout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7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Acquisition and integration-related costs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79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acquisition-related inventory step-up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7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convertible note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73,752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operating activities (GAAP)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54,606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Consolidated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FCC Reimbursement Program for property, equipment and 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interest rate caps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7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Free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56,921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i/>
          <w:color w:val="000000"/>
          <w:sz w:val="13"/>
        </w:rPr>
        <w:t>(1)</w:t>
      </w:r>
      <w:r>
        <w:rPr>
          <w:rFonts w:ascii="Times New Roman" w:hAnsi="Times New Roman"/>
          <w:color w:val="000000"/>
          <w:sz w:val="20"/>
        </w:rPr>
        <w:t xml:space="preserve"> For the three months ended June 30, 2025, figure consists of integration-related advisory fees of $1.5 million and severance and other compensation-related costs of $2.2 million. For the six months ended June 30, 2025, figure consists of integration-related advisory fees of $5.4 million and severance and other compensation-related costs of $4.7 million.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Material limitations of Non-GAAP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EBITDA, Adjusted EBITDA and Free Cash Flow are measurements frequently used by investors and securities analysts in their evaluations of companies, EBITDA, Adjusted EBITDA and Free Cash Flow each have limitations as an analytical tool, and you should not consider them in isolation or as a substitute for, or more meaningful than, amounts determined in accordance with GAAP.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these limitations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 and Adjusted EBITDA do not reflect interest income or expense;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 and Adjusted EBITDA do not reflect cash requirements for our income 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 and Adjusted EBITDA do not reflect depreciation and amortization, which are significant and unavoidable operating costs given the level of capital expenditures needed to maintain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does not reflect non-cash components of employee compensation;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the change in the fair value of the earnout liability from the Satcom Direct acquisition;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acquisition and integration-related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amortization of acquisition-related inventory step-up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the change in fair value of convertible note investment or earnout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Free Cash Flow does not represent the total increase or decrease in our cash balance for the period;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other companies in industries related to ours may calculate these measures differently from the way we do, their usefulness as comparative measures may be limited.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table presents a summary of our cash flow activity for the periods set forth below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8504" w:type="dxa"/>
        <w:jc w:val="left"/>
        <w:tblInd w:w="0" w:type="dxa"/>
        <w:tblLayout w:type="fixed"/>
        <w:tblCellMar>
          <w:top w:w="28" w:type="dxa"/>
          <w:left w:w="28" w:type="dxa"/>
          <w:bottom w:w="28" w:type="dxa"/>
          <w:right w:w="28" w:type="dxa"/>
        </w:tblCellMar>
      </w:tblPr>
      <w:tblGrid>
        <w:gridCol w:w="5671"/>
        <w:gridCol w:w="146"/>
        <w:gridCol w:w="211"/>
        <w:gridCol w:w="781"/>
        <w:gridCol w:w="166"/>
        <w:gridCol w:w="146"/>
        <w:gridCol w:w="211"/>
        <w:gridCol w:w="781"/>
        <w:gridCol w:w="391"/>
      </w:tblGrid>
      <w:tr>
        <w:trPr/>
        <w:tc>
          <w:tcPr>
            <w:tcW w:w="5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54,606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(29,453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exchange rate changes on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the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139,366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the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161,880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the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161,880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current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non-current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the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161,550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historically financed our growth and cash needs primarily through the issuance of common stock, debt and cash from operating activities. We continually evaluate our ongoing capital needs in light of increasing demand for our services, capacity requirements, evolving user expectations regarding the in-flight connectivity experience, evolving technologies in our industry and related strategic, operational and technological opportunities. Our capital management activities include the assessment of opportunities to raise additional capital in the public and private markets, utilizing one or more of the types of capital raising transactions through which we have historically financed our growth and cash needs, as well as other means of capital raising not previously used by us.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our current plans, we expect our cash and cash equivalents, cash flows provided by operating activities and access to the Revolving Facility and capital markets will be sufficient to meet the cash requirements of our business, capital expenditure requirements and debt maturities for at least the next twelve months and thereafter for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5, 2023, we announced a share repurchase program that grants the Company authority to repurchase up to $50 million of shares of the Company’s common stock. Repurchases may be made at management's discretion from time to time on the open market, through privately negotiated transactions, or by other means, including through the use of trading plans intended to qualify under Rule 10b5-1 under the Securities Exchange Act of 1934, as amended (the “Exchange Act”) in accordance with applicable securities laws and other restrictions, including Rule 10b-18 under the Exchange Act. The repurchase program has no time limit and may be suspended for periods or discontinued at any time and does not obligate us to purchase any shares of our common stock. The timing and total amount of stock repurchases will depend upon business, economic and market conditions, corporate and regulatory requirements, prevailing stock prices, and other considerations. We do not expect to incur debt to fund the share repurchase program. No shares were repurchased during the six-month period ended June 30, 2025. During the six-month period ended June 30, 2024, we repurchased an aggregate 2.6 million shares of our common stock for $23.2 million. As of June 30, 2025, approximately $12.1 million remains available under the share 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detailed in Note 9, “Long-Term Debt and Other Liabilities,” on April 30, 2021, GIH entered into the 2021 Credit Agreement with Gogo, the lenders and issuing banks party thereto and Morgan Stanley Senior Funding, Inc., as administrative agent, which provides for the 2021 Term Loan Facility in an aggregate principal amount of $725.0 million, issued with a discount of 0.5%, and the Revolving Facility, which includes a letter of credit sub-facility. The 2021 Term Loan Facility matures on April 30, 2028.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3, 2024, Gogo and GIH entered into a second amendment to the 2021 Credit Agreement with Morgan Stanley Senior Funding, Inc., as administrative agent, and the lenders party thereto to, among other purposes, (a) increase the aggregate principal amount of revolving commitments available under the 2021 Credit Agreement to an aggregate amount of revolving commitments equal to $122 million and (b) extend the maturity date of the Revolving Facility to December 3, 2029 (subject to such maturity date springing to the date that is 90 days prior to the then-current maturity date of (a) the 2021 Term Loan Facility under the 2021 Credit Agreement and (b) the HPS Term Loan Facility under the HPS Credit Agreement under certain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2021 Term Loan Facility amortizes in nominal quarterly installments equal to 1% of the aggregate initial principal amount thereof per annum, with the remaining balance payable upon final maturity of the 2021 Term Loan Facility. There are no amortization payments under the Revolving Facility. On May 3, 2023, the Company prepaid $100 million of the outstanding principal amount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2021 Term Loan Facility. This prepayment satisfied the required amortization payments for the remaining term of the 2021 Term Loan Facility.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detailed in Note 9, “Long-Term Debt and Other Liabilities,” on December 3, 2024, the Company and GIH entered into a credit agreement (the “HPS Credit Agreement” and together with the 2021 Credit Agreement, the “Credit Agreements”) with HPS Investment Partners, LLC, as the administrative agent, and the lenders party thereto, which provides for a term loan credit facility (the “HPS Term Loan Facility” and together with the 2021 Facilities, the “Facilities”) in an aggregate principal amount of $250 million. The HPS Term Loan Facility amortizes in quarterly installments equal to one percent of the aggregate initial principal amount thereof per annum, with the remaining balance payable upon final maturity of the HPS Term Loan Facility on April 30, 2028.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Credit Agreements contain customary events of default, which, if any of them occurred, would permit or require the principal, premium, if any, and interest on all of the then outstanding obligations under the Facilities to be due and payable immediately and the commitments under the Revolving Facility to be terminated.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Credit Agreements contains covenants that limit the ability of GIH and its subsidiaries to incur additional indebtedness. Further, market conditions and/or our financial performance may limit our access to additional sources of equity or debt financing, or our ability to pursue potential strategic alternatives. As a result, we may be unable to finance the growth of our business to the extent that our cash, cash equivalents and short-term investments and cash generated through operating activities prove insufficient or we are unable to raise additional financing through the issuance of equity, permitted incurrences of debt (by us or by GIH and its subsidiaries), or the pursuit of potential strategic alternatives.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2021, we purchased interest rate caps with an aggregate notional amount of $650.0 million for $8.6 million. We receive payments in the amount calculated pursuant to the caps for any period in which the daily compounded SOFR rate plus a credit spread adjustment recommended by the Alternative Reference Rates Committees of 0.26% increases beyond the applicable strike rate. The termination date of the cap agreements is July 31, 2027. The aggregate notional amount of the interest rate caps as of June 30, 2025 is $350.0 million. The notional amounts of the interest rate caps periodically decrease over the life of the caps with the latest reduction of $100.0 million having occurred on July 31, 2025. While the interest rate caps are intended to limit our interest rate exposure under our variable rate indebtedness, which includes the Facilities, if our variable rate indebtedness does not decrease in proportion to the periodic decreases in the notional amount hedged under the interest rate caps, then the portion of such indebtedness that will be effectively hedged against possible increases in interest rates will decrease. In addition, the strike prices periodically increase over the life of the caps. As a result, the extent to which the interest rate caps will limit our interest rate exposure will decrease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additional information on the interest rate caps, see Note 10, “Derivative Instruments and Hedging Activities,” to our Unaudited Condensed Consolidated Financial Statements.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 provided by Operating Activities: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table presents a summary of our cash flows from operating activities for the periods set forth below </w:t>
      </w:r>
      <w:r>
        <w:rPr>
          <w:rFonts w:ascii="Times New Roman" w:hAnsi="Times New Roman"/>
          <w:i/>
          <w:color w:val="000000"/>
          <w:sz w:val="20"/>
        </w:rPr>
        <w:t>(in thousands)</w:t>
      </w:r>
      <w:r>
        <w:rPr>
          <w:rFonts w:ascii="Times New Roman" w:hAnsi="Times New Roman"/>
          <w:color w:val="000000"/>
          <w:sz w:val="20"/>
        </w:rPr>
        <w:t>:</w:t>
      </w:r>
    </w:p>
    <w:tbl>
      <w:tblPr>
        <w:tblW w:w="6044" w:type="dxa"/>
        <w:jc w:val="left"/>
        <w:tblInd w:w="0" w:type="dxa"/>
        <w:tblLayout w:type="fixed"/>
        <w:tblCellMar>
          <w:top w:w="28" w:type="dxa"/>
          <w:left w:w="28" w:type="dxa"/>
          <w:bottom w:w="28" w:type="dxa"/>
          <w:right w:w="28" w:type="dxa"/>
        </w:tblCellMar>
      </w:tblPr>
      <w:tblGrid>
        <w:gridCol w:w="3541"/>
        <w:gridCol w:w="146"/>
        <w:gridCol w:w="211"/>
        <w:gridCol w:w="736"/>
        <w:gridCol w:w="166"/>
        <w:gridCol w:w="146"/>
        <w:gridCol w:w="211"/>
        <w:gridCol w:w="676"/>
        <w:gridCol w:w="21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charges and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54,606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the six-month period ended June 30, 2025, net cash provided by operating activities was $69.2 million as compared with $54.6 million in the prior-year period. The principal contributors to the year-over-year change in operating cash flows were: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$20.2 million improvement in net income and non-cash charges and credits, as noted above under “Results of Operations — Three and Six Months Ended June 30, 2025 and 2024.”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$5.6 million decrease in cash flows related to operating assets and liabilities resulting from: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cash flows due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accounts payable due to timing of payments;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contract assets due to additional promotional sales programs in the current year as opposed to the prior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Partially offset by an increase in cash flows due to changes in inventories due to an increase in equipment revenue and a decrease in purchases due to the factors described under “Results of Operations — Three and Six Months Ended June 30, 2025 and 2024.”</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 used in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investing activities was $7.2 million for the six-month period ended June 30, 2025, due to $12.1 million of capital expenditures noted below and a $1.6 million payment for net working capital adjustments relating to the purchase of Satcom Direct, partially offset by $6.1 million of proceeds from interest rate caps and $0.4 million of proceeds received from the FCC Reimbursement Program associated with the reimbursement of capital expenditures.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investing activities was $2.7 million for the six-month period ended June 30, 2024, due to $10.7 million of capital expenditures noted below and a $5.0 million convertible note investment, partially offset by $12.9 million of proceeds from interest rate caps and $0.1 million of proceeds received from the FCC Reimbursement Program associated with the reimbursement of capital expenditures.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 used in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financing activities for the six-month period ended June 30, 2025 was $2.3 million due to principal payments on the HPS Term Loan Facility and stock-based compensation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financing activities for the six-month period ended June 30, 2024 was $29.5 million, due to share repurchases, principal payments on the 2021 Term Loan Facility and stock-based compensation activities.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Capital Expenditures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require capital expenditures associated with the expansion of our ATG network and data centers. We capitalize software development costs related to network technology solutions and new product/service offerings. We also capitalize costs related to the build-out of our office locations.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Capital expenditures for the six-month periods ended June 30, 2025 and 2024 were $12.1 million and $10.7 million, respectively, due to the build out of the Gogo 5G and LTE networks and Gogo Galileo.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our capital expenditures will increase in the near term due to the build out of the LTE network related to the FCC Reimbursement Program. This increase related to the LTE network may be partially offset by reimbursements from the FCC. We expect that our capital expenditures will decrease starting in 2026 as this program is expected to be completed.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Other</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Contractual Commitments: </w:t>
      </w:r>
      <w:r>
        <w:rPr>
          <w:rFonts w:ascii="Times New Roman" w:hAnsi="Times New Roman"/>
          <w:color w:val="000000"/>
          <w:sz w:val="20"/>
        </w:rPr>
        <w:t>We have agreements with various vendors under which we have remaining commitments to purchase hardware components and development services. Such commitments will become payable as we receive the hardware components or as development services are provided. See Note 17, “Commitments and Contingencies,” to our Unaudited Condensed Consolidated Financial Statements for additional information.</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Leases and Cell Site Contracts: </w:t>
      </w:r>
      <w:r>
        <w:rPr>
          <w:rFonts w:ascii="Times New Roman" w:hAnsi="Times New Roman"/>
          <w:color w:val="000000"/>
          <w:sz w:val="20"/>
        </w:rPr>
        <w:t>We have lease agreements relating to certain facilities and equipment, which are considered operating leases. See Note 16, “Leases,” to our Unaudited Condensed Consolidated Financial Statements for additional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2" w:name="item_3_quantitative_qualitative_disclosu"/>
      <w:bookmarkEnd w:id="12"/>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exposure to market risk is currently confined to our cash and cash equivalents, short-term investments and debt. We have not used derivative financial instruments for speculation or trading purposes. The primary objectives of our investment activities are to preserve our capital for the purpose of funding operations while maximizing the income we receive from our investments without significantly increasing risk. To achieve these objectives, our investment policy allows us to maintain a portfolio of cash equivalents and short-term investments through a variety of securities, including U.S. Treasury securities, U.S. government agency securities, and money market funds. Our cash and cash equivalents as of both June 30, 2025 and December 31, 2024 primarily included amounts in bank deposit accounts, U.S. Treasury securities and money market funds with U.S. Government and U.S. Treasury securities. The primary objective of our investment policy is to preserve capital and maintain liquidity while limiting concentration and counterparty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inherent in our market risk sensitive instruments and positions is the potential loss arising from interest rates as discussed below. The sensitivity analyses presented do not consider the effects that such adverse changes may have on the overall economic activity, nor do they consider additional actions we may take to mitigate our exposure to such changes. Actual results may differ.</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Interest Rate Risk: </w:t>
      </w:r>
      <w:r>
        <w:rPr>
          <w:rFonts w:ascii="Times New Roman" w:hAnsi="Times New Roman"/>
          <w:color w:val="000000"/>
          <w:sz w:val="20"/>
        </w:rPr>
        <w:t xml:space="preserve">We are exposed to interest rate risk on our variable rate indebtedness, which includes borrowings under each of the 2021 Facilities (if any) and the HPS Term Loan Facility. We assess our market risks based on changes in interest rates utilizing a sensitivity analysis that measures the potential impact on earnings and cash flows based on a hypothetical one percentage point change in interest rates. As of June 30, 2025, we had interest rate cap agreements to hedge a portion of our exposure to interest rate movements of our variable rate debt and to manage our interest expense. Currently, we receive payments in the amounts calculated pursuant to the caps for any period in which the daily compounded SOFR rate plus a credit spread adjustment recommended by the Alternative Reference Rates Committee of 0.26% increases beyond the applicable strike rate. The termination date of the cap agreements is July 31, 2027. Over the life of the interest rate caps, the notional amounts of the caps periodically decrease, while the applicable strike prices increase.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notional amount of outstanding debt associated with interest rate cap agreements as of June 30, 2025 was $350.0 million. Based on our June 30, 2025 outstanding variable rate debt balance, a hypothetical one percentage point change in the applicable interest rate would impact our annual interest expense by approximately $5.9 million for the next twelve-month period, which includes the impact of our interest rate caps at a strike rate of 1.25% and the $100 million reduction in the notional amount and an increase of the strike rate to 2.25% that occurred on July 31, 2025. Excluding the impact of our interest rate caps, a hypothetical one percentage point change in the applicable interest rate would impact our annual interest expense by approximately $8.5 million for the next twelve-month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earnings are affected by changes in interest rates due to the impact those changes have on interest income generated from our cash, cash equivalents and short-term investments. We believe we have minimal interest rate risk as a 10% decrease in the average interest rate on our portfolio would have reduced interest income for the three- and six-month periods ended June 30, 2025 and 2024 by immaterial amounts.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Inflation: </w:t>
      </w:r>
      <w:r>
        <w:rPr>
          <w:rFonts w:ascii="Times New Roman" w:hAnsi="Times New Roman"/>
          <w:color w:val="000000"/>
          <w:sz w:val="20"/>
        </w:rPr>
        <w:t>We do not believe that inflation has had a material effect on our results of operations. However, there can be no assurance that our business will not be affected by inflation in the future.</w:t>
      </w:r>
    </w:p>
    <w:p>
      <w:pPr>
        <w:pStyle w:val="TextBody"/>
        <w:bidi w:val="0"/>
        <w:spacing w:before="240" w:after="283"/>
        <w:jc w:val="left"/>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Evaluation of Disclosure Controls and Procedures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with the participation of our Chief Executive Officer and the Chief Financial Officer, evaluated the effectiveness of the design and operation of the Company’s disclosure controls and procedures (as defined in Rules 13a-15(e) and 15d-15(e) of the Securities Exchange Act of 1934, as amended) as of June 30, 2025. Based upon this evaluation, our Chief Executive Officer and the Chief Financial Officer have concluded that our disclosure controls and procedures were not effective as of June 30, 2025 due to material weaknesses in internal control over financial reporting which, as previously disclosed in Part II, Item 9A “Controls and Procedures” in the 2024 10-K, existed as of December 31, 2024 and, as discussed below, continued to exist as of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Notwithstanding the ineffective disclosure controls and procedures due to the material weaknesses in internal control over financial reporting, our Chief Executive Officer and the Chief Financial Officer have concluded that that the consolidated financial statements in this Quarterly Report on Form 10-Q present fairly, in all material respects, our financial position, results of operations and cash flows in conformity with accounting principles generally accepted in the United States of America (“U.S. GAAP”).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assessment of the effectiveness of the Company’s internal control over financial reporting as of June 30, 2025 excludes the acquisition of Satcom Direct which was acquired on December 3, 2024, and whose financial statements constitute approximately 47% of total assets and 55% of total revenue of the consolidated financial statement amounts of the Company as of and for the six-month period ended June 30,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Despite the exclusion of Satcom Direct from our assessment of the effectiveness of the Company’s internal control over financial reporting as of June 30, 2025, we identified a material weakness in controls over the financial close and reporting process and controls over purchase accounting as a result of the Satcom Direct acquisition. This was the same material weakness that we previously identified as of December 31, 2024. Specifically, there were insufficient effective controls in place to ensure the completeness and accuracy of Satcom Direct’s financial reporting information that is consolidated into Gogo’s financial statements. This material weakness was due to the following deficiencies at Satcom Direct: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Satcom Direct had ineffective general information technology controls (“GITCs”) over relevant information technology (“IT”) systems. Specifically, Satcom Direct management did not design and maintain effective GITCs for information systems and applications that are relevant to the preparation of the consolidated financial statements. Specifically, they did not design and maintain: (i) sufficient user access controls to ensure appropriate segregation of duties and adequately restrict user and privileged access to financial applications, programs and data to appropriate company personnel and (ii) program change management controls to ensure that information technology, or IT, program and data changes affecting financial IT applications and underlying accounting records are identified, tested, authorized and implemented appropriately with appropriate segregation of duties.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Satcom Direct’s management did not design and implement control activities necessary to provide reasonable assurance regarding the reliability of financial reporting and the preparation of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identified a material weakness in controls over the accounting for the Satcom Direct acquisition. Specifically, while management had designed control activities over the accounting for the acquisition and related preliminary purchase price allocation for the acquired assets and liabilities performed by third-party specialists, management did not effectively implement them due to the timing of the acquisition.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Remediation Plan for Material Weaknesses in Internal Control over Financial Reporting</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Remediation of the identified material weaknesses and strengthening our internal control environment will require a substantial effort throughout 2025. Management is continuing its remediation efforts over the material weaknesses described above as follows: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Designing and implementing controls over Satcom Direct’s GITCs relating to user access and program change management over certain IT systems that support financial reporting processes at Satcom Direct.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Designing and implementing internal controls over financial reporting for processes specific to Satcom Direct.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Implementing the controls the Company has designed related to complex accounting transactions, including those related to acquisitions, such as, the review of third-party specialists’ work and the reasonableness of key assumptions, methodologies, and underlying data used in the accounting and purchase price allocation.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Recruiting additional qualified personnel with expertise in public company financial reporting, accounting and internal controls to strengthen our accounting function.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believe the steps taken to date and those planned for continued implementation will improve the effectiveness of our internal control over financial reporting, we have not completed all remediation efforts identified herein. Accordingly, as we continue to monitor the effectiveness of our internal control over financial reporting in the areas affected by the material weaknesses described above, we have performed and will continue to perform additional procedures and to employ additional appropriate tools and resources.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test the ongoing operating effectiveness of the new and existing controls in future periods. The material weaknesses cannot be considered completely remediated until the applicable controls have been implemented and management has concluded, through testing, that these controls are operating effectively.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Internal Control over Financial Reporting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Except as described above, there have been no changes to our internal control over financial reporting in connection with the evaluation required by Rules 13a-15(f) and 15d-15(f) under the Exchange Act during the most recent fiscal quarter that have materially affected, or are reasonably likely to materially affect, our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4" w:name="part_ii_or_information"/>
      <w:bookmarkEnd w:id="14"/>
      <w:r>
        <w:rPr>
          <w:rFonts w:ascii="Times New Roman" w:hAnsi="Times New Roman"/>
          <w:b/>
          <w:color w:val="000000"/>
          <w:sz w:val="20"/>
        </w:rPr>
        <w:t>PART II.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sz w:val="20"/>
        </w:rPr>
      </w:pPr>
      <w:bookmarkStart w:id="15" w:name="item_1_legal_proceedings"/>
      <w:bookmarkEnd w:id="15"/>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lawsuits arising out of the conduct of our business. See Note 17, “Commitments and Contingencies,” to our Unaudited Condensed Consolidated Financial Statements for a discussion of litigation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legal proceedings arising in the ordinary course of our business. We cannot predict with certainty the outcome of any litigation or the potential for future litigation. Regardless of the outcome of any particular litigation and the merits of any particular claim, litigation can have a material adverse impact on our Company due to, among other reasons, any injunctive relief granted, which could inhibit our ability to operate our business, amounts paid as damages or in settlement of any such matter, diversion of management resources and defense costs.</w:t>
      </w:r>
    </w:p>
    <w:p>
      <w:pPr>
        <w:pStyle w:val="TextBody"/>
        <w:bidi w:val="0"/>
        <w:jc w:val="left"/>
        <w:rPr/>
      </w:pPr>
      <w:r>
        <w:rPr/>
        <w:t> </w:t>
      </w:r>
    </w:p>
    <w:tbl>
      <w:tblPr>
        <w:tblW w:w="2192" w:type="dxa"/>
        <w:jc w:val="left"/>
        <w:tblInd w:w="0" w:type="dxa"/>
        <w:tblLayout w:type="fixed"/>
        <w:tblCellMar>
          <w:top w:w="28" w:type="dxa"/>
          <w:left w:w="28" w:type="dxa"/>
          <w:bottom w:w="28" w:type="dxa"/>
          <w:right w:w="28" w:type="dxa"/>
        </w:tblCellMar>
      </w:tblPr>
      <w:tblGrid>
        <w:gridCol w:w="976"/>
        <w:gridCol w:w="1216"/>
      </w:tblGrid>
      <w:tr>
        <w:trPr/>
        <w:tc>
          <w:tcPr>
            <w:tcW w:w="97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1A.</w:t>
            </w:r>
          </w:p>
        </w:tc>
        <w:tc>
          <w:tcPr>
            <w:tcW w:w="12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bookmarkStart w:id="16" w:name="risk_factors"/>
            <w:bookmarkEnd w:id="16"/>
            <w:r>
              <w:rPr>
                <w:rFonts w:ascii="Times New Roman" w:hAnsi="Times New Roman"/>
                <w:b/>
                <w:color w:val="000000"/>
                <w:sz w:val="20"/>
              </w:rPr>
              <w:t>Risk Factors</w:t>
            </w:r>
          </w:p>
        </w:tc>
      </w:tr>
    </w:tbl>
    <w:p>
      <w:pPr>
        <w:pStyle w:val="TextBody"/>
        <w:bidi w:val="0"/>
        <w:spacing w:before="120" w:after="283"/>
        <w:jc w:val="left"/>
        <w:rPr>
          <w:color w:val="000000"/>
        </w:rPr>
      </w:pPr>
      <w:r>
        <w:rPr>
          <w:color w:val="000000"/>
        </w:rPr>
        <w:t>“</w:t>
      </w:r>
      <w:r>
        <w:rPr>
          <w:rFonts w:ascii="Times New Roman" w:hAnsi="Times New Roman"/>
          <w:color w:val="000000"/>
          <w:sz w:val="20"/>
        </w:rPr>
        <w:t>Item 1A. Risk Factors” of our 2024 10-K includes a discussion of our risk factors. There have been no material changes to the risk factors previously disclosed in our 2024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7" w:name="unregistered_sales_equity_securities_use"/>
      <w:bookmarkEnd w:id="17"/>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Sales of Unregistered Securities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None.</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b)</w:t>
      </w:r>
    </w:p>
    <w:p>
      <w:pPr>
        <w:pStyle w:val="TextBody"/>
        <w:bidi w:val="0"/>
        <w:jc w:val="left"/>
        <w:rPr>
          <w:rFonts w:ascii="Times New Roman" w:hAnsi="Times New Roman"/>
          <w:b/>
          <w:i/>
          <w:color w:val="000000"/>
          <w:sz w:val="20"/>
        </w:rPr>
      </w:pPr>
      <w:r>
        <w:rPr>
          <w:rFonts w:ascii="Times New Roman" w:hAnsi="Times New Roman"/>
          <w:b/>
          <w:i/>
          <w:color w:val="000000"/>
          <w:sz w:val="20"/>
        </w:rPr>
        <w:t>Use of Proceeds from Public Offering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Purchases of Equity Securities by the Issuer and Affiliated Purchasers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b/>
          <w:color w:val="000000"/>
          <w:sz w:val="20"/>
        </w:rPr>
      </w:pPr>
      <w:bookmarkStart w:id="18" w:name="defaults_upon_senior_securities"/>
      <w:bookmarkEnd w:id="18"/>
      <w:r>
        <w:rPr>
          <w:rFonts w:ascii="Times New Roman" w:hAnsi="Times New Roman"/>
          <w:b/>
          <w:color w:val="000000"/>
          <w:sz w:val="20"/>
        </w:rPr>
        <w:t>ITEM 3. Defaults Upon Senior Securities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rFonts w:ascii="Times New Roman" w:hAnsi="Times New Roman"/>
          <w:b/>
          <w:color w:val="000000"/>
          <w:sz w:val="20"/>
        </w:rPr>
      </w:pPr>
      <w:bookmarkStart w:id="19" w:name="mine_safety_disclosures"/>
      <w:bookmarkEnd w:id="19"/>
      <w:r>
        <w:rPr>
          <w:rFonts w:ascii="Times New Roman" w:hAnsi="Times New Roman"/>
          <w:b/>
          <w:color w:val="000000"/>
          <w:sz w:val="20"/>
        </w:rPr>
        <w:t>ITEM 4. Mine Safety Disclosures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rFonts w:ascii="Times New Roman" w:hAnsi="Times New Roman"/>
          <w:b/>
          <w:color w:val="000000"/>
          <w:sz w:val="20"/>
        </w:rPr>
      </w:pPr>
      <w:bookmarkStart w:id="20" w:name="or_information"/>
      <w:bookmarkEnd w:id="20"/>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fiscal quarter ended June 30, 2025, none of our directors or officers adopted or terminated a “Rule 10b5-1 trading arrangement” or “non-Rule 10b5-1 trading arrangement” as such terms are defined in Item 408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7"/>
        <w:gridCol w:w="146"/>
        <w:gridCol w:w="9262"/>
      </w:tblGrid>
      <w:tr>
        <w:trPr/>
        <w:tc>
          <w:tcPr>
            <w:tcW w:w="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2" w:type="dxa"/>
            <w:tcBorders/>
            <w:vAlign w:val="center"/>
          </w:tcPr>
          <w:p>
            <w:pPr>
              <w:pStyle w:val="TableContents"/>
              <w:bidi w:val="0"/>
              <w:spacing w:before="0" w:after="283"/>
              <w:jc w:val="left"/>
              <w:rPr>
                <w:sz w:val="4"/>
                <w:szCs w:val="4"/>
              </w:rPr>
            </w:pPr>
            <w:r>
              <w:rPr>
                <w:sz w:val="4"/>
                <w:szCs w:val="4"/>
              </w:rPr>
            </w:r>
          </w:p>
        </w:tc>
      </w:tr>
      <w:tr>
        <w:trPr/>
        <w:tc>
          <w:tcPr>
            <w:tcW w:w="79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6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 of Exhibits</w:t>
            </w:r>
          </w:p>
        </w:tc>
      </w:tr>
      <w:tr>
        <w:trPr/>
        <w:tc>
          <w:tcPr>
            <w:tcW w:w="7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hyperlink w:anchor="gogo-ex31_1.htm">
              <w:r>
                <w:rPr>
                  <w:rStyle w:val="InternetLink"/>
                  <w:rFonts w:ascii="Times New Roman" w:hAnsi="Times New Roman"/>
                  <w:color w:val="0000FF"/>
                  <w:sz w:val="20"/>
                  <w:u w:val="single"/>
                </w:rPr>
                <w:t>Certification of Chief Executive Officer pursuant to Exchange Act Rules 13a-14(a) and 15d-14(a), as adopted pursuant to Section 302 of the Sarbanes-Oxley Act of 2002</w:t>
              </w:r>
            </w:hyperlink>
          </w:p>
        </w:tc>
      </w:tr>
      <w:tr>
        <w:trPr/>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hyperlink w:anchor="gogo-ex31_2.htm">
              <w:r>
                <w:rPr>
                  <w:rStyle w:val="InternetLink"/>
                  <w:rFonts w:ascii="Times New Roman" w:hAnsi="Times New Roman"/>
                  <w:color w:val="0000FF"/>
                  <w:sz w:val="20"/>
                  <w:u w:val="single"/>
                </w:rPr>
                <w:t>Certification of Chief Financial Officer pursuant to Exchange Act Rules 13a-14(a) and 15d-14(a), as adopted pursuant to Section 302 of the Sarbanes-Oxley Act of 2002</w:t>
              </w:r>
            </w:hyperlink>
          </w:p>
        </w:tc>
      </w:tr>
      <w:tr>
        <w:trPr/>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jc w:val="both"/>
              <w:rPr/>
            </w:pPr>
            <w:r>
              <w:rPr/>
              <w:t> </w:t>
            </w:r>
          </w:p>
          <w:p>
            <w:pPr>
              <w:pStyle w:val="TableContents"/>
              <w:bidi w:val="0"/>
              <w:spacing w:before="0" w:after="283"/>
              <w:jc w:val="both"/>
              <w:rPr/>
            </w:pPr>
            <w:hyperlink w:anchor="gogo-ex32_1.htm">
              <w:r>
                <w:rPr>
                  <w:rStyle w:val="InternetLink"/>
                  <w:rFonts w:ascii="Times New Roman" w:hAnsi="Times New Roman"/>
                  <w:color w:val="0000FF"/>
                  <w:sz w:val="20"/>
                  <w:u w:val="single"/>
                </w:rPr>
                <w:t>Certification of Chief Executive Officer pursuant to 18 U.S.C. Section 1350, as adopted pursuant to Section 906 of the Sarbanes-Oxley Act of 2002</w:t>
              </w:r>
            </w:hyperlink>
          </w:p>
        </w:tc>
      </w:tr>
      <w:tr>
        <w:trPr/>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hyperlink w:anchor="gogo-ex32_2.htm">
              <w:r>
                <w:rPr>
                  <w:rStyle w:val="InternetLink"/>
                  <w:rFonts w:ascii="Times New Roman" w:hAnsi="Times New Roman"/>
                  <w:color w:val="0000FF"/>
                  <w:sz w:val="20"/>
                  <w:u w:val="single"/>
                </w:rPr>
                <w:t>Certification of Chief Financial Officer pursuant to 18 U.S.C. Section 1350, as adopted pursuant to Section 906 of the Sarbanes-Oxley Act of 2002</w:t>
              </w:r>
            </w:hyperlink>
          </w:p>
        </w:tc>
      </w:tr>
      <w:tr>
        <w:trPr/>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This certification accompanies the Form 10-Q to which it relates, is not deemed filed with the SEC and is not to be incorporated by reference into any filing of the Registrant under the Securities Act of 1933, as amended, or the Exchange Act (whether made before or after the date of the Form 10-Q), irrespective of any general incorporation language contained in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pPr>
      <w:r>
        <w:rPr/>
        <w:t> </w:t>
      </w:r>
    </w:p>
    <w:tbl>
      <w:tblPr>
        <w:tblW w:w="6433" w:type="dxa"/>
        <w:jc w:val="left"/>
        <w:tblInd w:w="0" w:type="dxa"/>
        <w:tblLayout w:type="fixed"/>
        <w:tblCellMar>
          <w:top w:w="28" w:type="dxa"/>
          <w:left w:w="28" w:type="dxa"/>
          <w:bottom w:w="28" w:type="dxa"/>
          <w:right w:w="28" w:type="dxa"/>
        </w:tblCellMar>
      </w:tblPr>
      <w:tblGrid>
        <w:gridCol w:w="1846"/>
        <w:gridCol w:w="146"/>
        <w:gridCol w:w="444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Gogo Inc.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Christopher Moore</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Moore</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Director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6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Zachary Cotner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Zachary Cotner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 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bookmarkStart w:id="23" w:name="gogo-ex31_1.htm"/>
      <w:bookmarkStart w:id="24" w:name="ksgogoex31_1"/>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Gogo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 OF THE EXCHANGE ACT, AS AMENDED,</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 Christopher Moore, certify that:</w:t>
      </w:r>
    </w:p>
    <w:p>
      <w:pPr>
        <w:pStyle w:val="TextBody"/>
        <w:bidi w:val="0"/>
        <w:jc w:val="left"/>
        <w:rPr>
          <w:rFonts w:ascii="Times New Roman" w:hAnsi="Times New Roman"/>
          <w:color w:val="000000"/>
          <w:sz w:val="20"/>
        </w:rPr>
      </w:pPr>
      <w:r>
        <w:rPr>
          <w:rFonts w:ascii="Times New Roman" w:hAnsi="Times New Roman"/>
          <w:color w:val="000000"/>
          <w:sz w:val="20"/>
        </w:rPr>
        <w:t>1. I have reviewed this Quarterly Report on Form 10-Q of Gogo Inc.;</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3134" w:type="dxa"/>
        <w:jc w:val="left"/>
        <w:tblInd w:w="0" w:type="dxa"/>
        <w:tblLayout w:type="fixed"/>
        <w:tblCellMar>
          <w:top w:w="28" w:type="dxa"/>
          <w:left w:w="28" w:type="dxa"/>
          <w:bottom w:w="28" w:type="dxa"/>
          <w:right w:w="28" w:type="dxa"/>
        </w:tblCellMar>
      </w:tblPr>
      <w:tblGrid>
        <w:gridCol w:w="567"/>
        <w:gridCol w:w="273"/>
        <w:gridCol w:w="2294"/>
      </w:tblGrid>
      <w:tr>
        <w:trPr/>
        <w:tc>
          <w:tcPr>
            <w:tcW w:w="56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r>
      <w:tr>
        <w:trPr/>
        <w:tc>
          <w:tcPr>
            <w:tcW w:w="8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22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7, 2025</w:t>
            </w:r>
          </w:p>
        </w:tc>
      </w:tr>
      <w:tr>
        <w:trPr/>
        <w:tc>
          <w:tcPr>
            <w:tcW w:w="567" w:type="dxa"/>
            <w:tcBorders/>
            <w:tcMar>
              <w:top w:w="0" w:type="dxa"/>
              <w:left w:w="0" w:type="dxa"/>
              <w:bottom w:w="0" w:type="dxa"/>
              <w:right w:w="0" w:type="dxa"/>
            </w:tcMar>
            <w:vAlign w:val="center"/>
          </w:tcPr>
          <w:p>
            <w:pPr>
              <w:pStyle w:val="TableContents"/>
              <w:bidi w:val="0"/>
              <w:spacing w:before="0" w:after="283"/>
              <w:jc w:val="left"/>
              <w:rPr/>
            </w:pPr>
            <w:r>
              <w:rPr/>
              <w:t> </w:t>
            </w:r>
          </w:p>
        </w:tc>
        <w:tc>
          <w:tcPr>
            <w:tcW w:w="256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6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t>
            </w:r>
          </w:p>
        </w:tc>
        <w:tc>
          <w:tcPr>
            <w:tcW w:w="256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Christopher Moore</w:t>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Moore</w:t>
            </w:r>
          </w:p>
        </w:tc>
      </w:tr>
      <w:tr>
        <w:trPr/>
        <w:tc>
          <w:tcPr>
            <w:tcW w:w="3134" w:type="dxa"/>
            <w:gridSpan w:val="3"/>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 and Director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gogo-ex31_2.htm"/>
      <w:bookmarkStart w:id="26" w:name="ksgogoex31_2"/>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Gogo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 OF THE EXCHANGE ACT, AS AMENDED,</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 Zachary Cotner, certify that:</w:t>
      </w:r>
    </w:p>
    <w:p>
      <w:pPr>
        <w:pStyle w:val="TextBody"/>
        <w:bidi w:val="0"/>
        <w:jc w:val="left"/>
        <w:rPr>
          <w:rFonts w:ascii="Times New Roman" w:hAnsi="Times New Roman"/>
          <w:color w:val="000000"/>
          <w:sz w:val="20"/>
        </w:rPr>
      </w:pPr>
      <w:r>
        <w:rPr>
          <w:rFonts w:ascii="Times New Roman" w:hAnsi="Times New Roman"/>
          <w:color w:val="000000"/>
          <w:sz w:val="20"/>
        </w:rPr>
        <w:t>1. I have reviewed this Quarterly Report on Form 10-Q of Gogo Inc.;</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455" w:type="dxa"/>
        <w:jc w:val="left"/>
        <w:tblInd w:w="0" w:type="dxa"/>
        <w:tblLayout w:type="fixed"/>
        <w:tblCellMar>
          <w:top w:w="28" w:type="dxa"/>
          <w:left w:w="28" w:type="dxa"/>
          <w:bottom w:w="28" w:type="dxa"/>
          <w:right w:w="28" w:type="dxa"/>
        </w:tblCellMar>
      </w:tblPr>
      <w:tblGrid>
        <w:gridCol w:w="886"/>
        <w:gridCol w:w="381"/>
        <w:gridCol w:w="3188"/>
      </w:tblGrid>
      <w:tr>
        <w:trPr/>
        <w:tc>
          <w:tcPr>
            <w:tcW w:w="88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188" w:type="dxa"/>
            <w:tcBorders/>
            <w:vAlign w:val="center"/>
          </w:tcPr>
          <w:p>
            <w:pPr>
              <w:pStyle w:val="TableContents"/>
              <w:bidi w:val="0"/>
              <w:spacing w:before="0" w:after="283"/>
              <w:jc w:val="left"/>
              <w:rPr>
                <w:sz w:val="4"/>
                <w:szCs w:val="4"/>
              </w:rPr>
            </w:pPr>
            <w:r>
              <w:rPr>
                <w:sz w:val="4"/>
                <w:szCs w:val="4"/>
              </w:rPr>
            </w:r>
          </w:p>
        </w:tc>
      </w:tr>
      <w:tr>
        <w:trPr/>
        <w:tc>
          <w:tcPr>
            <w:tcW w:w="126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31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7, 2025</w:t>
            </w:r>
          </w:p>
        </w:tc>
      </w:tr>
      <w:tr>
        <w:trPr/>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356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t>
            </w:r>
          </w:p>
        </w:tc>
        <w:tc>
          <w:tcPr>
            <w:tcW w:w="3569"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Zachary Cotner</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Zachary Cotner</w:t>
            </w:r>
          </w:p>
        </w:tc>
      </w:tr>
      <w:tr>
        <w:trPr/>
        <w:tc>
          <w:tcPr>
            <w:tcW w:w="4455" w:type="dxa"/>
            <w:gridSpan w:val="3"/>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Executive Vice President and 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gogo-ex32_1.htm"/>
      <w:bookmarkStart w:id="28" w:name="ksgogoex32_1"/>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Gogo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w:t>
      </w:r>
    </w:p>
    <w:p>
      <w:pPr>
        <w:pStyle w:val="TextBody"/>
        <w:bidi w:val="0"/>
        <w:jc w:val="center"/>
        <w:rPr>
          <w:rFonts w:ascii="Times New Roman" w:hAnsi="Times New Roman"/>
          <w:b/>
          <w:color w:val="000000"/>
          <w:sz w:val="20"/>
        </w:rPr>
      </w:pPr>
      <w:r>
        <w:rPr>
          <w:rFonts w:ascii="Times New Roman" w:hAnsi="Times New Roman"/>
          <w:b/>
          <w:color w:val="000000"/>
          <w:sz w:val="20"/>
        </w:rPr>
        <w:t>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 Christopher Moore, Chief Executive Officer and Director of Gogo Inc. (the “Company”), do hereby certify, pursuant to 18 U.S.C. Section 1350, as adopted pursuant to Section 906 of the Sarbanes-Oxley Act of 2002, that to the best of my knowledge: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Quarterly Report on Form 10-Q of the Company for the quarter ended June 30, 2025 (the “Report”) fully complies with the requirements of Section 13(a) or 15(d) of the Securities Exchange Act of 1934;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bl>
      <w:tblPr>
        <w:tblW w:w="3134" w:type="dxa"/>
        <w:jc w:val="left"/>
        <w:tblInd w:w="0" w:type="dxa"/>
        <w:tblLayout w:type="fixed"/>
        <w:tblCellMar>
          <w:top w:w="28" w:type="dxa"/>
          <w:left w:w="28" w:type="dxa"/>
          <w:bottom w:w="28" w:type="dxa"/>
          <w:right w:w="28" w:type="dxa"/>
        </w:tblCellMar>
      </w:tblPr>
      <w:tblGrid>
        <w:gridCol w:w="567"/>
        <w:gridCol w:w="273"/>
        <w:gridCol w:w="2294"/>
      </w:tblGrid>
      <w:tr>
        <w:trPr/>
        <w:tc>
          <w:tcPr>
            <w:tcW w:w="56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r>
      <w:tr>
        <w:trPr/>
        <w:tc>
          <w:tcPr>
            <w:tcW w:w="8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22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7, 2025</w:t>
            </w:r>
          </w:p>
        </w:tc>
      </w:tr>
      <w:tr>
        <w:trPr/>
        <w:tc>
          <w:tcPr>
            <w:tcW w:w="567" w:type="dxa"/>
            <w:tcBorders/>
            <w:tcMar>
              <w:top w:w="0" w:type="dxa"/>
              <w:left w:w="0" w:type="dxa"/>
              <w:bottom w:w="0" w:type="dxa"/>
              <w:right w:w="0" w:type="dxa"/>
            </w:tcMar>
            <w:vAlign w:val="center"/>
          </w:tcPr>
          <w:p>
            <w:pPr>
              <w:pStyle w:val="TableContents"/>
              <w:bidi w:val="0"/>
              <w:spacing w:before="0" w:after="283"/>
              <w:jc w:val="left"/>
              <w:rPr/>
            </w:pPr>
            <w:r>
              <w:rPr/>
              <w:t> </w:t>
            </w:r>
          </w:p>
        </w:tc>
        <w:tc>
          <w:tcPr>
            <w:tcW w:w="256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6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t>
            </w:r>
          </w:p>
        </w:tc>
        <w:tc>
          <w:tcPr>
            <w:tcW w:w="256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Christopher Moore</w:t>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Moore</w:t>
            </w:r>
          </w:p>
        </w:tc>
      </w:tr>
      <w:tr>
        <w:trPr/>
        <w:tc>
          <w:tcPr>
            <w:tcW w:w="3134" w:type="dxa"/>
            <w:gridSpan w:val="3"/>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 and Director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gogo-ex32_2.htm"/>
      <w:bookmarkStart w:id="30" w:name="ksgogoex32_2"/>
      <w:bookmarkEnd w:id="29"/>
      <w:bookmarkEnd w:id="3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Gogo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w:t>
      </w:r>
    </w:p>
    <w:p>
      <w:pPr>
        <w:pStyle w:val="TextBody"/>
        <w:bidi w:val="0"/>
        <w:jc w:val="center"/>
        <w:rPr>
          <w:rFonts w:ascii="Times New Roman" w:hAnsi="Times New Roman"/>
          <w:b/>
          <w:color w:val="000000"/>
          <w:sz w:val="20"/>
        </w:rPr>
      </w:pPr>
      <w:r>
        <w:rPr>
          <w:rFonts w:ascii="Times New Roman" w:hAnsi="Times New Roman"/>
          <w:b/>
          <w:color w:val="000000"/>
          <w:sz w:val="20"/>
        </w:rPr>
        <w:t>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 Zachary Cotner, Executive Vice President and Chief Financial Officer of Gogo Inc. (the “Company”), do hereby certify, pursuant to 18 U.S.C. Section 1350, as adopted pursuant to Section 906 of the Sarbanes-Oxley Act of 2002, that to the best of my knowledge: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Quarterly Report on Form 10-Q of the Company for the quarter ended June 30, 2025 (the “Report”) fully complies with the requirements of Section 13(a) or 15(d) of the Securities Exchange Act of 1934;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bl>
      <w:tblPr>
        <w:tblW w:w="4455" w:type="dxa"/>
        <w:jc w:val="left"/>
        <w:tblInd w:w="0" w:type="dxa"/>
        <w:tblLayout w:type="fixed"/>
        <w:tblCellMar>
          <w:top w:w="28" w:type="dxa"/>
          <w:left w:w="28" w:type="dxa"/>
          <w:bottom w:w="28" w:type="dxa"/>
          <w:right w:w="28" w:type="dxa"/>
        </w:tblCellMar>
      </w:tblPr>
      <w:tblGrid>
        <w:gridCol w:w="886"/>
        <w:gridCol w:w="381"/>
        <w:gridCol w:w="3188"/>
      </w:tblGrid>
      <w:tr>
        <w:trPr/>
        <w:tc>
          <w:tcPr>
            <w:tcW w:w="88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188" w:type="dxa"/>
            <w:tcBorders/>
            <w:vAlign w:val="center"/>
          </w:tcPr>
          <w:p>
            <w:pPr>
              <w:pStyle w:val="TableContents"/>
              <w:bidi w:val="0"/>
              <w:spacing w:before="0" w:after="283"/>
              <w:jc w:val="left"/>
              <w:rPr>
                <w:sz w:val="4"/>
                <w:szCs w:val="4"/>
              </w:rPr>
            </w:pPr>
            <w:r>
              <w:rPr>
                <w:sz w:val="4"/>
                <w:szCs w:val="4"/>
              </w:rPr>
            </w:r>
          </w:p>
        </w:tc>
      </w:tr>
      <w:tr>
        <w:trPr/>
        <w:tc>
          <w:tcPr>
            <w:tcW w:w="126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31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7, 2025</w:t>
            </w:r>
          </w:p>
        </w:tc>
      </w:tr>
      <w:tr>
        <w:trPr/>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356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t>
            </w:r>
          </w:p>
        </w:tc>
        <w:tc>
          <w:tcPr>
            <w:tcW w:w="3569"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Zachary Cotner</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Zachary Cotner</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 Chief Financial Officer</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25354</Words>
  <Characters>140390</Characters>
  <CharactersWithSpaces>168289</CharactersWithSpaces>
  <Paragraphs>9956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